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56"/>
        </w:rPr>
        <w:t>KAYAKO</w:t>
      </w:r>
    </w:p>
    <w:p>
      <w:pPr>
        <w:jc w:val="center"/>
      </w:pPr>
      <w:r>
        <w:rPr>
          <w:b/>
          <w:color w:val="007096"/>
          <w:sz w:val="32"/>
        </w:rPr>
        <w:t>Confidential Information Memorandum</w:t>
      </w:r>
    </w:p>
    <w:p>
      <w:pPr>
        <w:jc w:val="center"/>
      </w:pPr>
      <w:r>
        <w:rPr>
          <w:color w:val="262626"/>
          <w:sz w:val="26"/>
        </w:rPr>
        <w:t>Financial Executive Summary</w:t>
      </w:r>
    </w:p>
    <w:p/>
    <w:p>
      <w:pPr>
        <w:jc w:val="center"/>
      </w:pPr>
      <w:r>
        <w:rPr>
          <w:i/>
          <w:color w:val="808080"/>
          <w:sz w:val="18"/>
        </w:rPr>
        <w:t>Prepared: April 04, 2026   |   STRICTLY CONFIDENTIAL</w:t>
      </w:r>
    </w:p>
    <w:p/>
    <w:p>
      <w:r>
        <w:rPr>
          <w:color w:val="1F39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/>
    <w:p>
      <w:pPr>
        <w:spacing w:before="120" w:after="40"/>
      </w:pPr>
      <w:r>
        <w:rPr>
          <w:b/>
          <w:color w:val="1F3964"/>
          <w:sz w:val="26"/>
        </w:rPr>
        <w:t>1.  Executive Overview</w:t>
      </w:r>
    </w:p>
    <w:p>
      <w:pPr>
        <w:spacing w:before="0" w:after="80"/>
      </w:pPr>
      <w:r>
        <w:rPr>
          <w:color w:val="00709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color w:val="262626"/>
          <w:sz w:val="20"/>
        </w:rPr>
        <w:t>Kayako is a B2B SaaS customer-support platform that has delivered sustained, high-quality growth over the 2019–2024 period. Total revenue expanded from $12.5M in 2019 to $45.5M in 2024, representing a 5-year CAGR of 29.5%. Annual Recurring Revenue (ARR) reached $41.8M at year-end 2024, reflecting a 5-year CAGR of 32.6%. Gross margin expanded 9 percentage points (68% → 77%) and EBITDA margin doubled from 12% to 24%, evidencing meaningful operating leverage. The customer base grew from 1,200 to 3,400 accounts (23.2% CAGR), while ARPU rose 45% to $12,300, signalling successful upsell / expansion-revenue motions.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7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237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237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379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color w:val="262626"/>
                <w:sz w:val="18"/>
              </w:rPr>
              <w:t>Total Revenue</w:t>
            </w:r>
          </w:p>
        </w:tc>
        <w:tc>
          <w:tcPr>
            <w:tcW w:type="dxa" w:w="2379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$12.5M</w:t>
            </w:r>
          </w:p>
        </w:tc>
        <w:tc>
          <w:tcPr>
            <w:tcW w:type="dxa" w:w="2379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$45.5M</w:t>
            </w:r>
          </w:p>
        </w:tc>
        <w:tc>
          <w:tcPr>
            <w:tcW w:type="dxa" w:w="2379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+29.5% CAGR</w:t>
            </w:r>
          </w:p>
        </w:tc>
      </w:tr>
      <w:tr>
        <w:tc>
          <w:tcPr>
            <w:tcW w:type="dxa" w:w="237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62626"/>
                <w:sz w:val="18"/>
              </w:rPr>
              <w:t>ARR</w:t>
            </w:r>
          </w:p>
        </w:tc>
        <w:tc>
          <w:tcPr>
            <w:tcW w:type="dxa" w:w="237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$10.2M</w:t>
            </w:r>
          </w:p>
        </w:tc>
        <w:tc>
          <w:tcPr>
            <w:tcW w:type="dxa" w:w="237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$41.8M</w:t>
            </w:r>
          </w:p>
        </w:tc>
        <w:tc>
          <w:tcPr>
            <w:tcW w:type="dxa" w:w="237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+32.6% CAGR</w:t>
            </w:r>
          </w:p>
        </w:tc>
      </w:tr>
      <w:tr>
        <w:tc>
          <w:tcPr>
            <w:tcW w:type="dxa" w:w="2379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color w:val="262626"/>
                <w:sz w:val="18"/>
              </w:rPr>
              <w:t>Gross Margin</w:t>
            </w:r>
          </w:p>
        </w:tc>
        <w:tc>
          <w:tcPr>
            <w:tcW w:type="dxa" w:w="2379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68%</w:t>
            </w:r>
          </w:p>
        </w:tc>
        <w:tc>
          <w:tcPr>
            <w:tcW w:type="dxa" w:w="2379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77%</w:t>
            </w:r>
          </w:p>
        </w:tc>
        <w:tc>
          <w:tcPr>
            <w:tcW w:type="dxa" w:w="2379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+9 pp</w:t>
            </w:r>
          </w:p>
        </w:tc>
      </w:tr>
      <w:tr>
        <w:tc>
          <w:tcPr>
            <w:tcW w:type="dxa" w:w="237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62626"/>
                <w:sz w:val="18"/>
              </w:rPr>
              <w:t>EBITDA Margin</w:t>
            </w:r>
          </w:p>
        </w:tc>
        <w:tc>
          <w:tcPr>
            <w:tcW w:type="dxa" w:w="237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12%</w:t>
            </w:r>
          </w:p>
        </w:tc>
        <w:tc>
          <w:tcPr>
            <w:tcW w:type="dxa" w:w="237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24%</w:t>
            </w:r>
          </w:p>
        </w:tc>
        <w:tc>
          <w:tcPr>
            <w:tcW w:type="dxa" w:w="237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+12 pp</w:t>
            </w:r>
          </w:p>
        </w:tc>
      </w:tr>
      <w:tr>
        <w:tc>
          <w:tcPr>
            <w:tcW w:type="dxa" w:w="2379"/>
            <w:shd w:val="clear" w:color="auto" w:fill="F2F7FC"/>
            <w:vAlign w:val="center"/>
          </w:tcPr>
          <w:p>
            <w:pPr>
              <w:jc w:val="left"/>
            </w:pPr>
            <w:r>
              <w:rPr>
                <w:b/>
                <w:color w:val="262626"/>
                <w:sz w:val="18"/>
              </w:rPr>
              <w:t>Customers</w:t>
            </w:r>
          </w:p>
        </w:tc>
        <w:tc>
          <w:tcPr>
            <w:tcW w:type="dxa" w:w="2379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1,200</w:t>
            </w:r>
          </w:p>
        </w:tc>
        <w:tc>
          <w:tcPr>
            <w:tcW w:type="dxa" w:w="2379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3,400</w:t>
            </w:r>
          </w:p>
        </w:tc>
        <w:tc>
          <w:tcPr>
            <w:tcW w:type="dxa" w:w="2379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+183%</w:t>
            </w:r>
          </w:p>
        </w:tc>
      </w:tr>
      <w:tr>
        <w:tc>
          <w:tcPr>
            <w:tcW w:type="dxa" w:w="237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color w:val="262626"/>
                <w:sz w:val="18"/>
              </w:rPr>
              <w:t>ARPU</w:t>
            </w:r>
          </w:p>
        </w:tc>
        <w:tc>
          <w:tcPr>
            <w:tcW w:type="dxa" w:w="237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$8K</w:t>
            </w:r>
          </w:p>
        </w:tc>
        <w:tc>
          <w:tcPr>
            <w:tcW w:type="dxa" w:w="237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$12K</w:t>
            </w:r>
          </w:p>
        </w:tc>
        <w:tc>
          <w:tcPr>
            <w:tcW w:type="dxa" w:w="237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+45%</w:t>
            </w:r>
          </w:p>
        </w:tc>
      </w:tr>
    </w:tbl>
    <w:p/>
    <w:p>
      <w:pPr>
        <w:spacing w:before="120" w:after="40"/>
      </w:pPr>
      <w:r>
        <w:rPr>
          <w:b/>
          <w:color w:val="1F3964"/>
          <w:sz w:val="26"/>
        </w:rPr>
        <w:t>2.  Revenue Overview</w:t>
      </w:r>
    </w:p>
    <w:p>
      <w:pPr>
        <w:spacing w:before="0" w:after="80"/>
      </w:pPr>
      <w:r>
        <w:rPr>
          <w:color w:val="00709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color w:val="262626"/>
          <w:sz w:val="20"/>
        </w:rPr>
        <w:t>Kayako's revenue model is predominantly subscription-based (SaaS), with ARR constituting the majority of recognised revenue in each reported year. The consistently high ARR-to-revenue ratio (≥81% in every year) confirms a highly recurring, predictable revenue base.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YoY Growth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YoY Growth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ARR / Revenue</w:t>
            </w:r>
          </w:p>
        </w:tc>
      </w:tr>
      <w:tr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2019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$12.5M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—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$10.2M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—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81.6%</w:t>
            </w:r>
          </w:p>
        </w:tc>
      </w:tr>
      <w:tr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2020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$15.8M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+26.4%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$13.5M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+32.4%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85.4%</w:t>
            </w:r>
          </w:p>
        </w:tc>
      </w:tr>
      <w:tr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2021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$21.2M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+34.2%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$18.9M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+40.0%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89.2%</w:t>
            </w:r>
          </w:p>
        </w:tc>
      </w:tr>
      <w:tr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2022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$28.4M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+34.0%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$25.6M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+35.4%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90.1%</w:t>
            </w:r>
          </w:p>
        </w:tc>
      </w:tr>
      <w:tr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2023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$36.9M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+29.9%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$33.2M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+29.7%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90.0%</w:t>
            </w:r>
          </w:p>
        </w:tc>
      </w:tr>
      <w:tr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2024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$45.5M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+23.3%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$41.8M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+25.9%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91.9%</w:t>
            </w:r>
          </w:p>
        </w:tc>
      </w:tr>
    </w:tbl>
    <w:p/>
    <w:p>
      <w:pPr>
        <w:spacing w:after="60"/>
      </w:pPr>
      <w:r>
        <w:rPr>
          <w:color w:val="262626"/>
          <w:sz w:val="20"/>
        </w:rPr>
        <w:t>Revenue growth has been consistently strong, accelerating from 26.4% YoY (2019–2020) to a peak of 34.2% (2020–2021) before normalising at ~23% (2023–2024). This tapering is expected at scale and does not indicate structural deterioration — the absolute revenue increment in 2024 (~$8.6M) exceeded that of any prior year.</w:t>
      </w:r>
    </w:p>
    <w:p/>
    <w:p>
      <w:pPr>
        <w:spacing w:before="120" w:after="40"/>
      </w:pPr>
      <w:r>
        <w:rPr>
          <w:b/>
          <w:color w:val="1F3964"/>
          <w:sz w:val="26"/>
        </w:rPr>
        <w:t>3.  Growth Trends</w:t>
      </w:r>
    </w:p>
    <w:p>
      <w:pPr>
        <w:spacing w:before="0" w:after="80"/>
      </w:pPr>
      <w:r>
        <w:rPr>
          <w:color w:val="00709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007096"/>
          <w:sz w:val="22"/>
        </w:rPr>
        <w:t>3.1  Revenue &amp; ARR Momentum</w:t>
      </w:r>
    </w:p>
    <w:p>
      <w:pPr>
        <w:spacing w:after="60"/>
      </w:pPr>
      <w:r>
        <w:rPr>
          <w:color w:val="262626"/>
          <w:sz w:val="20"/>
        </w:rPr>
        <w:t>Five-year revenue CAGR: 29.5%  |  Five-year ARR CAGR: 32.6%. ARR has grown faster than total revenue in every year, indicating that the subscription mix is increasing as a share of the business — a positive signal for revenue quality and forward visibility.</w:t>
      </w:r>
    </w:p>
    <w:p>
      <w:pPr>
        <w:spacing w:before="160" w:after="40"/>
      </w:pPr>
      <w:r>
        <w:rPr>
          <w:b/>
          <w:color w:val="007096"/>
          <w:sz w:val="22"/>
        </w:rPr>
        <w:t>3.2  Margin Expansion</w:t>
      </w:r>
    </w:p>
    <w:p>
      <w:pPr>
        <w:spacing w:after="60"/>
      </w:pPr>
      <w:r>
        <w:rPr>
          <w:color w:val="262626"/>
          <w:sz w:val="20"/>
        </w:rPr>
        <w:t>Gross margin improved from 68% (2019) to 77% (2024), a gain of 9 percentage points over five years. This is consistent with SaaS scale economics: infrastructure and support costs grow sub-linearly relative to revenue as the customer base matures. EBITDA margin doubled from 12% to 24%, reflecting disciplined operating cost control alongside top-line growth.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Gross Margin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Gross Profit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EBITDA Margin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EBITDA ($)</w:t>
            </w:r>
          </w:p>
        </w:tc>
      </w:tr>
      <w:tr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2019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$12.5M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68%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$8.5M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12%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$1.5M</w:t>
            </w:r>
          </w:p>
        </w:tc>
      </w:tr>
      <w:tr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2020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$15.8M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70%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$11.1M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15%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$2.4M</w:t>
            </w:r>
          </w:p>
        </w:tc>
      </w:tr>
      <w:tr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2021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$21.2M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72%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$15.3M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18%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$3.8M</w:t>
            </w:r>
          </w:p>
        </w:tc>
      </w:tr>
      <w:tr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2022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$28.4M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74%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$21.0M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20%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$5.7M</w:t>
            </w:r>
          </w:p>
        </w:tc>
      </w:tr>
      <w:tr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2023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$36.9M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76%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$28.0M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22%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$8.1M</w:t>
            </w:r>
          </w:p>
        </w:tc>
      </w:tr>
      <w:tr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2024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$45.5M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77%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$35.0M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24%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$10.9M</w:t>
            </w:r>
          </w:p>
        </w:tc>
      </w:tr>
    </w:tbl>
    <w:p>
      <w:pPr>
        <w:spacing w:before="160" w:after="40"/>
      </w:pPr>
      <w:r>
        <w:rPr>
          <w:b/>
          <w:color w:val="007096"/>
          <w:sz w:val="22"/>
        </w:rPr>
        <w:t>3.3  Customer &amp; ARPU Growth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Customers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YoY Growth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ARPU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YoY Growth</w:t>
            </w:r>
          </w:p>
        </w:tc>
        <w:tc>
          <w:tcPr>
            <w:tcW w:type="dxa" w:w="158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ARR</w:t>
            </w:r>
          </w:p>
        </w:tc>
      </w:tr>
      <w:tr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2019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1,200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—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$8K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—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$10.2M</w:t>
            </w:r>
          </w:p>
        </w:tc>
      </w:tr>
      <w:tr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2020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1,450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+20.8%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$9K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+9.4%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$13.5M</w:t>
            </w:r>
          </w:p>
        </w:tc>
      </w:tr>
      <w:tr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2021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1,800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+24.1%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$10K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+12.9%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$18.9M</w:t>
            </w:r>
          </w:p>
        </w:tc>
      </w:tr>
      <w:tr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2022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2,300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+27.8%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$11K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+5.7%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$25.6M</w:t>
            </w:r>
          </w:p>
        </w:tc>
      </w:tr>
      <w:tr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2023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2,900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+26.1%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$12K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+3.6%</w:t>
            </w:r>
          </w:p>
        </w:tc>
        <w:tc>
          <w:tcPr>
            <w:tcW w:type="dxa" w:w="1586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$33.2M</w:t>
            </w:r>
          </w:p>
        </w:tc>
      </w:tr>
      <w:tr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8"/>
              </w:rPr>
              <w:t>2024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3,400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+17.2%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$12K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+7.0%</w:t>
            </w:r>
          </w:p>
        </w:tc>
        <w:tc>
          <w:tcPr>
            <w:tcW w:type="dxa" w:w="15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8"/>
              </w:rPr>
              <w:t>$41.8M</w:t>
            </w:r>
          </w:p>
        </w:tc>
      </w:tr>
    </w:tbl>
    <w:p/>
    <w:p>
      <w:pPr>
        <w:spacing w:after="60"/>
      </w:pPr>
      <w:r>
        <w:rPr>
          <w:color w:val="262626"/>
          <w:sz w:val="20"/>
        </w:rPr>
        <w:t>Both customer count and ARPU have grown simultaneously — a strong indicator that Kayako is both acquiring new logos and successfully expanding existing accounts. ARPU growth of 45% over five years suggests effective product upsell and tiered-pricing realisation.</w:t>
      </w:r>
    </w:p>
    <w:p/>
    <w:p>
      <w:pPr>
        <w:spacing w:before="120" w:after="40"/>
      </w:pPr>
      <w:r>
        <w:rPr>
          <w:b/>
          <w:color w:val="1F3964"/>
          <w:sz w:val="26"/>
        </w:rPr>
        <w:t>4.  ARR &amp; Recurring Revenue Insights</w:t>
      </w:r>
    </w:p>
    <w:p>
      <w:pPr>
        <w:spacing w:before="0" w:after="80"/>
      </w:pPr>
      <w:r>
        <w:rPr>
          <w:color w:val="00709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color w:val="262626"/>
          <w:sz w:val="20"/>
        </w:rPr>
        <w:t>ARR of $41.8M represents 91.9% of 2024 total revenue, confirming that the vast majority of revenue is subscription-based and therefore highly predictable. Key ARR observations:</w:t>
      </w:r>
    </w:p>
    <w:p>
      <w:pPr>
        <w:pStyle w:val="ListBullet"/>
        <w:spacing w:after="60"/>
      </w:pPr>
      <w:r>
        <w:rPr>
          <w:color w:val="262626"/>
          <w:sz w:val="20"/>
        </w:rPr>
        <w:t>ARR has exceeded 80% of total revenue in every year of the reporting period.</w:t>
      </w:r>
    </w:p>
    <w:p>
      <w:pPr>
        <w:pStyle w:val="ListBullet"/>
        <w:spacing w:after="60"/>
      </w:pPr>
      <w:r>
        <w:rPr>
          <w:color w:val="262626"/>
          <w:sz w:val="20"/>
        </w:rPr>
        <w:t>Implied ARR expansion per customer (net ARR ÷ net new customers) rose from ~$17,200 in 2023–2024, suggesting healthy net revenue retention.</w:t>
      </w:r>
    </w:p>
    <w:p>
      <w:pPr>
        <w:pStyle w:val="ListBullet"/>
        <w:spacing w:after="60"/>
      </w:pPr>
      <w:r>
        <w:rPr>
          <w:color w:val="262626"/>
          <w:sz w:val="20"/>
        </w:rPr>
        <w:t>The gap between ARR and total revenue (non-ARR revenue) has remained relatively stable in absolute terms (~$2.3M–$3.7M), likely representing professional services, implementation fees, or one-time charges.</w:t>
      </w:r>
    </w:p>
    <w:p>
      <w:pPr>
        <w:pStyle w:val="ListBullet"/>
        <w:spacing w:after="60"/>
      </w:pPr>
      <w:r>
        <w:rPr>
          <w:color w:val="262626"/>
          <w:sz w:val="20"/>
        </w:rPr>
        <w:t>ARR CAGR of 32.5% outpaces revenue CAGR of 29.5%, confirming the business is improving its recurring-revenue mix year over year.</w:t>
      </w:r>
    </w:p>
    <w:p/>
    <w:p>
      <w:pPr>
        <w:spacing w:before="120" w:after="40"/>
      </w:pPr>
      <w:r>
        <w:rPr>
          <w:b/>
          <w:color w:val="1F3964"/>
          <w:sz w:val="26"/>
        </w:rPr>
        <w:t>5.  Risk Analysis &amp; Key Concerns</w:t>
      </w:r>
    </w:p>
    <w:p>
      <w:pPr>
        <w:spacing w:before="0" w:after="80"/>
      </w:pPr>
      <w:r>
        <w:rPr>
          <w:color w:val="00709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color w:val="262626"/>
          <w:sz w:val="20"/>
        </w:rPr>
        <w:t>The following risks and areas of diligence concern are identified based on the financial data presented in the CIM. Acquirers should seek confirmatory data in additional diligence materials.</w:t>
      </w:r>
    </w:p>
    <w:p/>
    <w:p>
      <w:pPr>
        <w:spacing w:after="60"/>
        <w:ind w:left="283"/>
      </w:pPr>
      <w:r>
        <w:rPr>
          <w:b/>
          <w:color w:val="C00000"/>
          <w:sz w:val="20"/>
        </w:rPr>
        <w:t xml:space="preserve">[RISK]  </w:t>
      </w:r>
      <w:r>
        <w:rPr>
          <w:color w:val="262626"/>
          <w:sz w:val="20"/>
        </w:rPr>
        <w:t>Revenue Growth Deceleration — YoY revenue growth has slowed from 34.2% (2020–2021) to 23.3% (2023–2024). While partially attributable to base-rate effects at scale, the trend warrants scrutiny of pipeline quality, competitive positioning, and market saturation.</w:t>
      </w:r>
    </w:p>
    <w:p>
      <w:pPr>
        <w:spacing w:after="60"/>
        <w:ind w:left="283"/>
      </w:pPr>
      <w:r>
        <w:rPr>
          <w:b/>
          <w:color w:val="C00000"/>
          <w:sz w:val="20"/>
        </w:rPr>
        <w:t xml:space="preserve">[RISK]  </w:t>
      </w:r>
      <w:r>
        <w:rPr>
          <w:color w:val="262626"/>
          <w:sz w:val="20"/>
        </w:rPr>
        <w:t>Non-ARR Revenue Opacity — The CIM discloses total revenue and ARR but does not break out services, implementation, or one-time revenue. The $3.7M gap between total revenue and ARR in 2024 may mask declining transactional revenue or one-time items that flatter headline figures.</w:t>
      </w:r>
    </w:p>
    <w:p>
      <w:pPr>
        <w:spacing w:after="60"/>
        <w:ind w:left="283"/>
      </w:pPr>
      <w:r>
        <w:rPr>
          <w:b/>
          <w:color w:val="C00000"/>
          <w:sz w:val="20"/>
        </w:rPr>
        <w:t xml:space="preserve">[RISK]  </w:t>
      </w:r>
      <w:r>
        <w:rPr>
          <w:color w:val="262626"/>
          <w:sz w:val="20"/>
        </w:rPr>
        <w:t>Customer Concentration — No customer-level revenue breakdown is included in the CIM's Financial Summary sheet. With 3,400 customers and $45.5M in revenue, average spend is $12,300, but concentration in a small number of enterprise accounts cannot be ruled out without further analysis.</w:t>
      </w:r>
    </w:p>
    <w:p>
      <w:pPr>
        <w:spacing w:after="60"/>
        <w:ind w:left="283"/>
      </w:pPr>
      <w:r>
        <w:rPr>
          <w:b/>
          <w:color w:val="C00000"/>
          <w:sz w:val="20"/>
        </w:rPr>
        <w:t xml:space="preserve">[RISK]  </w:t>
      </w:r>
      <w:r>
        <w:rPr>
          <w:color w:val="262626"/>
          <w:sz w:val="20"/>
        </w:rPr>
        <w:t>Churn &amp; Net Revenue Retention — The CIM does not disclose gross or net revenue retention (NRR/GRR) rates. These are critical SaaS valuation metrics. Inferred ARR growth per existing customer is positive, but logo churn rate is unknown.</w:t>
      </w:r>
    </w:p>
    <w:p>
      <w:pPr>
        <w:spacing w:after="60"/>
        <w:ind w:left="283"/>
      </w:pPr>
      <w:r>
        <w:rPr>
          <w:b/>
          <w:color w:val="C00000"/>
          <w:sz w:val="20"/>
        </w:rPr>
        <w:t xml:space="preserve">[RISK]  </w:t>
      </w:r>
      <w:r>
        <w:rPr>
          <w:color w:val="262626"/>
          <w:sz w:val="20"/>
        </w:rPr>
        <w:t>EBITDA Quality — EBITDA margins of 24% are strong for a SaaS company of this scale, but the CIM does not clarify add-backs, stock-based compensation treatment, or capitalised software development costs. Adjusted vs. GAAP EBITDA reconciliation is required.</w:t>
      </w:r>
    </w:p>
    <w:p>
      <w:pPr>
        <w:spacing w:after="60"/>
        <w:ind w:left="283"/>
      </w:pPr>
      <w:r>
        <w:rPr>
          <w:b/>
          <w:color w:val="C00000"/>
          <w:sz w:val="20"/>
        </w:rPr>
        <w:t xml:space="preserve">[INFO GAP]  </w:t>
      </w:r>
      <w:r>
        <w:rPr>
          <w:color w:val="262626"/>
          <w:sz w:val="20"/>
        </w:rPr>
        <w:t>Limited Segment Disclosure — No product-line, geographic, or vertical revenue breakdown is provided. Diversification across segments cannot be assessed from the current data.</w:t>
      </w:r>
    </w:p>
    <w:p/>
    <w:p>
      <w:pPr>
        <w:spacing w:before="120" w:after="40"/>
      </w:pPr>
      <w:r>
        <w:rPr>
          <w:b/>
          <w:color w:val="1F3964"/>
          <w:sz w:val="26"/>
        </w:rPr>
        <w:t>6.  Key Diligence Questions for Management</w:t>
      </w:r>
    </w:p>
    <w:p>
      <w:pPr>
        <w:spacing w:before="0" w:after="80"/>
      </w:pPr>
      <w:r>
        <w:rPr>
          <w:color w:val="00709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color w:val="262626"/>
          <w:sz w:val="20"/>
        </w:rPr>
        <w:t>1.  What is the gross and net revenue retention rate for 2022–2024?</w:t>
      </w:r>
    </w:p>
    <w:p>
      <w:pPr>
        <w:spacing w:after="60"/>
      </w:pPr>
      <w:r>
        <w:rPr>
          <w:color w:val="262626"/>
          <w:sz w:val="20"/>
        </w:rPr>
        <w:t>2.  What is the revenue breakdown by product tier / module and by geography?</w:t>
      </w:r>
    </w:p>
    <w:p>
      <w:pPr>
        <w:spacing w:after="60"/>
      </w:pPr>
      <w:r>
        <w:rPr>
          <w:color w:val="262626"/>
          <w:sz w:val="20"/>
        </w:rPr>
        <w:t>3.  What is the Top 10 / Top 20 customer revenue concentration as a % of ARR?</w:t>
      </w:r>
    </w:p>
    <w:p>
      <w:pPr>
        <w:spacing w:after="60"/>
      </w:pPr>
      <w:r>
        <w:rPr>
          <w:color w:val="262626"/>
          <w:sz w:val="20"/>
        </w:rPr>
        <w:t>4.  What specific items constitute the non-ARR revenue of ~$3.7M in 2024?</w:t>
      </w:r>
    </w:p>
    <w:p>
      <w:pPr>
        <w:spacing w:after="60"/>
      </w:pPr>
      <w:r>
        <w:rPr>
          <w:color w:val="262626"/>
          <w:sz w:val="20"/>
        </w:rPr>
        <w:t>5.  What is the EBITDA bridge from GAAP operating income to reported EBITDA (SBC, D&amp;A, one-time items)?</w:t>
      </w:r>
    </w:p>
    <w:p>
      <w:pPr>
        <w:spacing w:after="60"/>
      </w:pPr>
      <w:r>
        <w:rPr>
          <w:color w:val="262626"/>
          <w:sz w:val="20"/>
        </w:rPr>
        <w:t>6.  What is the average contract length and mix of monthly vs. annual subscriptions?</w:t>
      </w:r>
    </w:p>
    <w:p>
      <w:pPr>
        <w:spacing w:after="60"/>
      </w:pPr>
      <w:r>
        <w:rPr>
          <w:color w:val="262626"/>
          <w:sz w:val="20"/>
        </w:rPr>
        <w:t>7.  What are the primary drivers of gross margin improvement and how sustainable are they?</w:t>
      </w:r>
    </w:p>
    <w:p>
      <w:pPr>
        <w:spacing w:after="60"/>
      </w:pPr>
      <w:r>
        <w:rPr>
          <w:color w:val="262626"/>
          <w:sz w:val="20"/>
        </w:rPr>
        <w:t>8.  What is the expected ARR growth rate for FY2025 and what are the pipeline assumptions?</w:t>
      </w:r>
    </w:p>
    <w:p/>
    <w:p>
      <w:pPr>
        <w:spacing w:before="120" w:after="40"/>
      </w:pPr>
      <w:r>
        <w:rPr>
          <w:b/>
          <w:color w:val="1F3964"/>
          <w:sz w:val="26"/>
        </w:rPr>
        <w:t>7.  Appendix: Full Financial Summary (2019–2024)</w:t>
      </w:r>
    </w:p>
    <w:p>
      <w:pPr>
        <w:spacing w:before="0" w:after="80"/>
      </w:pPr>
      <w:r>
        <w:rPr>
          <w:color w:val="007096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05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Revenue ($)</w:t>
            </w:r>
          </w:p>
        </w:tc>
        <w:tc>
          <w:tcPr>
            <w:tcW w:type="dxa" w:w="105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ARR ($)</w:t>
            </w:r>
          </w:p>
        </w:tc>
        <w:tc>
          <w:tcPr>
            <w:tcW w:type="dxa" w:w="105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Margin</w:t>
            </w:r>
          </w:p>
        </w:tc>
        <w:tc>
          <w:tcPr>
            <w:tcW w:type="dxa" w:w="105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Gross Profit ($)</w:t>
            </w:r>
          </w:p>
        </w:tc>
        <w:tc>
          <w:tcPr>
            <w:tcW w:type="dxa" w:w="105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EBITDA Margin</w:t>
            </w:r>
          </w:p>
        </w:tc>
        <w:tc>
          <w:tcPr>
            <w:tcW w:type="dxa" w:w="105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EBITDA ($)</w:t>
            </w:r>
          </w:p>
        </w:tc>
        <w:tc>
          <w:tcPr>
            <w:tcW w:type="dxa" w:w="105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Customers</w:t>
            </w:r>
          </w:p>
        </w:tc>
        <w:tc>
          <w:tcPr>
            <w:tcW w:type="dxa" w:w="105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ARPU ($)</w:t>
            </w:r>
          </w:p>
        </w:tc>
      </w:tr>
      <w:tr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6"/>
              </w:rPr>
              <w:t>2019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$12.5M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$10.2M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68%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$8.5M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12%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$1.5M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1,200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$8K</w:t>
            </w:r>
          </w:p>
        </w:tc>
      </w:tr>
      <w:tr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6"/>
              </w:rPr>
              <w:t>2020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$15.8M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$13.5M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70%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$11.1M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15%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$2.4M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1,450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$9K</w:t>
            </w:r>
          </w:p>
        </w:tc>
      </w:tr>
      <w:tr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6"/>
              </w:rPr>
              <w:t>2021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$21.2M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$18.9M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72%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$15.3M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18%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$3.8M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1,800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$10K</w:t>
            </w:r>
          </w:p>
        </w:tc>
      </w:tr>
      <w:tr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6"/>
              </w:rPr>
              <w:t>2022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$28.4M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$25.6M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74%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$21.0M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20%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$5.7M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2,300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$11K</w:t>
            </w:r>
          </w:p>
        </w:tc>
      </w:tr>
      <w:tr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6"/>
              </w:rPr>
              <w:t>2023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$36.9M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$33.2M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76%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$28.0M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22%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$8.1M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2,900</w:t>
            </w:r>
          </w:p>
        </w:tc>
        <w:tc>
          <w:tcPr>
            <w:tcW w:type="dxa" w:w="1058"/>
            <w:shd w:val="clear" w:color="auto" w:fill="F2F7FC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$12K</w:t>
            </w:r>
          </w:p>
        </w:tc>
      </w:tr>
      <w:tr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262626"/>
                <w:sz w:val="16"/>
              </w:rPr>
              <w:t>2024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$45.5M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$41.8M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77%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$35.0M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24%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$10.9M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3,400</w:t>
            </w:r>
          </w:p>
        </w:tc>
        <w:tc>
          <w:tcPr>
            <w:tcW w:type="dxa" w:w="105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262626"/>
                <w:sz w:val="16"/>
              </w:rPr>
              <w:t>$12K</w:t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This document is based solely on information contained in the Kayako Confidential Information Memorandum (Financial_Summary sheet). All figures in USD. For internal M&amp;A diligence use only.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