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Release Notes: Payments v2</w:t>
      </w:r>
    </w:p>
    <w:p>
      <w:pPr>
        <w:pStyle w:val="Heading2"/>
      </w:pPr>
      <w:r>
        <w:t>Deployment Scope</w:t>
      </w:r>
    </w:p>
    <w:p>
      <w:r>
        <w:t>Payments v2 release includes API rollout, monitoring updates, and support handover.</w:t>
      </w:r>
    </w:p>
    <w:p>
      <w:r>
        <w:t>Feature flag rollout remains constrained until SRE approval is recorded.</w:t>
      </w:r>
    </w:p>
    <w:p>
      <w:pPr>
        <w:pStyle w:val="ListNumber"/>
      </w:pPr>
      <w:r>
        <w:t>1. Confirm deployment window with SRE.</w:t>
      </w:r>
    </w:p>
    <w:p>
      <w:pPr>
        <w:pStyle w:val="ListNumber"/>
      </w:pPr>
      <w:r>
        <w:t>2. Confirm rollback owner is on-call.</w:t>
      </w:r>
    </w:p>
    <w:p>
      <w:pPr>
        <w:pStyle w:val="Heading2"/>
      </w:pPr>
      <w:r>
        <w:t>Approval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Security sign-off</w:t>
            </w:r>
          </w:p>
        </w:tc>
        <w:tc>
          <w:tcPr>
            <w:tcW w:type="dxa" w:w="2880"/>
          </w:tcPr>
          <w:p>
            <w:r>
              <w:t>Security Lead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  <w:tr>
        <w:tc>
          <w:tcPr>
            <w:tcW w:type="dxa" w:w="2880"/>
          </w:tcPr>
          <w:p>
            <w:r>
              <w:t>Rollback readiness</w:t>
            </w:r>
          </w:p>
        </w:tc>
        <w:tc>
          <w:tcPr>
            <w:tcW w:type="dxa" w:w="2880"/>
          </w:tcPr>
          <w:p>
            <w:r>
              <w:t>SRE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Customer notification</w:t>
            </w:r>
          </w:p>
        </w:tc>
        <w:tc>
          <w:tcPr>
            <w:tcW w:type="dxa" w:w="2880"/>
          </w:tcPr>
          <w:p>
            <w:r>
              <w:t>Product Owner</w:t>
            </w:r>
          </w:p>
        </w:tc>
        <w:tc>
          <w:tcPr>
            <w:tcW w:type="dxa" w:w="2880"/>
          </w:tcPr>
          <w:p>
            <w:r>
              <w:t>APPROVED</w:t>
            </w:r>
          </w:p>
        </w:tc>
      </w:tr>
    </w:tbl>
    <w:p>
      <w:pPr>
        <w:pStyle w:val="Heading2"/>
      </w:pPr>
      <w:r>
        <w:t>Known Limitations</w:t>
      </w:r>
    </w:p>
    <w:p>
      <w:r>
        <w:t>A rollback drill is documented, but the final go/no-go meeting must verify production readiness.</w:t>
      </w:r>
    </w:p>
    <w:p>
      <w:r>
        <w:t>Customer notification copy is ready and waiting for product owner sign-off.</w:t>
      </w:r>
    </w:p>
    <w:p>
      <w:pPr>
        <w:pStyle w:val="Heading2"/>
      </w:pPr>
      <w:r>
        <w:t>Appendix A: Rollback Contacts</w:t>
      </w:r>
    </w:p>
    <w:p>
      <w:r>
        <w:t>Primary on-call: sre-primary@example.com</w:t>
      </w:r>
    </w:p>
    <w:p>
      <w:r>
        <w:t>Secondary on-call: sre-secondary@example.com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