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RANI DRUGI TRIMESTAR TRUDNOĆE-EXPERTNI ULTRAZVUČNI PREGLED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Pregled u 16 nedelji trudnoće ima sledeće prednosti:</w:t>
      </w:r>
    </w:p>
    <w:p>
      <w:pPr>
        <w:pStyle w:val="ListParagraph"/>
        <w:numPr>
          <w:ilvl w:val="0"/>
          <w:numId w:val="1"/>
        </w:numPr>
        <w:rPr/>
      </w:pPr>
      <w:r>
        <w:rPr/>
        <w:t>Najveći deo razvoja ploda je završen( 80-90%), te je njegova provera tad moguća.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Prisutni su „Soft“ ultrazvučni markeri za otkrivanje 91% hromozomskih anomalija </w:t>
      </w:r>
    </w:p>
    <w:p>
      <w:pPr>
        <w:pStyle w:val="ListParagraph"/>
        <w:numPr>
          <w:ilvl w:val="0"/>
          <w:numId w:val="1"/>
        </w:numPr>
        <w:rPr/>
      </w:pPr>
      <w:r>
        <w:rPr/>
        <w:t>Neophodna je provera funkcije posteljice I započinjanja terapije,  da nebi  kasnije došlo do zastoja rasta ploda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Ponovna procena cirkulacije krvi i anatomije srca ploda, nakon pregleda u I trimestru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Odluka o „triple“ testu iz krvi trudnice. </w:t>
      </w:r>
    </w:p>
    <w:p>
      <w:pPr>
        <w:pStyle w:val="ListParagraph"/>
        <w:numPr>
          <w:ilvl w:val="0"/>
          <w:numId w:val="1"/>
        </w:numPr>
        <w:rPr/>
      </w:pPr>
      <w:r>
        <w:rPr/>
        <w:t>I eventualna odluka o genetskoj amniocentezi na osnovu dobijenih ultrazvučnih markera I biohemiskog skrininga iz krvi trudnice.</w:t>
      </w:r>
    </w:p>
    <w:p>
      <w:pPr>
        <w:pStyle w:val="Normal"/>
        <w:jc w:val="both"/>
        <w:rPr/>
      </w:pPr>
      <w:r>
        <w:rPr/>
        <w:t>Pregled u ranom drugom timestru trudnoće je važan jer najveći deo anatomije je dostupan ultrazvučnom pregledu i može se dopuniti endovaginalnom sondom.</w:t>
      </w:r>
    </w:p>
    <w:p>
      <w:pPr>
        <w:pStyle w:val="Normal"/>
        <w:jc w:val="both"/>
        <w:rPr/>
      </w:pPr>
      <w:r>
        <w:rPr/>
        <w:t>Svi  organi ploda i delovi tela (nos, uši, usta, oči, šake, stopala, kičma itd) su završili razvoj osim treće faze razvoja mozga. Ova faza formiranja kore velikog mozga kao i mokraćni kanali se ne završavaju u vreme „Clasical time“ pregleda u 22 nedelji nego tek u 24-28-32 nedelji trudnoće.</w:t>
      </w:r>
    </w:p>
    <w:p>
      <w:pPr>
        <w:pStyle w:val="Normal"/>
        <w:jc w:val="both"/>
        <w:rPr/>
      </w:pPr>
      <w:r>
        <w:rPr/>
        <w:t>Fenotip ploda je dostupan proceni na 3D multiplanarnoj analizi što je neophodno u proceni koštanog sistema , komornog sistema mozga i mekih tkiva i koštanih struktura glave ploda.</w:t>
      </w:r>
    </w:p>
    <w:p>
      <w:pPr>
        <w:pStyle w:val="Normal"/>
        <w:spacing w:before="0" w:after="200"/>
        <w:jc w:val="both"/>
        <w:rPr/>
      </w:pPr>
      <w:r>
        <w:rPr/>
        <w:t xml:space="preserve">Zaključak: Ekspertni pregled u ovoj starosti trudnoće zahteva „Premium“ ultrazvučnu mašinu (visoke rezolucije slike)i doktora sa iskustvom. U ovoj starosti trudnoće, pregled zahteva određeno vreme, dugotrajnu koncentraciju doktora te je opšte  prihvaćeno mišljenje da je maksimalan broj pregleda 5 trudnoća za radno vreme. Sve preko toga je praćeno padom kvaliteta pregleda i raste procenat ne registrovanih razvojnih grešaka ploda. 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e2a4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1427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LibreOffice/7.3.2.2$Windows_X86_64 LibreOffice_project/49f2b1bff42cfccbd8f788c8dc32c1c309559be0</Application>
  <AppVersion>15.0000</AppVersion>
  <Pages>1</Pages>
  <Words>254</Words>
  <Characters>1459</Characters>
  <CharactersWithSpaces>1704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2023-07-01T09:49:00Z</dcterms:created>
  <dc:creator>Ordinacija</dc:creator>
  <dc:description/>
  <dc:language>en-GB</dc:language>
  <cp:lastModifiedBy>Ordinacija</cp:lastModifiedBy>
  <dcterms:modified xsi:type="dcterms:W3CDTF">2023-07-01T15:40:00Z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