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6B5" w:rsidRPr="00EB36B5" w:rsidRDefault="00EB36B5" w:rsidP="00EB36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36B5">
        <w:rPr>
          <w:rFonts w:ascii="Arial" w:eastAsia="Times New Roman" w:hAnsi="Arial" w:cs="Arial"/>
          <w:color w:val="222222"/>
          <w:sz w:val="24"/>
          <w:szCs w:val="24"/>
        </w:rPr>
        <w:t>ANEURIZMA ABDOMINALNE AORTE -AAA</w:t>
      </w:r>
      <w:r w:rsidRPr="00EB36B5">
        <w:rPr>
          <w:rFonts w:ascii="Arial" w:eastAsia="Times New Roman" w:hAnsi="Arial" w:cs="Arial"/>
          <w:color w:val="222222"/>
          <w:sz w:val="24"/>
          <w:szCs w:val="24"/>
        </w:rPr>
        <w:br/>
        <w:t xml:space="preserve">DIJAGNOZA </w:t>
      </w:r>
      <w:proofErr w:type="gram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“ AAA</w:t>
      </w:r>
      <w:proofErr w:type="gram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“ SE POSTAVLJA PREGLEDOM TRBUHA ULTRAZVUKOM</w:t>
      </w:r>
      <w:r w:rsidRPr="00EB36B5">
        <w:rPr>
          <w:rFonts w:ascii="Arial" w:eastAsia="Times New Roman" w:hAnsi="Arial" w:cs="Arial"/>
          <w:color w:val="222222"/>
          <w:sz w:val="24"/>
          <w:szCs w:val="24"/>
        </w:rPr>
        <w:br/>
        <w:t xml:space="preserve">Na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osnovu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simptoma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pacijenta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nalaza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fizičkog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pregleda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napravljena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je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detaljna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diferencijalna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dijagnoza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proofErr w:type="gram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Najverovatnija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stanja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u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diferencijalu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bili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su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akutni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pankreatitis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akutna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mezenterična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ishemija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(AMI),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hronična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mezenterična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ishemija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(CMI)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aneurizma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abdominalne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aorte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(AAA).</w:t>
      </w:r>
      <w:proofErr w:type="gramEnd"/>
      <w:r w:rsidRPr="00EB36B5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Prvobitna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prezentacija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pacijenta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izazvala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je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sumnju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na</w:t>
      </w:r>
      <w:proofErr w:type="spellEnd"/>
      <w:proofErr w:type="gram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akutni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pankreatitis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Njegova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ateroskleroza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hiperholesterolemija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duga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istorija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pušenja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, u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kombinaciji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proofErr w:type="gram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fizičkim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simptomima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kao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što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je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bol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u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stomaku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),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učinili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su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da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se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akutni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pankreatitis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čini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verovatnim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proofErr w:type="gram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Međutim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iako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su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mu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nivoi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holesterola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triglicerida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bili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povišeni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vrednosti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nisu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bile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dovoljno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visoke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da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potvrde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dijagnozu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akutnog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pankreatitisa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Štaviše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pacijentovo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blago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povećanje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nivoa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pankreasne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lipaze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u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poređenju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proofErr w:type="gram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referentnim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opsegom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nije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bilo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dovoljno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značajno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da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bi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opravdalo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dalju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evaluaciju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proofErr w:type="gram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Dakle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akutni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pankreatitis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je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isključen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kao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potencijalna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dijagnoza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EB36B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B36B5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Tokom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fizičkog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pregleda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palpirana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je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meka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modrica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u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abdomenu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što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ukazuje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na</w:t>
      </w:r>
      <w:proofErr w:type="spellEnd"/>
      <w:proofErr w:type="gram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smetnju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protoku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krvi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Ovaj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nalaz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je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izazvao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sumnju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na</w:t>
      </w:r>
      <w:proofErr w:type="spellEnd"/>
      <w:proofErr w:type="gram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AMI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ili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CMI. </w:t>
      </w:r>
      <w:proofErr w:type="spellStart"/>
      <w:proofErr w:type="gram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Daljim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pregledom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abdomena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utvrđen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je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povećan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obim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distalne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trbušne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aorte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Kao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rezultat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toga,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diferencijalnoj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dijagnozi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je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dodat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AAA.</w:t>
      </w:r>
      <w:proofErr w:type="gramEnd"/>
      <w:r w:rsidRPr="00EB36B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B36B5">
        <w:rPr>
          <w:rFonts w:ascii="Arial" w:eastAsia="Times New Roman" w:hAnsi="Arial" w:cs="Arial"/>
          <w:color w:val="222222"/>
          <w:sz w:val="24"/>
          <w:szCs w:val="24"/>
        </w:rPr>
        <w:br/>
        <w:t xml:space="preserve">AAA je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proširenje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obima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aorte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u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poređenju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proofErr w:type="gram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ostatkom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krvnog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suda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proofErr w:type="gram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Faktori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rizika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za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AAA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uključuju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godine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starosti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hipertenziju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belu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etničku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pripadnost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;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Međutim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ključni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faktor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bolesti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je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istorija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pušenja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Većina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AAA je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asimptomatska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slučajno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se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nalazi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u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rutinskim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studijama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snimanja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U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stvari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studija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je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pokazala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da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se 30% AAA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kod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asimptomatskih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osoba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otkrije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kao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pulsirajuće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mase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tokom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fizičkog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pregleda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>.[4]</w:t>
      </w:r>
      <w:r w:rsidRPr="00EB36B5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Netretirane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AAA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su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u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opasnosti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od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rupture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kada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se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proširenje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suda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poveća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preko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5,5 cm.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Rizik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od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rupture se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progresivno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povećava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kontinuiranim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teškim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pušenjem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lošom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kontrolom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krvnog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pritiska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nivoa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holesterola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godinama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Zajednički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savet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Američkog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udruženja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za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vaskularnu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hirurgiju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Društva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za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vaskularnu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hirurgiju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uspostavili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su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smernice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o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riziku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od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rupture AAA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kao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što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sledi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gramEnd"/>
      <w:r w:rsidRPr="00EB36B5">
        <w:rPr>
          <w:rFonts w:ascii="Arial" w:eastAsia="Times New Roman" w:hAnsi="Arial" w:cs="Arial"/>
          <w:color w:val="222222"/>
          <w:sz w:val="24"/>
          <w:szCs w:val="24"/>
        </w:rPr>
        <w:t>5]:</w:t>
      </w:r>
      <w:r w:rsidRPr="00EB36B5">
        <w:rPr>
          <w:rFonts w:ascii="Arial" w:eastAsia="Times New Roman" w:hAnsi="Arial" w:cs="Arial"/>
          <w:color w:val="222222"/>
          <w:sz w:val="24"/>
          <w:szCs w:val="24"/>
        </w:rPr>
        <w:br/>
        <w:t xml:space="preserve">&lt; 4 cm u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prečniku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: 0%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rizika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br/>
        <w:t xml:space="preserve">4-4,9 cm u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prečniku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rizik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od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0,5%-5%.</w:t>
      </w:r>
      <w:r w:rsidRPr="00EB36B5">
        <w:rPr>
          <w:rFonts w:ascii="Arial" w:eastAsia="Times New Roman" w:hAnsi="Arial" w:cs="Arial"/>
          <w:color w:val="222222"/>
          <w:sz w:val="24"/>
          <w:szCs w:val="24"/>
        </w:rPr>
        <w:br/>
        <w:t>5-5</w:t>
      </w:r>
      <w:proofErr w:type="gram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,9</w:t>
      </w:r>
      <w:proofErr w:type="gram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cm u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prečniku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rizik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od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3%-15%.</w:t>
      </w:r>
      <w:r w:rsidRPr="00EB36B5">
        <w:rPr>
          <w:rFonts w:ascii="Arial" w:eastAsia="Times New Roman" w:hAnsi="Arial" w:cs="Arial"/>
          <w:color w:val="222222"/>
          <w:sz w:val="24"/>
          <w:szCs w:val="24"/>
        </w:rPr>
        <w:br/>
        <w:t>6-6</w:t>
      </w:r>
      <w:proofErr w:type="gram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,9</w:t>
      </w:r>
      <w:proofErr w:type="gram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cm u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prečniku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rizik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od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10%-20%.</w:t>
      </w:r>
      <w:r w:rsidRPr="00EB36B5">
        <w:rPr>
          <w:rFonts w:ascii="Arial" w:eastAsia="Times New Roman" w:hAnsi="Arial" w:cs="Arial"/>
          <w:color w:val="222222"/>
          <w:sz w:val="24"/>
          <w:szCs w:val="24"/>
        </w:rPr>
        <w:br/>
        <w:t>7-7</w:t>
      </w:r>
      <w:proofErr w:type="gram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,9</w:t>
      </w:r>
      <w:proofErr w:type="gram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cm u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prečniku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rizik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od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20%-40%.</w:t>
      </w:r>
      <w:r w:rsidRPr="00EB36B5">
        <w:rPr>
          <w:rFonts w:ascii="Arial" w:eastAsia="Times New Roman" w:hAnsi="Arial" w:cs="Arial"/>
          <w:color w:val="222222"/>
          <w:sz w:val="24"/>
          <w:szCs w:val="24"/>
        </w:rPr>
        <w:br/>
        <w:t xml:space="preserve">&gt; 8 cm u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prečniku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rizik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od</w:t>
      </w:r>
      <w:proofErr w:type="spellEnd"/>
      <w:proofErr w:type="gram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30% -50%.</w:t>
      </w:r>
      <w:r w:rsidRPr="00EB36B5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gram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ZAKLJUČAK :</w:t>
      </w:r>
      <w:proofErr w:type="gram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pregled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ultrazvukom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>, (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kolor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-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Dopplerom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  )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organa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trbuha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krvnih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sudova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omogućava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blagovremeno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otkrivanje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AAA-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proširenja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krvnog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suda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 xml:space="preserve"> u </w:t>
      </w:r>
      <w:proofErr w:type="spellStart"/>
      <w:r w:rsidRPr="00EB36B5">
        <w:rPr>
          <w:rFonts w:ascii="Arial" w:eastAsia="Times New Roman" w:hAnsi="Arial" w:cs="Arial"/>
          <w:color w:val="222222"/>
          <w:sz w:val="24"/>
          <w:szCs w:val="24"/>
        </w:rPr>
        <w:t>trbuhu</w:t>
      </w:r>
      <w:proofErr w:type="spellEnd"/>
      <w:r w:rsidRPr="00EB36B5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0"/>
        <w:gridCol w:w="8490"/>
      </w:tblGrid>
      <w:tr w:rsidR="00EB36B5" w:rsidRPr="00EB36B5" w:rsidTr="00EB36B5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EB36B5" w:rsidRPr="00EB36B5" w:rsidRDefault="00EB36B5" w:rsidP="00EB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381000"/>
                  <wp:effectExtent l="19050" t="0" r="0" b="0"/>
                  <wp:docPr id="1" name=":o1_0" descr="https://lh3.googleusercontent.com/a/ACg8ocKcZ3rnqN5FwcKmF3uNwhoxok0yaPlusahdw73QusMDk2wHHBp1=s40-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o1_0" descr="https://lh3.googleusercontent.com/a/ACg8ocKcZ3rnqN5FwcKmF3uNwhoxok0yaPlusahdw73QusMDk2wHHBp1=s40-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B36B5" w:rsidRPr="00EB36B5" w:rsidRDefault="00EB36B5" w:rsidP="00EB36B5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EB36B5">
              <w:rPr>
                <w:rFonts w:ascii="Helvetica" w:eastAsia="Times New Roman" w:hAnsi="Helvetica" w:cs="Helvetica"/>
                <w:color w:val="444746"/>
                <w:sz w:val="24"/>
                <w:szCs w:val="24"/>
              </w:rPr>
              <w:t>ОдговориПроследи</w:t>
            </w:r>
            <w:proofErr w:type="spellEnd"/>
          </w:p>
          <w:p w:rsidR="00EB36B5" w:rsidRPr="00EB36B5" w:rsidRDefault="00EB36B5" w:rsidP="00EB36B5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EB36B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Додај</w:t>
            </w:r>
            <w:proofErr w:type="spellEnd"/>
            <w:r w:rsidRPr="00EB36B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EB36B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реакцију</w:t>
            </w:r>
            <w:proofErr w:type="spellEnd"/>
          </w:p>
        </w:tc>
      </w:tr>
    </w:tbl>
    <w:p w:rsidR="009E56F1" w:rsidRDefault="009E56F1"/>
    <w:sectPr w:rsidR="009E56F1" w:rsidSect="009E5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36B5"/>
    <w:rsid w:val="009E56F1"/>
    <w:rsid w:val="00EB3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EB36B5"/>
  </w:style>
  <w:style w:type="paragraph" w:styleId="BalloonText">
    <w:name w:val="Balloon Text"/>
    <w:basedOn w:val="Normal"/>
    <w:link w:val="BalloonTextChar"/>
    <w:uiPriority w:val="99"/>
    <w:semiHidden/>
    <w:unhideWhenUsed/>
    <w:rsid w:val="00EB3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6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2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6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18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0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22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4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8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25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19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Ordinacija</dc:creator>
  <cp:lastModifiedBy>Ordinacija</cp:lastModifiedBy>
  <cp:revision>2</cp:revision>
  <dcterms:created xsi:type="dcterms:W3CDTF">2024-11-17T16:40:00Z</dcterms:created>
  <dcterms:modified xsi:type="dcterms:W3CDTF">2024-11-17T16:42:00Z</dcterms:modified>
</cp:coreProperties>
</file>