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86D" w:rsidRDefault="00BB6AEE">
      <w:proofErr w:type="gramStart"/>
      <w:r>
        <w:rPr>
          <w:rFonts w:ascii="Arial" w:hAnsi="Arial" w:cs="Arial"/>
          <w:color w:val="222222"/>
          <w:shd w:val="clear" w:color="auto" w:fill="FFFFFF"/>
        </w:rPr>
        <w:t>KARCINOM GRLICA MATERICE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Рак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грлића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материце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настаје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ћелијама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грлића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материце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доњег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дела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материце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материце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где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абнормалне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ћелије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неконтролисано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расту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формирају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тумор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То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је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осми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најчешћи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рак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свету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четврти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учесталости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карцином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жена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Цервикс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повезује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вагину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материцом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кроз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канал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који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назива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ендоцервикални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канал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Има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два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дела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ектоцервикс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спољна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површина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ендоцервикс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унутрашњи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канал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).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Сквамоколумнарни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спој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или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зона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трансформације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је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место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где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спајају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ендоцервикс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ектоцервикс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Ово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је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област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којој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почиње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већина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карцинома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грлића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материце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—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локација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трансформационе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зоне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мења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зависности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старости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након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порођаја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</w:rPr>
        <w:br/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Рак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грлића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материце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обично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развија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споро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почевши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преканцерозних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стања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Најчешћи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начини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класификацију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ових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преканцерозних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стања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укључују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сквамозну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интраепителну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лезију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(SIL),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цервикалну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интраепителијалну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неоплазију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(CIN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)и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цервикалну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дисплазију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Дисплазија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открити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LIKVIDNIM ПAPA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тестом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скоро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посто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лечи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Папа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тест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такође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открити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SIL.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Међутим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тест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рећи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ли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неко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има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или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Прогресија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преканцерозних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стања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рака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грлића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материце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потрајати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неколико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година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ЗАКЉУЧАК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Како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могу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спречим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рак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грлића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материце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Скрининг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грлића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материце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Редовни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скрининг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грлића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материце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(“LIQID Papa”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тест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је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најефикаснији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начин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откривање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абнормалних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промена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ћелијама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грлића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материце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.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Овај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ликвидни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Папа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тест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ради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једном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2-3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године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Ова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врста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бојења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ћелија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грлића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Ликвидног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Папа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теста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је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30-50%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успешнија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него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бојење</w:t>
      </w:r>
      <w:proofErr w:type="spellEnd"/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ћелија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“Papa “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testом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ради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откривања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измењених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ћелија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грлића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материце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УЛТРАЗВУЧНА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Еластографија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колор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Доплер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слузнице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канала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грлића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саветује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склопу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годишњег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скрининга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мале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карлице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тј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материце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јајника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</w:p>
    <w:sectPr w:rsidR="00E4086D" w:rsidSect="00E40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AEE"/>
    <w:rsid w:val="00BB6AEE"/>
    <w:rsid w:val="00E40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2024-11-11T16:07:00Z</dcterms:created>
  <dcterms:modified xsi:type="dcterms:W3CDTF">2024-11-11T16:07:00Z</dcterms:modified>
</cp:coreProperties>
</file>