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Relazione trimestrale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Ricavi 2026: 1.240.000 euro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Costi: 890.000 euro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margine e in crescita del 12 per cento rispetto al trimestre precedente.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