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5B8DEF"/>
          <w:sz w:val="56"/>
          <w:szCs w:val="56"/>
        </w:rPr>
        <w:t xml:space="preserve">ControlPlane.ai</w:t>
      </w:r>
    </w:p>
    <w:p>
      <w:pPr>
        <w:spacing w:after="60"/>
      </w:pPr>
      <w:r>
        <w:rPr>
          <w:i/>
          <w:iCs/>
          <w:color w:val="5B6472"/>
          <w:sz w:val="24"/>
          <w:szCs w:val="24"/>
        </w:rPr>
        <w:t xml:space="preserve">Finding it first — not finding out.</w:t>
      </w:r>
    </w:p>
    <w:p>
      <w:pPr>
        <w:spacing w:after="60"/>
      </w:pPr>
      <w:r>
        <w:rPr>
          <w:color w:val="5B6472"/>
          <w:sz w:val="22"/>
          <w:szCs w:val="22"/>
        </w:rPr>
        <w:t xml:space="preserve">Business Proposal — Round 2, Accenture Innovation Challenge 2026</w:t>
      </w:r>
    </w:p>
    <w:p>
      <w:pPr>
        <w:spacing w:after="400"/>
      </w:pPr>
      <w:r>
        <w:rPr>
          <w:b/>
          <w:bCs/>
          <w:color w:val="5B6472"/>
          <w:sz w:val="22"/>
          <w:szCs w:val="22"/>
        </w:rPr>
        <w:t xml:space="preserve">Team Muffin</w:t>
      </w:r>
    </w:p>
    <w:p>
      <w:pPr>
        <w:pStyle w:val="Heading1"/>
        <w:spacing w:after="160" w:before="320"/>
      </w:pPr>
      <w:r>
        <w:t xml:space="preserve">1. Problem Framing</w:t>
      </w:r>
    </w:p>
    <w:p>
      <w:pPr>
        <w:spacing w:after="120"/>
      </w:pPr>
      <w:r>
        <w:t xml:space="preserve">Enterprises now run generative AI across many concurrent use cases at once — customer-facing chatbots, internal employee copilots, and decision-support tools embedded in regulated workflows. Each carries a different risk signature depending on the model behind it, the data it draws on, and how its output gets used downstream.</w:t>
      </w:r>
    </w:p>
    <w:p>
      <w:pPr>
        <w:spacing w:after="120"/>
      </w:pPr>
      <w:r>
        <w:t xml:space="preserve">Today, that risk is discovered after the fact: after a customer acts on a wrong answer, after a regulator asks questions, after a leaked detail becomes a headline. The cost of that discovery gap compounds with scale — the brief's reference parameters assume tens of thousands of interactions per week across a mix of well-governed and loosely governed data sources, which means manual review cannot be the safety net.</w:t>
      </w:r>
    </w:p>
    <w:p>
      <w:pPr>
        <w:spacing w:after="120"/>
      </w:pPr>
      <w:r>
        <w:t xml:space="preserve">The core problem ControlPlane.ai solves: enterprises need a way to catch confidently-wrong, expensive, or irresponsible AI behavior in real time, without slowing delivery down to a crawl or rebuilding a bespoke checker for every model and use case.</w:t>
      </w:r>
    </w:p>
    <w:p>
      <w:pPr>
        <w:pStyle w:val="Heading1"/>
        <w:spacing w:after="160" w:before="320"/>
      </w:pPr>
      <w:r>
        <w:t xml:space="preserve">2. Solution Design</w:t>
      </w:r>
    </w:p>
    <w:p>
      <w:pPr>
        <w:pStyle w:val="Heading2"/>
        <w:spacing w:after="120" w:before="240"/>
      </w:pPr>
      <w:r>
        <w:t xml:space="preserve">2.1 What it is</w:t>
      </w:r>
    </w:p>
    <w:p>
      <w:pPr>
        <w:spacing w:after="120"/>
      </w:pPr>
      <w:r>
        <w:t xml:space="preserve">ControlPlane.ai is a model-agnostic monitoring layer that sits above any AI deployment and evaluates every response across three lenses — Performance (grounding / hallucination risk), Cost (compute and rework anomalies), and Responsibility (bias, safety, and privacy) — then takes a risk-tiered action rather than a single allow/block gate.</w:t>
      </w:r>
    </w:p>
    <w:p>
      <w:pPr>
        <w:pStyle w:val="Heading2"/>
        <w:spacing w:after="120" w:before="240"/>
      </w:pPr>
      <w:r>
        <w:t xml:space="preserve">2.2 How it works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Detection layer: fast, parallel, lightweight classifiers run on every response — grounding/retrieval verification, PII and entity detection, and cost/token anomaly detection — adding milliseconds rather than seconds.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Escalation path: only borderline scores trigger a heavier secondary pass — a full 'AI-as-judge' LLM verifier or a deeper retrieval check — keeping the fast path cheap and the deep path reserved for genuine ambiguity.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Decision logic: a weighted risk score maps to one of three tiers — Low (log silently, allow), Medium (auto-redact/edit and flag for review), or High (block and escalate to a human) — tuned per use case rather than one-size-fits-all.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Governance layer: thresholds and weights are configurable per use case, geography, and risk appetite, so the same detectors can be tuned stricter for a regulated workflow and looser for low-stakes internal use, with a full audit trail behind every decision.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Feedback loop: every human override (approve, escalate further, or dismiss) is captured and logged, forming the training signal that recalibrates thresholds and detector weights over time.</w:t>
      </w:r>
    </w:p>
    <w:p>
      <w:pPr>
        <w:pStyle w:val="Heading2"/>
        <w:spacing w:after="120" w:before="240"/>
      </w:pPr>
      <w:r>
        <w:t xml:space="preserve">2.3 Why this shape</w:t>
      </w:r>
    </w:p>
    <w:p>
      <w:pPr>
        <w:spacing w:after="120"/>
      </w:pPr>
      <w:r>
        <w:t xml:space="preserve">Because enterprises consume foundation models via API rather than owning them outright, the checker is designed to operate entirely at the input/output layer — it never needs access to model internals, which makes it portable across vendors and model versions. Because bias, hallucination, and privacy risks often overlap in a single response (a fabricated detail about a person is both a hallucination and a privacy concern), the design combines all three signals into one weighted score rather than forcing a brittle single-category classification.</w:t>
      </w:r>
    </w:p>
    <w:p>
      <w:pPr>
        <w:pStyle w:val="Heading1"/>
        <w:spacing w:after="160" w:before="320"/>
      </w:pPr>
      <w:r>
        <w:t xml:space="preserve">3. Target Users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40"/>
      </w:tblGrid>
      <w:tr>
        <w:tc>
          <w:tcPr>
            <w:tcW w:type="dxa" w:w="2600"/>
            <w:shd w:fill="1B223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</w:t>
            </w:r>
          </w:p>
        </w:tc>
        <w:tc>
          <w:tcPr>
            <w:tcW w:type="dxa" w:w="6640"/>
            <w:shd w:fill="1B223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ControlPlane.ai gives them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AI/ML engineering teams</w:t>
            </w:r>
          </w:p>
        </w:tc>
        <w:tc>
          <w:tcPr>
            <w:tcW w:type="dxa" w:w="66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Catch failures before users do; a single control layer instead of a bespoke checker rebuilt per model or use case.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Risk &amp; compliance teams</w:t>
            </w:r>
          </w:p>
        </w:tc>
        <w:tc>
          <w:tcPr>
            <w:tcW w:type="dxa" w:w="66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live, queryable audit trail instead of a postmortem; configurable policy per jurisdiction and regulation.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 &amp; product leaders</w:t>
            </w:r>
          </w:p>
        </w:tc>
        <w:tc>
          <w:tcPr>
            <w:tcW w:type="dxa" w:w="66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Confidence to greenlight AI rollouts in regulated, high-stakes settings — finance, healthcare, legal — where a silent failure is costly or dangerous.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Frontline reviewers</w:t>
            </w:r>
          </w:p>
        </w:tc>
        <w:tc>
          <w:tcPr>
            <w:tcW w:type="dxa" w:w="66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tiered queue (not an all-or-nothing firehose) so attention goes to genuinely ambiguous cases, reducing alert fatigue.</w:t>
            </w:r>
          </w:p>
        </w:tc>
      </w:tr>
    </w:tbl>
    <w:p>
      <w:pPr>
        <w:pStyle w:val="Heading1"/>
        <w:spacing w:after="160" w:before="320"/>
      </w:pPr>
      <w:r>
        <w:t xml:space="preserve">4. Business Case &amp; Impact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Trust → adoption: turns 'hope it's right' into 'prove it's right, live' — commonly the single biggest blocker to enterprise AI rollout in regulated industries.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Model-agnostic by design: sits above any model or vendor, so it is one control layer to maintain rather than a rebuild every time a team swaps models or a vendor ships a new version.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Fast to pilot: lightweight classifiers mean a proof of concept can run alongside an existing AI deployment in weeks, not months, without touching production model infrastructure.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Deliberately tuned, not falsely optimized: the alert-fatigue tradeoff (over-flagging vs. under-flagging) is treated as a design decision made explicit and adjustable per use case, rather than something the system claims to have 'solved.'</w:t>
      </w:r>
    </w:p>
    <w:p>
      <w:pPr>
        <w:spacing w:after="120"/>
      </w:pPr>
      <w:r>
        <w:t xml:space="preserve">Illustrative cost framing: at a reference volume of tens of thousands of weekly interactions, even a small percentage of undetected high-risk responses represents meaningful liability exposure in regulated sectors — while a lightweight, parallelized detection layer adds negligible marginal compute cost per interaction compared to the cost of a single serious incident (regulatory, reputational, or customer-trust).</w:t>
      </w:r>
    </w:p>
    <w:p>
      <w:pPr>
        <w:pStyle w:val="Heading1"/>
        <w:spacing w:after="160" w:before="320"/>
      </w:pPr>
      <w:r>
        <w:t xml:space="preserve">5. Phased Roadmap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5040"/>
      </w:tblGrid>
      <w:tr>
        <w:tc>
          <w:tcPr>
            <w:tcW w:type="dxa" w:w="1800"/>
            <w:shd w:fill="1B223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400"/>
            <w:shd w:fill="1B223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5040"/>
            <w:shd w:fill="1B223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1
(0–2 mo)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Pilot on one use case</w:t>
            </w:r>
          </w:p>
        </w:tc>
        <w:tc>
          <w:tcPr>
            <w:tcW w:type="dxa" w:w="50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Deploy fast classifiers (grounding heuristic, PII/entity detection, cost baseline) on one contained use case; establish audit trail and override capture; calibrate thresholds against real traffic.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2
(2–5 mo)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Multi-use-case rollout</w:t>
            </w:r>
          </w:p>
        </w:tc>
        <w:tc>
          <w:tcPr>
            <w:tcW w:type="dxa" w:w="50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Extend to all three use-case archetypes with per-use-case policy configuration; introduce the heavier AI-as-judge verifier pass for borderline cases; build the reviewer queue UI.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3
(5–9 mo)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Governance &amp; scale</w:t>
            </w:r>
          </w:p>
        </w:tc>
        <w:tc>
          <w:tcPr>
            <w:tcW w:type="dxa" w:w="50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jurisdiction-specific policy packs; build the recalibration feedback loop from human overrides into detector thresholds; add monitoring dashboards for false-positive/negative rates reported to stakeholders.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4
(9+ mo)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Platform expansion</w:t>
            </w:r>
          </w:p>
        </w:tc>
        <w:tc>
          <w:tcPr>
            <w:tcW w:type="dxa" w:w="50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Support multi-turn and agentic workflows where one questionable output can shape several downstream actions; expand retrieval-verification sources; explore cross-enterprise benchmark sharing for detector quality.</w:t>
            </w:r>
          </w:p>
        </w:tc>
      </w:tr>
    </w:tbl>
    <w:p>
      <w:pPr>
        <w:pStyle w:val="Heading1"/>
        <w:spacing w:after="160" w:before="320"/>
      </w:pPr>
      <w:r>
        <w:t xml:space="preserve">6. Key Risks &amp; Mitigations</w:t>
      </w:r>
    </w:p>
    <w:tbl>
      <w:tblPr>
        <w:tblW w:type="dxa" w:w="8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240"/>
      </w:tblGrid>
      <w:tr>
        <w:tc>
          <w:tcPr>
            <w:tcW w:type="dxa" w:w="3200"/>
            <w:shd w:fill="1B223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5240"/>
            <w:shd w:fill="1B223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Over-flagging causes alert fatigue and reviewers start ignoring warnings.</w:t>
            </w:r>
          </w:p>
        </w:tc>
        <w:tc>
          <w:tcPr>
            <w:tcW w:type="dxa" w:w="52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Tiered actions (not a single gate) plus per-use-case tunable thresholds; the alert-fatigue tradeoff is monitored explicitly via false-positive/negative tracking, not assumed away.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Under-flagging misses a real incident (higher liability than a false alarm).</w:t>
            </w:r>
          </w:p>
        </w:tc>
        <w:tc>
          <w:tcPr>
            <w:tcW w:type="dxa" w:w="52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 bias toward escalation under uncertainty; borderline scores always route to a heavier verifier pass rather than being auto-allowed.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reliable real-time ground truth to check some claims against.</w:t>
            </w:r>
          </w:p>
        </w:tc>
        <w:tc>
          <w:tcPr>
            <w:tcW w:type="dxa" w:w="52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Grounding checker degrades gracefully — uses source-overlap when a reference document exists, and an explicit, labeled assertiveness heuristic when it doesn't, rather than silently guessing.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Rigid, hard-coded rules age quickly as regulation evolves.</w:t>
            </w:r>
          </w:p>
        </w:tc>
        <w:tc>
          <w:tcPr>
            <w:tcW w:type="dxa" w:w="52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Policy layer is configuration, not code — thresholds, weights, and jurisdiction-specific rules are adjustable without redeploying the detection logic.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Multi-turn / agentic use cases compound risk across turns.</w:t>
            </w:r>
          </w:p>
        </w:tc>
        <w:tc>
          <w:tcPr>
            <w:tcW w:type="dxa" w:w="52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Roadmap Phase 4 explicitly scopes conversation-level and action-level risk tracking rather than treating each response as independent.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Enterprises only expose model input/output, not internals, limiting inspection depth.</w:t>
            </w:r>
          </w:p>
        </w:tc>
        <w:tc>
          <w:tcPr>
            <w:tcW w:type="dxa" w:w="52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By design, all detection operates at the input/output layer, so this is a constraint the architecture is built around rather than something it depends on avoiding.</w:t>
            </w:r>
          </w:p>
        </w:tc>
      </w:tr>
    </w:tbl>
    <w:p>
      <w:pPr>
        <w:pStyle w:val="Heading1"/>
        <w:spacing w:after="160" w:before="320"/>
      </w:pPr>
      <w:r>
        <w:t xml:space="preserve">7. Prototype Scope (This Submission)</w:t>
      </w:r>
    </w:p>
    <w:p>
      <w:pPr>
        <w:spacing w:after="120"/>
      </w:pPr>
      <w:r>
        <w:t xml:space="preserve">The accompanying prototype demonstrates the core detection-and-decision mechanism end-to-end on simulated data: three parallel detectors (grounding, cost anomaly, PII/policy), a weighted tiered decision engine, per-use-case configurable governance thresholds, an audit trail with human-override capture, and a metrics dashboard including a live false-positive/false-negative tradeoff simulator. See the repository README for the full mapping between each brief requirement and how the prototype addresses it, and for what would change between this proof-of-concept and a production build.</w:t>
      </w:r>
    </w:p>
    <w:p>
      <w:pPr>
        <w:pStyle w:val="Heading1"/>
        <w:spacing w:after="160" w:before="320"/>
      </w:pPr>
      <w:r>
        <w:t xml:space="preserve">8. Submission</w:t>
      </w:r>
    </w:p>
    <w:p>
      <w:pPr>
        <w:spacing w:after="120"/>
      </w:pPr>
      <w:r>
        <w:t xml:space="preserve">Submitted by Team Muffin for Round 2 of the Accenture Innovation Challenge 2026, Problem Track 1: ControlPlane.ai.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2026-08-30T17:19:23.385Z</dcterms:created>
  <dcterms:modified xsi:type="dcterms:W3CDTF">2026-08-30T17:19:23.399Z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