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Sharing: De-identified call-level data, the analysis code, and the full generated output are available at github.com/mufflyt/LABUBU. Raw exports carrying practice contact information are withheld.</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5 items</w:t>
      </w:r>
    </w:p>
    <w:p>
      <w:pPr>
        <w:pStyle w:val="BodyText"/>
      </w:pPr>
      <w:r>
        <w:t xml:space="preserve">Précis</w:t>
      </w:r>
    </w:p>
    <w:p>
      <w:pPr>
        <w:pStyle w:val="BodyText"/>
      </w:pPr>
      <w:r>
        <w:t xml:space="preserve">One in 98 Restorative Reproductive Medicine practices offers intrauterine insemination or in vitro fertilization, and three in 98 work with donor sperm.</w:t>
      </w:r>
    </w:p>
    <w:bookmarkStart w:id="9"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building.[3]</w:t>
      </w:r>
    </w:p>
    <w:p>
      <w:pPr>
        <w:pStyle w:val="BodyText"/>
      </w:pPr>
      <w:r>
        <w:t xml:space="preserve">Mystery-caller (audit) methodology employs standardized simulated callers to objectively evaluate real-world access to healthcare while eliminating social desirability bias.[4-9] Prior healthcare audit studies in obstetrics, gynecology, and primary care have documented significant disparities in appointment access based on insurance coverage, socioeconomic status, and demographic characteristics.[4-7]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10"/>
    <w:bookmarkStart w:id="14" w:name="sources-and-methods"/>
    <w:p>
      <w:pPr>
        <w:pStyle w:val="Heading2"/>
      </w:pPr>
      <w:r>
        <w:t xml:space="preserve">SOURCES AND METHODS</w:t>
      </w:r>
    </w:p>
    <w:bookmarkStart w:id="11" w:name="study-design-and-scenarios"/>
    <w:p>
      <w:pPr>
        <w:pStyle w:val="Heading3"/>
      </w:pPr>
      <w:r>
        <w:t xml:space="preserve">Study Design and Scenarios</w:t>
      </w:r>
    </w:p>
    <w:p>
      <w:pPr>
        <w:pStyle w:val="FirstParagraph"/>
      </w:pPr>
      <w:r>
        <w:t xml:space="preserve">We conducted a national within-practice audit of RRM practices in the United States between 2025 and 2026, using a roster compiled from professional directories and clinical registries. Trained callers telephoned each practice during business hours (08:00–17:00 local time, excluding 12:00–13:00), once for each of three standardized scenarios: a female caller seeking fertility evaluation with a male partner (straight couple), with a female partner (lesbian couple), or alone using donor sperm (single mother). Scripts were identical apart from the caller’s stated partner status and the donor sperm inquiry. Because each practice served as its own control across scenarios, practice identity was treated as a random intercept in all models. The Colorado Multiple Institutional Review Board approved the protocol (COMIRB 25-2596).</w:t>
      </w:r>
    </w:p>
    <w:bookmarkEnd w:id="11"/>
    <w:bookmarkStart w:id="12"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intrauterine insemination (IUI), in vitro fertilization (IVF), and whether the practice works with donor sperm. Staff reported these directly in response to a standardized question; they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 Call dispositions were mapped to the standard access-audit exclusion codes, which separate three nested constructs that are frequently conflated: whether a live office was</w:t>
      </w:r>
      <w:r>
        <w:t xml:space="preserve"> </w:t>
      </w:r>
      <w:r>
        <w:rPr>
          <w:b/>
          <w:bCs/>
        </w:rPr>
        <w:t xml:space="preserve">reached</w:t>
      </w:r>
      <w:r>
        <w:t xml:space="preserve"> </w:t>
      </w:r>
      <w:r>
        <w:t xml:space="preserve">(staff engaged with the caller, including stated refusals and extended holds; voicemail, wrong numbers, unanswered lines, personal phones and closed systems were not reached),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available</w:t>
      </w:r>
      <w:r>
        <w:t xml:space="preserve">. Availability was scored strictly for the primary analysis, requiring a recorded first-available date and scoring a stated</w:t>
      </w:r>
      <w:r>
        <w:t xml:space="preserve"> </w:t>
      </w:r>
      <w:r>
        <w:t xml:space="preserve">“not accepting new patients”</w:t>
      </w:r>
      <w:r>
        <w:t xml:space="preserve"> </w:t>
      </w:r>
      <w:r>
        <w:t xml:space="preserve">as unavailable, and broadly as a sensitivity analysis, additionally counting a concrete scheduling timeframe reported without a specific date. The strict definition is primary because it requires less investigator interpretation. Wait time was the number of business days (Monday–Friday, excluding US federal holidays) between the call and the first available appointment, with same-day appointments retained as a wait of zero.</w:t>
      </w:r>
    </w:p>
    <w:p>
      <w:pPr>
        <w:pStyle w:val="BodyText"/>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p>
      <w:pPr>
        <w:pStyle w:val="BodyText"/>
      </w:pPr>
      <w:r>
        <w:t xml:space="preserve">The protocol specifies one call per practice per scenario; eight cells contained two. Where a contact attempt (voicemail, wrong number, abandoned or over-long hold) preceded a completed call, the completed call determined the cell; where two protocol-valid completed calls existed, the cell was treated as a protocol deviation and excluded from the primary paired analysis rather than resolved by preferring the earlier or later call. All calls are retained in the call-level dataset, and first- versus last-successful selection is reported as a sensitivity analysis (Appendix Table S5).</w:t>
      </w:r>
    </w:p>
    <w:bookmarkEnd w:id="12"/>
    <w:bookmarkStart w:id="13" w:name="statistical-analysis-and-power"/>
    <w:p>
      <w:pPr>
        <w:pStyle w:val="Heading3"/>
      </w:pPr>
      <w:r>
        <w:t xml:space="preserve">Statistical Analysis and Power</w:t>
      </w:r>
    </w:p>
    <w:p>
      <w:pPr>
        <w:pStyle w:val="FirstParagraph"/>
      </w:pPr>
      <w:r>
        <w:t xml:space="preserve">Proportions carry 95% Wilson score confidence intervals.[10] The access cascade reports each stage against its own denominator, nested within the preceding stage.</w:t>
      </w:r>
    </w:p>
    <w:p>
      <w:pPr>
        <w:pStyle w:val="BodyText"/>
      </w:pPr>
      <w:r>
        <w:t xml:space="preserve">Mixed-effects logistic regression with a practice random intercept was fitted to the availability outcome, first on the subset of complete practice triads (N = 48 practices) to remove practice-selection dialing bias, then on the full offer sample, and finally under the broad definition. Because the appointment date was missing for a scenario-dependent share of calls, a two-part hurdle model estimated the obtainment and wait-given-obtainment steps jointly rather than conditioning on complete cases. Wait time was additionally modeled with a linear mixed model on the log scale, with estimates back-transformed to geometric mean ratios (GMR) rather than reported as differences in days.</w:t>
      </w:r>
    </w:p>
    <w:p>
      <w:pPr>
        <w:pStyle w:val="BodyText"/>
      </w:pPr>
      <w:r>
        <w:t xml:space="preserve">Within-practice matched contrasts used exact McNemar tests.[11] Power in paired audit designs is governed by the number of discordant practices, which here was small; minimum detectable effect odds ratios at 80% power (α = .05) ranged from OR 30.9 to OR 35.4 and are reported alongside every paired contrast. In accordance with the Statistical Analyses and Methods in the Published Literature (SAMPL) guidelines,[12]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3"/>
    <w:bookmarkEnd w:id="14"/>
    <w:bookmarkStart w:id="29" w:name="results"/>
    <w:p>
      <w:pPr>
        <w:pStyle w:val="Heading2"/>
      </w:pPr>
      <w:r>
        <w:t xml:space="preserve">RESULTS</w:t>
      </w:r>
    </w:p>
    <w:bookmarkStart w:id="18" w:name="X7c6f754733434d60a95bc7e273f19daed862ccc"/>
    <w:p>
      <w:pPr>
        <w:pStyle w:val="Heading3"/>
      </w:pPr>
      <w:r>
        <w:t xml:space="preserve">Reproductive Services Offered: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16" name="Picture"/>
            <a:graphic>
              <a:graphicData uri="http://schemas.openxmlformats.org/drawingml/2006/picture">
                <pic:pic>
                  <pic:nvPicPr>
                    <pic:cNvPr descr="mysterycall_outputs/figures/fig5_service_forest.png" id="17" name="Picture"/>
                    <pic:cNvPicPr>
                      <a:picLocks noChangeArrowheads="1" noChangeAspect="1"/>
                    </pic:cNvPicPr>
                  </pic:nvPicPr>
                  <pic:blipFill>
                    <a:blip r:embed="rId15"/>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BodyText"/>
      </w:pPr>
      <w:r>
        <w:t xml:space="preserve">Cycle tracking was offered by 94.9% (95% CI 88.6-97.8%; 93/98) and hormonal laboratory monitoring by 63.3% (95% CI 53.4-72.1%; 62/98). Ovulation induction was offered by 11.2% (95% CI 6.4-19.0%; 11/98). IUI and IVF were each offered by 1.0% (95% CI 0.2-5.6%; 1/98), a single practice in each case,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18"/>
    <w:bookmarkStart w:id="25"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20" name="Picture"/>
            <a:graphic>
              <a:graphicData uri="http://schemas.openxmlformats.org/drawingml/2006/picture">
                <pic:pic>
                  <pic:nvPicPr>
                    <pic:cNvPr descr="mysterycall_outputs/figures/fig0_strobe_flow.png" id="21" name="Picture"/>
                    <pic:cNvPicPr>
                      <a:picLocks noChangeArrowheads="1" noChangeAspect="1"/>
                    </pic:cNvPicPr>
                  </pic:nvPicPr>
                  <pic:blipFill>
                    <a:blip r:embed="rId19"/>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23" name="Picture"/>
            <a:graphic>
              <a:graphicData uri="http://schemas.openxmlformats.org/drawingml/2006/picture">
                <pic:pic>
                  <pic:nvPicPr>
                    <pic:cNvPr descr="mysterycall_outputs/figures/fig0b_strobe_flow_by_scenario.png" id="24" name="Picture"/>
                    <pic:cNvPicPr>
                      <a:picLocks noChangeArrowheads="1" noChangeAspect="1"/>
                    </pic:cNvPicPr>
                  </pic:nvPicPr>
                  <pic:blipFill>
                    <a:blip r:embed="rId22"/>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25"/>
    <w:bookmarkStart w:id="26"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30.9 to OR 35.4;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2.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2.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30.9</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NA</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35.4</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26"/>
    <w:bookmarkStart w:id="27"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bookmarkEnd w:id="27"/>
    <w:bookmarkStart w:id="28"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8"/>
    <w:bookmarkEnd w:id="29"/>
    <w:bookmarkStart w:id="36" w:name="discussion"/>
    <w:p>
      <w:pPr>
        <w:pStyle w:val="Heading2"/>
      </w:pPr>
      <w:r>
        <w:t xml:space="preserve">DISCUSSION</w:t>
      </w:r>
    </w:p>
    <w:bookmarkStart w:id="30"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A methodological point from prior audit work in otolaryngology applies directly here: when a practice declines a caller because it does not treat that complaint, the refusal is itself access data rather than a nuisance exclusion. The same logic governs this study. A practice that does not offer donor sperm has not made a scheduling decision about a single mother; it has made a service decision that precedes any scheduling decision.</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30"/>
    <w:bookmarkStart w:id="31"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since most practices treated callers alike, leaving 7, 2, 8 discordant practices across the three contrasts, with minimum detectable effects of OR 30.9 to OR 35.4. Audit-study effects of interest are far below that floor. For the Lesbian couple versus Single mother contrast in particular, the number of discordant practices is small enough that the exact test cannot return a significant result at any effect size.</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in Lesbian couple versus Single mother, in which three callers placed calls under both, the caller-stratified estimate was OR 0.57 (95% CI 0.15-2.15, p = 0.61; n = 59), consistent with the unadjusted estimate and with no difference.</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31"/>
    <w:bookmarkStart w:id="32"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monitoring.[1,2] For patients whose path to pregnancy requires donor gametes or ART, the absence of those services is a primary structural barrier to care, independent of staff attitudes.[3,13-15] Our estimates place that absence at approximately one practice in a hundred for IUI and IVF.</w:t>
      </w:r>
    </w:p>
    <w:bookmarkEnd w:id="32"/>
    <w:bookmarkStart w:id="33"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1"/>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1"/>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1"/>
        </w:numPr>
      </w:pPr>
      <w:r>
        <w:rPr>
          <w:b/>
          <w:bCs/>
        </w:rPr>
        <w:t xml:space="preserve">Limited statistical power for matched contrasts.</w:t>
      </w:r>
      <w:r>
        <w:t xml:space="preserve"> </w:t>
      </w:r>
      <w:r>
        <w:t xml:space="preserve">With 7, 2, 8 discordant practices, only very large effects (OR 30.9 to OR 35.4) are detectable.</w:t>
      </w:r>
    </w:p>
    <w:p>
      <w:pPr>
        <w:pStyle w:val="Compact"/>
        <w:numPr>
          <w:ilvl w:val="0"/>
          <w:numId w:val="1001"/>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1"/>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1"/>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1"/>
        </w:numPr>
      </w:pPr>
      <w:r>
        <w:rPr>
          <w:b/>
          <w:bCs/>
        </w:rPr>
        <w:t xml:space="preserve">Single call per scenario.</w:t>
      </w:r>
      <w:r>
        <w:t xml:space="preserve"> </w:t>
      </w:r>
      <w:r>
        <w:t xml:space="preserve">Day-to-day and staff-to-staff variation within practices could not be separately evaluated.</w:t>
      </w:r>
    </w:p>
    <w:p>
      <w:pPr>
        <w:pStyle w:val="Compact"/>
        <w:numPr>
          <w:ilvl w:val="0"/>
          <w:numId w:val="1001"/>
        </w:numPr>
      </w:pPr>
      <w:r>
        <w:rPr>
          <w:b/>
          <w:bCs/>
        </w:rPr>
        <w:t xml:space="preserve">Geographic representativeness is unverified.</w:t>
      </w:r>
      <w:r>
        <w:t xml:space="preserve"> </w:t>
      </w:r>
      <w:r>
        <w:t xml:space="preserve">The instrument recorded no practice address. A state was identifiable from the practice name for 78 of 105 practices, spanning 32 states, so the roster is not regionally concentrated; but with location missing for the remainder and no population weighting, we cannot establish that the sample represents the national distribution of RRM practices.</w:t>
      </w:r>
    </w:p>
    <w:bookmarkEnd w:id="33"/>
    <w:bookmarkStart w:id="34"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instrument’s only directly measured discrimination item, three checkboxes asking whether there are</w:t>
      </w:r>
      <w:r>
        <w:t xml:space="preserve"> </w:t>
      </w:r>
      <w:r>
        <w:t xml:space="preserve">“restrictions to the individuals you would provide care to”</w:t>
      </w:r>
      <w:r>
        <w:t xml:space="preserve"> </w:t>
      </w:r>
      <w:r>
        <w:t xml:space="preserve">(lesbian couple, straight couple, single mother), is</w:t>
      </w:r>
      <w:r>
        <w:t xml:space="preserve"> </w:t>
      </w:r>
      <w:r>
        <w:rPr>
          <w:b/>
          <w:bCs/>
        </w:rPr>
        <w:t xml:space="preserve">excluded from all analyses reported here</w:t>
      </w:r>
      <w:r>
        <w:t xml:space="preserve">, and the study codebook establishes that it cannot be recovered. The codebook defines a ticked box as a restriction applying to that group, with no field note or branching logic. The recorded responses are inconsistent with that definition and with one another. A box was ticked on 43 of 234 calls. One caller ticked all three boxes on 19 occasions, which under the codebook definition would mean those practices serve no one and plainly means its inverse, while every other caller ticked only the box matching the scenario they themselves called as, an echo of the assignment rather than an observation about the practice (22 calls). The convention is therefore a property of the caller rather than of the response, and 25% of calls record no caller at all, so no post hoc recoding can separate the two. This is an instrument defect rather than an analytic one, and the fix belongs in the next wave: three explicit yes/no items with the direction stated in the stem, made required so that blank is distinguishable from</w:t>
      </w:r>
      <w:r>
        <w:t xml:space="preserve"> </w:t>
      </w:r>
      <w:r>
        <w:t xml:space="preserve">“no restriction”</w:t>
      </w:r>
      <w:r>
        <w:t xml:space="preserve">, and caller identity mandatory on every record.</w:t>
      </w:r>
    </w:p>
    <w:bookmarkEnd w:id="34"/>
    <w:bookmarkStart w:id="35"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5"/>
    <w:bookmarkEnd w:id="36"/>
    <w:bookmarkStart w:id="37"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Clopper-Pearson confidence intervals;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were eligible for the appointment-availability analysis, and 57 had an observed appointment date.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37"/>
    <w:bookmarkStart w:id="38"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Table S4.</w:t>
      </w:r>
      <w:r>
        <w:t xml:space="preserve"> </w:t>
      </w:r>
      <w:r>
        <w:t xml:space="preserve">Completed STROBE checklist for cross-sectional studies.</w:t>
      </w:r>
    </w:p>
    <w:p>
      <w:pPr>
        <w:pStyle w:val="BodyText"/>
      </w:pPr>
      <w:r>
        <w:rPr>
          <w:b/>
          <w:bCs/>
        </w:rPr>
        <w:t xml:space="preserve">Appendix Table S5.</w:t>
      </w:r>
      <w:r>
        <w:t xml:space="preserve"> </w:t>
      </w:r>
      <w:r>
        <w:t xml:space="preserve">Adjudication of the eight practice-scenario cells containing duplicate calls, with the primary and sensitivity cell assignments side by side.</w:t>
      </w:r>
    </w:p>
    <w:p>
      <w:pPr>
        <w:pStyle w:val="BodyText"/>
      </w:pPr>
      <w:r>
        <w:rPr>
          <w:b/>
          <w:bCs/>
        </w:rPr>
        <w:t xml:space="preserve">Appendix Table S6.</w:t>
      </w:r>
      <w:r>
        <w:t xml:space="preserve"> </w:t>
      </w:r>
      <w:r>
        <w:t xml:space="preserve">Combination of restriction checkboxes ticked, by person completing the form, showing the two incompatible conventions that make the item unusable.</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38"/>
    <w:bookmarkStart w:id="39" w:name="references"/>
    <w:p>
      <w:pPr>
        <w:pStyle w:val="Heading2"/>
      </w:pPr>
      <w:r>
        <w:t xml:space="preserve">REFERENCES</w:t>
      </w:r>
    </w:p>
    <w:p>
      <w:pPr>
        <w:pStyle w:val="Compact"/>
        <w:numPr>
          <w:ilvl w:val="0"/>
          <w:numId w:val="1002"/>
        </w:numPr>
      </w:pPr>
      <w:r>
        <w:t xml:space="preserve">Stanford JB, Parnell TA, Boyle PC. Restorative reproductive medicine: an overview. Curr Med Res Opin. 2012;28(9):1451-1463.</w:t>
      </w:r>
    </w:p>
    <w:p>
      <w:pPr>
        <w:pStyle w:val="Compact"/>
        <w:numPr>
          <w:ilvl w:val="0"/>
          <w:numId w:val="1002"/>
        </w:numPr>
      </w:pPr>
      <w:r>
        <w:t xml:space="preserve">Tham E, Schliep K, Stanford J. Natural procreative technology for infertility and recurrent miscarriage. Can Fam Physician. 2012;58(5):e267-e274.</w:t>
      </w:r>
    </w:p>
    <w:p>
      <w:pPr>
        <w:pStyle w:val="Compact"/>
        <w:numPr>
          <w:ilvl w:val="0"/>
          <w:numId w:val="1002"/>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2"/>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2"/>
        </w:numPr>
      </w:pPr>
      <w:r>
        <w:t xml:space="preserve">Kugelmass H. Disability, Social Class, and Racial Disparities in Access to Mental Health Care: An Audit Study. J Health Soc Behav. 2019;60(4):460-476.</w:t>
      </w:r>
    </w:p>
    <w:p>
      <w:pPr>
        <w:pStyle w:val="Compact"/>
        <w:numPr>
          <w:ilvl w:val="0"/>
          <w:numId w:val="1002"/>
        </w:numPr>
      </w:pPr>
      <w:r>
        <w:t xml:space="preserve">Bisgaier J, Rhodes KV. Auditing access to specialty care for children with public insurance. N Engl J Med. 2011;364(24):2326-2333.</w:t>
      </w:r>
    </w:p>
    <w:p>
      <w:pPr>
        <w:pStyle w:val="Compact"/>
        <w:numPr>
          <w:ilvl w:val="0"/>
          <w:numId w:val="1002"/>
        </w:numPr>
      </w:pPr>
      <w:r>
        <w:t xml:space="preserve">Rhodes KV, Kenney GM, Wissoker D, et al. Primary care access for new patients on Medicaid. Ann Intern Med. 2014;160(12):813-820.</w:t>
      </w:r>
    </w:p>
    <w:p>
      <w:pPr>
        <w:pStyle w:val="Compact"/>
        <w:numPr>
          <w:ilvl w:val="0"/>
          <w:numId w:val="1002"/>
        </w:numPr>
      </w:pPr>
      <w:r>
        <w:t xml:space="preserve">Gross CP, Andersen MS, Krumholz HM. Audit studies in health services research. JAMA. 2019;322(3):205-207.</w:t>
      </w:r>
    </w:p>
    <w:p>
      <w:pPr>
        <w:pStyle w:val="Compact"/>
        <w:numPr>
          <w:ilvl w:val="0"/>
          <w:numId w:val="1002"/>
        </w:numPr>
      </w:pPr>
      <w:r>
        <w:t xml:space="preserve">Lauster N, Easterbrook A. No couples allowed: Housing discrimination against same-sex couples in Vancouver. Can Stud Popul. 2011;38(3-4):57-75.</w:t>
      </w:r>
    </w:p>
    <w:p>
      <w:pPr>
        <w:pStyle w:val="Compact"/>
        <w:numPr>
          <w:ilvl w:val="0"/>
          <w:numId w:val="1002"/>
        </w:numPr>
      </w:pPr>
      <w:r>
        <w:t xml:space="preserve">Newcombe RG. Two-sided confidence intervals for the single proportion: comparison of seven methods. Stat Med. 1998;17(8):857-872.</w:t>
      </w:r>
    </w:p>
    <w:p>
      <w:pPr>
        <w:pStyle w:val="Compact"/>
        <w:numPr>
          <w:ilvl w:val="0"/>
          <w:numId w:val="1002"/>
        </w:numPr>
      </w:pPr>
      <w:r>
        <w:t xml:space="preserve">Agresti A, Min Y. Simple statistical methods for estimating relative risk in 2x2 contingency tables with paired data. Stat Med. 2005;24(5):729-740.</w:t>
      </w:r>
    </w:p>
    <w:p>
      <w:pPr>
        <w:pStyle w:val="Compact"/>
        <w:numPr>
          <w:ilvl w:val="0"/>
          <w:numId w:val="1002"/>
        </w:numPr>
      </w:pPr>
      <w:r>
        <w:t xml:space="preserve">Lang TA, Altman DG. Statistical analyses and methods in the published literature: the SAMPL guidelines. Int J Nurs Stud. 2015;52(1):5-9.</w:t>
      </w:r>
    </w:p>
    <w:p>
      <w:pPr>
        <w:pStyle w:val="Compact"/>
        <w:numPr>
          <w:ilvl w:val="0"/>
          <w:numId w:val="1002"/>
        </w:numPr>
      </w:pPr>
      <w:r>
        <w:t xml:space="preserve">Agrawal S, Kallen AN. Infertility disparities: a review of care access and outcomes. Curr Opin Obstet Gynecol. 2020;32(3):210-215.</w:t>
      </w:r>
    </w:p>
    <w:p>
      <w:pPr>
        <w:pStyle w:val="Compact"/>
        <w:numPr>
          <w:ilvl w:val="0"/>
          <w:numId w:val="1002"/>
        </w:numPr>
      </w:pPr>
      <w:r>
        <w:t xml:space="preserve">Quinn GP, Sanchez JA, Sutton SK, et al. LGBTQ fertility and family building: a review of provider knowledge and attitudes. J Assist Reprod Genet. 2015;32(10):1507-1513.</w:t>
      </w:r>
    </w:p>
    <w:p>
      <w:pPr>
        <w:pStyle w:val="Compact"/>
        <w:numPr>
          <w:ilvl w:val="0"/>
          <w:numId w:val="1002"/>
        </w:numPr>
      </w:pPr>
      <w:r>
        <w:t xml:space="preserve">Cwiak C, Edelman A, Ross L. Family planning access and non-traditional family building. Obstet Gynecol Clin North Am. 2019;46(4):711-724.</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2026-09-05T16:00:39Z</dcterms:created>
  <dcterms:modified xsi:type="dcterms:W3CDTF">2026-09-05T16:00:39Z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