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4 items</w:t>
      </w:r>
    </w:p>
    <w:p>
      <w:pPr>
        <w:pStyle w:val="BodyText"/>
      </w:pPr>
      <w:r>
        <w:t xml:space="preserve">Précis</w:t>
      </w:r>
    </w:p>
    <w:p>
      <w:pPr>
        <w:pStyle w:val="BodyText"/>
      </w:pPr>
      <w:r>
        <w:t xml:space="preserve">Restorative Reproductive Medicine practices almost never offer intrauterine insemination, in vitro fertilization, or donor sperm care, the services required to conceive without a male partner.</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8"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IUI, IVF, and whether the practice works with donor sperm. These are directly reported by staff in response to a standardized question,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w:t>
      </w:r>
    </w:p>
    <w:bookmarkEnd w:id="24"/>
    <w:bookmarkStart w:id="25"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5"/>
    <w:bookmarkStart w:id="26"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6"/>
    <w:bookmarkStart w:id="27"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7"/>
    <w:bookmarkEnd w:id="28"/>
    <w:bookmarkStart w:id="43" w:name="results"/>
    <w:p>
      <w:pPr>
        <w:pStyle w:val="Heading2"/>
      </w:pPr>
      <w:r>
        <w:t xml:space="preserve">RESULTS</w:t>
      </w:r>
    </w:p>
    <w:bookmarkStart w:id="32" w:name="X7c6f754733434d60a95bc7e273f19daed862ccc"/>
    <w:p>
      <w:pPr>
        <w:pStyle w:val="Heading3"/>
      </w:pPr>
      <w:r>
        <w:t xml:space="preserve">Reproductive Services Offered —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30" name="Picture"/>
            <a:graphic>
              <a:graphicData uri="http://schemas.openxmlformats.org/drawingml/2006/picture">
                <pic:pic>
                  <pic:nvPicPr>
                    <pic:cNvPr descr="labubu_mysterycall_manuscript_files/mysterycall_outputs/figures/fig5_service_forest.png" id="31" name="Picture"/>
                    <pic:cNvPicPr>
                      <a:picLocks noChangeArrowheads="1" noChangeAspect="1"/>
                    </pic:cNvPicPr>
                  </pic:nvPicPr>
                  <pic:blipFill>
                    <a:blip r:embed="rId29"/>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TableCaption"/>
      </w:pPr>
      <w:r>
        <w:t xml:space="preserve">Appendix Table S3. Reproductive services offered by RRM practices, numeric detail for Figure 1 (N = 98 calls reaching staff).</w:t>
      </w:r>
    </w:p>
    <w:tbl>
      <w:tblPr>
        <w:tblStyle w:val="Table"/>
        <w:tblW w:type="auto" w:w="0"/>
        <w:tblLook w:firstRow="1" w:lastRow="0" w:firstColumn="0" w:lastColumn="0" w:noHBand="0" w:noVBand="0" w:val="0020"/>
        <w:tblCaption w:val="Appendix Table S3. Reproductive services offered by RRM practices, numeric detail for Figure 1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by 94.9% (95% CI 88.6-97.8%; 93/98) and hormonal laboratory monitoring by 63.3% (95% CI 53.4-72.1%; 62/98). Ovulation induction was offered by 11.2% (95% CI 6.4-19.0%; 11/98). IUI and IVF were each offered by 1.0% (95% CI 0.2-5.6%; 1/98) — a single practice in each case —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32"/>
    <w:bookmarkStart w:id="3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4" name="Picture"/>
            <a:graphic>
              <a:graphicData uri="http://schemas.openxmlformats.org/drawingml/2006/picture">
                <pic:pic>
                  <pic:nvPicPr>
                    <pic:cNvPr descr="labubu_mysterycall_manuscript_files/mysterycall_outputs/figures/fig0_strobe_flow.png" id="35" name="Picture"/>
                    <pic:cNvPicPr>
                      <a:picLocks noChangeArrowheads="1" noChangeAspect="1"/>
                    </pic:cNvPicPr>
                  </pic:nvPicPr>
                  <pic:blipFill>
                    <a:blip r:embed="rId33"/>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7" name="Picture"/>
            <a:graphic>
              <a:graphicData uri="http://schemas.openxmlformats.org/drawingml/2006/picture">
                <pic:pic>
                  <pic:nvPicPr>
                    <pic:cNvPr descr="labubu_mysterycall_manuscript_files/mysterycall_outputs/figures/fig0b_strobe_flow_by_scenario.png" id="38" name="Picture"/>
                    <pic:cNvPicPr>
                      <a:picLocks noChangeArrowheads="1" noChangeAspect="1"/>
                    </pic:cNvPicPr>
                  </pic:nvPicPr>
                  <pic:blipFill>
                    <a:blip r:embed="rId36"/>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9"/>
    <w:bookmarkStart w:id="40"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8.1 to OR 9.0;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40"/>
    <w:bookmarkStart w:id="41"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Appendix Table S1. Concentration of each scenario arm in a single caller.</w:t>
      </w:r>
    </w:p>
    <w:tbl>
      <w:tblPr>
        <w:tblStyle w:val="Table"/>
        <w:tblW w:type="pct" w:w="5000"/>
        <w:tblLayout w:type="fixed"/>
        <w:tblLook w:firstRow="1" w:lastRow="0" w:firstColumn="0" w:lastColumn="0" w:noHBand="0" w:noVBand="0" w:val="0020"/>
        <w:tblCaption w:val="Appendix Table S1.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p/>
    <w:p>
      <w:pPr>
        <w:pStyle w:val="TableCaption"/>
      </w:pPr>
      <w:r>
        <w:t xml:space="preserve">Appendix Table S2. Documentation completeness by caller scenario. Differential documentation and differential availability cannot be separated in these data.</w:t>
      </w:r>
    </w:p>
    <w:tbl>
      <w:tblPr>
        <w:tblStyle w:val="Table"/>
        <w:tblW w:type="pct" w:w="5000"/>
        <w:tblLayout w:type="fixed"/>
        <w:tblLook w:firstRow="1" w:lastRow="0" w:firstColumn="0" w:lastColumn="0" w:noHBand="0" w:noVBand="0" w:val="0020"/>
        <w:tblCaption w:val="Appendix Table S2. Documentation completeness by caller scenario. Differential documentation and differential availability cannot be separated in these data."/>
      </w:tblPr>
      <w:tblGrid>
        <w:gridCol w:w="1667"/>
        <w:gridCol w:w="1354"/>
        <w:gridCol w:w="1354"/>
        <w:gridCol w:w="1458"/>
        <w:gridCol w:w="2084"/>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No call date</w:t>
            </w:r>
          </w:p>
        </w:tc>
        <w:tc>
          <w:tcPr/>
          <w:p>
            <w:pPr>
              <w:pStyle w:val="Compact"/>
              <w:jc w:val="right"/>
            </w:pPr>
            <w:r>
              <w:t xml:space="preserve">Reached staff</w:t>
            </w:r>
          </w:p>
        </w:tc>
        <w:tc>
          <w:tcPr/>
          <w:p>
            <w:pPr>
              <w:pStyle w:val="Compact"/>
              <w:jc w:val="left"/>
            </w:pPr>
            <w:r>
              <w:t xml:space="preserve">No appointment date</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6 (7.8%)</w:t>
            </w:r>
          </w:p>
        </w:tc>
        <w:tc>
          <w:tcPr/>
          <w:p>
            <w:pPr>
              <w:pStyle w:val="Compact"/>
              <w:jc w:val="right"/>
            </w:pPr>
            <w:r>
              <w:t xml:space="preserve">39</w:t>
            </w:r>
          </w:p>
        </w:tc>
        <w:tc>
          <w:tcPr/>
          <w:p>
            <w:pPr>
              <w:pStyle w:val="Compact"/>
              <w:jc w:val="left"/>
            </w:pPr>
            <w:r>
              <w:t xml:space="preserve">11 (28.2%)</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19 (22.9%)</w:t>
            </w:r>
          </w:p>
        </w:tc>
        <w:tc>
          <w:tcPr/>
          <w:p>
            <w:pPr>
              <w:pStyle w:val="Compact"/>
              <w:jc w:val="right"/>
            </w:pPr>
            <w:r>
              <w:t xml:space="preserve">37</w:t>
            </w:r>
          </w:p>
        </w:tc>
        <w:tc>
          <w:tcPr/>
          <w:p>
            <w:pPr>
              <w:pStyle w:val="Compact"/>
              <w:jc w:val="left"/>
            </w:pPr>
            <w:r>
              <w:t xml:space="preserve">23 (62.2%)</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12 (16.2%)</w:t>
            </w:r>
          </w:p>
        </w:tc>
        <w:tc>
          <w:tcPr/>
          <w:p>
            <w:pPr>
              <w:pStyle w:val="Compact"/>
              <w:jc w:val="right"/>
            </w:pPr>
            <w:r>
              <w:t xml:space="preserve">32</w:t>
            </w:r>
          </w:p>
        </w:tc>
        <w:tc>
          <w:tcPr/>
          <w:p>
            <w:pPr>
              <w:pStyle w:val="Compact"/>
              <w:jc w:val="left"/>
            </w:pPr>
            <w:r>
              <w:t xml:space="preserve">17 (53.1%)</w:t>
            </w:r>
          </w:p>
        </w:tc>
      </w:tr>
    </w:tbl>
    <w:bookmarkEnd w:id="41"/>
    <w:bookmarkStart w:id="42"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42"/>
    <w:bookmarkEnd w:id="43"/>
    <w:bookmarkStart w:id="50" w:name="discussion"/>
    <w:p>
      <w:pPr>
        <w:pStyle w:val="Heading2"/>
      </w:pPr>
      <w:r>
        <w:t xml:space="preserve">DISCUSSION</w:t>
      </w:r>
    </w:p>
    <w:bookmarkStart w:id="44"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4"/>
    <w:bookmarkStart w:id="45"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 most practices treated callers alike — leaving 7, 2, 8 discordant practices across the three contrasts, with minimum detectable effects of OR 8.1 to OR 9.0.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 Lesbian couple versus Single mother, in which three callers placed calls under both —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5"/>
    <w:bookmarkStart w:id="46"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monitoring.[8,9] For patients whose path to pregnancy requires donor gametes or ART, the absence of those services is a primary structural barrier to care, independent of staff attitudes.[9-12] Our estimates place that absence at approximately one practice in a hundred for IUI and IVF.</w:t>
      </w:r>
    </w:p>
    <w:bookmarkEnd w:id="46"/>
    <w:bookmarkStart w:id="47"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7"/>
    <w:bookmarkStart w:id="48"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8"/>
    <w:bookmarkStart w:id="49"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9"/>
    <w:bookmarkEnd w:id="50"/>
    <w:bookmarkStart w:id="51"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51"/>
    <w:bookmarkStart w:id="52"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52"/>
    <w:bookmarkStart w:id="5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2026-09-05T12:24:35Z</dcterms:created>
  <dcterms:modified xsi:type="dcterms:W3CDTF">2026-09-05T12:24:35Z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