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105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9"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Because the data-collection instrument contained no explicit</w:t>
      </w:r>
      <w:r>
        <w:t xml:space="preserve"> </w:t>
      </w:r>
      <w:r>
        <w:t xml:space="preserve">“was an appointment offered”</w:t>
      </w:r>
      <w:r>
        <w:t xml:space="preserve"> </w:t>
      </w:r>
      <w:r>
        <w:t xml:space="preserve">item, the offer outcome was derived: a call was scored as offered when a first-available appointment date was recorded, and as not offered when the practice stated it was not accepting new patients; a sensitivity definition additionally counted a concrete scheduling timeframe as an offer.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105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Appointment-offer rates were 75.7% for straight couples, 42.4% for lesbian couples, and 50.0% for single mothers. In complete-triad mixed-effects logistic regression, relative to straight couples, the odds of an appointment offer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10"/>
    <w:bookmarkStart w:id="15" w:name="sources-and-methods"/>
    <w:p>
      <w:pPr>
        <w:pStyle w:val="Heading2"/>
      </w:pPr>
      <w:r>
        <w:t xml:space="preserve">SOURCES AND METHODS</w:t>
      </w:r>
    </w:p>
    <w:bookmarkStart w:id="11"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11"/>
    <w:bookmarkStart w:id="12"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12"/>
    <w:bookmarkStart w:id="13"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offered (primary, strict)</w:t>
      </w:r>
      <w:r>
        <w:t xml:space="preserve">: among offer-eligible calls, a first-available appointment date was recorded. A stated</w:t>
      </w:r>
      <w:r>
        <w:t xml:space="preserve"> </w:t>
      </w:r>
      <w:r>
        <w:t xml:space="preserve">“not accepting new patients”</w:t>
      </w:r>
      <w:r>
        <w:t xml:space="preserve"> </w:t>
      </w:r>
      <w:r>
        <w:t xml:space="preserve">was scored as not offered.</w:t>
      </w:r>
    </w:p>
    <w:p>
      <w:pPr>
        <w:pStyle w:val="Compact"/>
        <w:numPr>
          <w:ilvl w:val="0"/>
          <w:numId w:val="1002"/>
        </w:numPr>
      </w:pPr>
      <w:r>
        <w:rPr>
          <w:b/>
          <w:bCs/>
        </w:rPr>
        <w:t xml:space="preserve">Appointment offered (sensitivity, broad)</w:t>
      </w:r>
      <w:r>
        <w:t xml:space="preserve">: as above, but a concrete scheduling timeframe reported by staff without a specific date was also counted as an offer.</w:t>
      </w:r>
    </w:p>
    <w:p>
      <w:pPr>
        <w:pStyle w:val="FirstParagraph"/>
      </w:pPr>
      <w:r>
        <w:t xml:space="preserve">The data-collection instrument did not contain an explicit item asking whether staff agreed to schedule the caller. The offer outcome is therefore a derived proxy, and this is the study’s principal measurement limitation (see Limitations). Wait time was the number of business days (Monday–Friday, excluding US federal holidays) between the call and the first available appointment, with same-day appointments retained as a wait of zero.</w:t>
      </w:r>
    </w:p>
    <w:bookmarkEnd w:id="13"/>
    <w:bookmarkStart w:id="14"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14"/>
    <w:bookmarkEnd w:id="15"/>
    <w:bookmarkStart w:id="24" w:name="results"/>
    <w:p>
      <w:pPr>
        <w:pStyle w:val="Heading2"/>
      </w:pPr>
      <w:r>
        <w:t xml:space="preserve">RESULTS</w:t>
      </w:r>
    </w:p>
    <w:bookmarkStart w:id="19"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17" name="Picture"/>
            <a:graphic>
              <a:graphicData uri="http://schemas.openxmlformats.org/drawingml/2006/picture">
                <pic:pic>
                  <pic:nvPicPr>
                    <pic:cNvPr descr="mysterycall_outputs/figures/fig0_strobe_flow.png" id="18" name="Picture"/>
                    <pic:cNvPicPr>
                      <a:picLocks noChangeArrowheads="1" noChangeAspect="1"/>
                    </pic:cNvPicPr>
                  </pic:nvPicPr>
                  <pic:blipFill>
                    <a:blip r:embed="rId16"/>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19"/>
    <w:bookmarkStart w:id="20"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20"/>
    <w:bookmarkStart w:id="21" w:name="appointment-offers-by-caller-identity"/>
    <w:p>
      <w:pPr>
        <w:pStyle w:val="Heading3"/>
      </w:pPr>
      <w:r>
        <w:t xml:space="preserve">Appointment Offers by Caller Identity</w:t>
      </w:r>
    </w:p>
    <w:p>
      <w:pPr>
        <w:pStyle w:val="FirstParagraph"/>
      </w:pPr>
      <w:r>
        <w:t xml:space="preserve">Appointment-offer rates among offer-eligible calls were 75.7% for straight couples, 42.4% for lesbian couples, and 50.0% for single mothers (Table 1).</w:t>
      </w:r>
    </w:p>
    <w:p>
      <w:pPr>
        <w:pStyle w:val="BodyText"/>
      </w:pPr>
      <w:r>
        <w:t xml:space="preserve">In complete-triad mixed-effects logistic regression (N = 48 practices), relative to straight-couple callers, the odds of an appointment offer were OR 0.04 (0.01-0.28) for lesbian couples (p = 0.001) and OR 0.09 (0.01-0.65) for single mothers (p = 0.016). The confidence intervals span orders of magnitude, reflecting near-separation at this sample size; direction is interpretable, magnitude is not.</w:t>
      </w:r>
    </w:p>
    <w:p>
      <w:pPr>
        <w:pStyle w:val="BodyText"/>
      </w:pPr>
      <w:r>
        <w:t xml:space="preserve">Under the broad offer definition, which additionally credits a stated scheduling timeframe, the same contrasts attenuated to OR 0.31 (0.08-1.25) and OR 0.29 (0.06-1.27). The dependence of the estimate on the outcome definition is material and is discussed below.</w:t>
      </w:r>
    </w:p>
    <w:p>
      <w:pPr>
        <w:pStyle w:val="TableCaption"/>
      </w:pPr>
      <w:r>
        <w:t xml:space="preserve">Table 3. Within-practice matched paired appointment-offer analysis. Only discordant practices contribute information.</w:t>
      </w:r>
    </w:p>
    <w:tbl>
      <w:tblPr>
        <w:tblStyle w:val="Table"/>
        <w:tblW w:type="pct" w:w="5000"/>
        <w:tblLayout w:type="fixed"/>
        <w:tblLook w:firstRow="1" w:lastRow="0" w:firstColumn="0" w:lastColumn="0" w:noHBand="0" w:noVBand="0" w:val="0020"/>
        <w:tblCaption w:val="Table 3. Within-practice matched paired appointment-offer analysis.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21</w:t>
            </w:r>
          </w:p>
        </w:tc>
        <w:tc>
          <w:tcPr/>
          <w:p>
            <w:pPr>
              <w:pStyle w:val="Compact"/>
              <w:jc w:val="right"/>
            </w:pPr>
            <w:r>
              <w:t xml:space="preserve">19</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21</w:t>
            </w:r>
          </w:p>
        </w:tc>
        <w:tc>
          <w:tcPr/>
          <w:p>
            <w:pPr>
              <w:pStyle w:val="Compact"/>
              <w:jc w:val="right"/>
            </w:pPr>
            <w:r>
              <w:t xml:space="preserve">13</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offer rate were: Straight vs Single Mother +31.2 percentage points (95% CI +2.7 to +59.8; n = 16 practices); Lesbian vs Single Mother -9.5 percentage points (95% CI -22.1 to +3.0; n = 21 practices); Straight vs Lesbian +38.1 percentage points (95% CI +17.3 to +58.9; n = 21 practices). Practices treated callers identically in 69%-77% of paired reachability comparisons.</w:t>
      </w:r>
    </w:p>
    <w:bookmarkEnd w:id="21"/>
    <w:bookmarkStart w:id="22"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offer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bookmarkEnd w:id="22"/>
    <w:bookmarkStart w:id="23"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0.48-1.43) for lesbian couples and 0.82 (95% CI 0.47-1.43)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23"/>
    <w:bookmarkEnd w:id="24"/>
    <w:bookmarkStart w:id="31" w:name="discussion"/>
    <w:p>
      <w:pPr>
        <w:pStyle w:val="Heading2"/>
      </w:pPr>
      <w:r>
        <w:t xml:space="preserve">DISCUSSION</w:t>
      </w:r>
    </w:p>
    <w:bookmarkStart w:id="25"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appointment-offer rates differed across caller scenarios in the observed direction of disadvantage for lesbian couples and single mothers. We do not present this as an established effect, for the reasons below.</w:t>
      </w:r>
    </w:p>
    <w:bookmarkEnd w:id="25"/>
    <w:bookmarkStart w:id="26"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Callers were not randomized across scenarios; each arm was dominated by a small number of callers (Table 4; Cramér’s V = 0.66), and per-caller offer rates ranged widely. Because the paired within-practice design compares scenarios that were dialed by different people, matching removes practice-level confounding but not caller-level confounding. In a model adjusting for caller, the scenario standard errors inflate to the point of non-identifiability, which is itself the evidence that the two cannot be separated in these data.</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26"/>
    <w:bookmarkStart w:id="27"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27"/>
    <w:bookmarkStart w:id="28"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offer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28"/>
    <w:bookmarkStart w:id="29" w:name="recommendations-for-the-next-wave"/>
    <w:p>
      <w:pPr>
        <w:pStyle w:val="Heading3"/>
      </w:pPr>
      <w:r>
        <w:t xml:space="preserve">Recommendations for the Next Wave</w:t>
      </w:r>
    </w:p>
    <w:p>
      <w:pPr>
        <w:pStyle w:val="FirstParagraph"/>
      </w:pPr>
      <w:r>
        <w:t xml:space="preserve">Adding an explicit appointment-offer item to the data-collection instrument,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already in the instrument are the only directly measured discrimination item; their coding is currently ambiguous and should be adjudicated against the codebook before use.</w:t>
      </w:r>
    </w:p>
    <w:bookmarkEnd w:id="29"/>
    <w:bookmarkStart w:id="30"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30"/>
    <w:bookmarkEnd w:id="31"/>
    <w:bookmarkStart w:id="32"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2026-09-05T01:12:55Z</dcterms:created>
  <dcterms:modified xsi:type="dcterms:W3CDTF">2026-09-05T01:12:55Z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