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20"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21"/>
    <w:bookmarkStart w:id="25" w:name="sources-and-methods"/>
    <w:p>
      <w:pPr>
        <w:pStyle w:val="Heading2"/>
      </w:pPr>
      <w:r>
        <w:t xml:space="preserve">SOURCES AND METHODS</w:t>
      </w:r>
    </w:p>
    <w:bookmarkStart w:id="22"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22"/>
    <w:bookmarkStart w:id="23"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23"/>
    <w:bookmarkStart w:id="24"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are reported alongside every paired contrast and were OR 30.9 to OR 35.4; one of the three contrasts has no attainable minimum detectable effect, the discordant count being too small for the exact test to reject at any effect size. These are computed from the exact rejection region of the binomial test rather than from a normal approximation, which at this many discordant pairs overstates power roughly twofold.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4"/>
    <w:bookmarkEnd w:id="25"/>
    <w:bookmarkStart w:id="40" w:name="results"/>
    <w:p>
      <w:pPr>
        <w:pStyle w:val="Heading2"/>
      </w:pPr>
      <w:r>
        <w:t xml:space="preserve">RESULTS</w:t>
      </w:r>
    </w:p>
    <w:bookmarkStart w:id="29"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27" name="Picture"/>
            <a:graphic>
              <a:graphicData uri="http://schemas.openxmlformats.org/drawingml/2006/picture">
                <pic:pic>
                  <pic:nvPicPr>
                    <pic:cNvPr descr="labubu_mysterycall_manuscript_files/mysterycall_outputs/figures/fig5_service_forest.png" id="28" name="Picture"/>
                    <pic:cNvPicPr>
                      <a:picLocks noChangeArrowheads="1" noChangeAspect="1"/>
                    </pic:cNvPicPr>
                  </pic:nvPicPr>
                  <pic:blipFill>
                    <a:blip r:embed="rId26"/>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29"/>
    <w:bookmarkStart w:id="36"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31" name="Picture"/>
            <a:graphic>
              <a:graphicData uri="http://schemas.openxmlformats.org/drawingml/2006/picture">
                <pic:pic>
                  <pic:nvPicPr>
                    <pic:cNvPr descr="labubu_mysterycall_manuscript_files/mysterycall_outputs/figures/fig0_strobe_flow.png" id="32" name="Picture"/>
                    <pic:cNvPicPr>
                      <a:picLocks noChangeArrowheads="1" noChangeAspect="1"/>
                    </pic:cNvPicPr>
                  </pic:nvPicPr>
                  <pic:blipFill>
                    <a:blip r:embed="rId30"/>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34" name="Picture"/>
            <a:graphic>
              <a:graphicData uri="http://schemas.openxmlformats.org/drawingml/2006/picture">
                <pic:pic>
                  <pic:nvPicPr>
                    <pic:cNvPr descr="labubu_mysterycall_manuscript_files/mysterycall_outputs/figures/fig0b_strobe_flow_by_scenario.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6"/>
    <w:bookmarkStart w:id="37"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30.9 to OR 35.4;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30.9</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None attainable</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35.4</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7"/>
    <w:bookmarkStart w:id="38"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38"/>
    <w:bookmarkStart w:id="39"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9"/>
    <w:bookmarkEnd w:id="40"/>
    <w:bookmarkStart w:id="47" w:name="discussion"/>
    <w:p>
      <w:pPr>
        <w:pStyle w:val="Heading2"/>
      </w:pPr>
      <w:r>
        <w:t xml:space="preserve">DISCUSSION</w:t>
      </w:r>
    </w:p>
    <w:bookmarkStart w:id="41"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41"/>
    <w:bookmarkStart w:id="42"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30.9 to OR 35.4. Audit-study effects of interest are far below that floor. For the Lesbian couple versus Single mother contrast in particular, the number of discordant practices is small enough that the exact test cannot return a significant result at any effect size. It is more informative to state what the data exclude than what they fail to detect. The paired differences in inferred availability were +31 percentage points (95% CI -7 to +43) for straight couple versus single mother, -9 percentage points (95% CI -9 to +6) for lesbian couple versus single mother, and +42 percentage points (95% CI +11 to +42) for straight couple versus lesbian couple. The upper limit of each interval is the largest disadvantage compatible with these data, and in every case it is wide enough to contain effects that would matter clinically.</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 The magnitude of the caller contribution can be stated directly: in a variance-components model the proportion of outcome variance lying between callers rather than within them was 0.29 for reaching a live office, 0.31 for inferred appointment availability, and 0.36 for the business-day wait. Roughly a third of the variation in each outcome tracks who placed the call, which is the same order of magnitude as any scenario effect the study could detect.</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42"/>
    <w:bookmarkStart w:id="43"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43"/>
    <w:bookmarkStart w:id="44"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are detectable (OR 30.9 to OR 35.4; one of the three contrasts has no attainable minimum detectable effect, the discordant count being too small for the exact test to reject at any effect size).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44"/>
    <w:bookmarkStart w:id="45"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instrument’s only directly measured discrimination item, three checkboxes asking whether there are</w:t>
      </w:r>
      <w:r>
        <w:t xml:space="preserve"> </w:t>
      </w:r>
      <w:r>
        <w:t xml:space="preserve">“restrictions to the individuals you would provide care to”</w:t>
      </w:r>
      <w:r>
        <w:t xml:space="preserve"> </w:t>
      </w:r>
      <w:r>
        <w:t xml:space="preserve">(lesbian couple, straight couple, single mother), is</w:t>
      </w:r>
      <w:r>
        <w:t xml:space="preserve"> </w:t>
      </w:r>
      <w:r>
        <w:rPr>
          <w:b/>
          <w:bCs/>
        </w:rPr>
        <w:t xml:space="preserve">excluded from all analyses reported here</w:t>
      </w:r>
      <w:r>
        <w:t xml:space="preserve">, and the study codebook establishes that it cannot be recovered. The codebook defines a ticked box as a restriction applying to that group, with no field note or branching logic. The recorded responses are inconsistent with that definition and with one another. A box was ticked on 43 of 234 calls. One caller ticked all three boxes on 19 occasions, which under the codebook definition would mean those practices serve no one and plainly means its inverse, while every other caller ticked only the box matching the scenario they themselves called as, an echo of the assignment rather than an observation about the practice (22 calls). The convention is therefore a property of the caller rather than of the response, and 25% of calls record no caller at all, so no post hoc recoding can separate the two. This is an instrument defect rather than an analytic one, and the fix belongs in the next wave: three explicit yes/no items with the direction stated in the stem, made required so that blank is distinguishable from</w:t>
      </w:r>
      <w:r>
        <w:t xml:space="preserve"> </w:t>
      </w:r>
      <w:r>
        <w:t xml:space="preserve">“no restriction”</w:t>
      </w:r>
      <w:r>
        <w:t xml:space="preserve">, and caller identity mandatory on every record.</w:t>
      </w:r>
    </w:p>
    <w:bookmarkEnd w:id="45"/>
    <w:bookmarkStart w:id="46"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6"/>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Wilson score confidence intervals, the same intervals reported in Appendix Table S3 and throughout the text;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48"/>
    <w:bookmarkStart w:id="49"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Table S6.</w:t>
      </w:r>
      <w:r>
        <w:t xml:space="preserve"> </w:t>
      </w:r>
      <w:r>
        <w:t xml:space="preserve">Combination of restriction checkboxes ticked, by person completing the form, showing the two incompatible conventions that make the item unusable.</w:t>
      </w:r>
    </w:p>
    <w:p>
      <w:pPr>
        <w:pStyle w:val="BodyText"/>
      </w:pPr>
      <w:r>
        <w:rPr>
          <w:b/>
          <w:bCs/>
        </w:rPr>
        <w:t xml:space="preserve">Appendix Table S7.</w:t>
      </w:r>
      <w:r>
        <w:t xml:space="preserve"> </w:t>
      </w:r>
      <w:r>
        <w:t xml:space="preserve">Proportion of outcome variance attributable to the caller, as variance-component intraclass correlation coefficients.</w:t>
      </w:r>
    </w:p>
    <w:p>
      <w:pPr>
        <w:pStyle w:val="BodyText"/>
      </w:pPr>
      <w:r>
        <w:rPr>
          <w:b/>
          <w:bCs/>
        </w:rPr>
        <w:t xml:space="preserve">Appendix Table S8.</w:t>
      </w:r>
      <w:r>
        <w:t xml:space="preserve"> </w:t>
      </w:r>
      <w:r>
        <w:t xml:space="preserve">Paired differences in inferred appointment availability with the range of effects the data are compatible with.</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2026-09-05T21:20:33Z</dcterms:created>
  <dcterms:modified xsi:type="dcterms:W3CDTF">2026-09-05T21:20:33Z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