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Supplemental Digital Content</w:t>
      </w:r>
    </w:p>
    <w:p>
      <w:pPr>
        <w:pStyle w:val="Subtitle"/>
      </w:pPr>
      <w:r>
        <w:t xml:space="preserve">Reproductive Services Offered by Restorative Reproductive Medicine Practices: A National Secret-Shopper Audit</w:t>
      </w:r>
    </w:p>
    <w:p>
      <w:pPr>
        <w:pStyle w:val="Date"/>
      </w:pPr>
      <w:r>
        <w:t xml:space="preserve">September 05,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supplement contains material referenced in the main text. It is generated</w:t>
      </w:r>
      <w:r>
        <w:t xml:space="preserve"> </w:t>
      </w:r>
      <w:r>
        <w:t xml:space="preserve">from the same analysis outputs as the manuscript; no number here is</w:t>
      </w:r>
      <w:r>
        <w:t xml:space="preserve"> </w:t>
      </w:r>
      <w:r>
        <w:t xml:space="preserve">independently recomputed.</w:t>
      </w:r>
    </w:p>
    <w:p>
      <w:r>
        <w:pict>
          <v:rect style="width:0;height:1.5pt" o:hralign="center" o:hrstd="t" o:hr="t"/>
        </w:pict>
      </w:r>
    </w:p>
    <w:bookmarkStart w:id="20" w:name="Xd7744825be7058416139984f20048c334e1e54a"/>
    <w:p>
      <w:pPr>
        <w:pStyle w:val="Heading2"/>
      </w:pPr>
      <w:r>
        <w:t xml:space="preserve">Appendix Table S1. Caller concentration and contrast separability</w:t>
      </w:r>
    </w:p>
    <w:p>
      <w:pPr>
        <w:pStyle w:val="FirstParagraph"/>
      </w:pPr>
      <w:r>
        <w:t xml:space="preserve">Each scenario arm was dominated by a different caller, so a scenario contrast is</w:t>
      </w:r>
      <w:r>
        <w:t xml:space="preserve"> </w:t>
      </w:r>
      <w:r>
        <w:t xml:space="preserve">also a caller contrast. The second table shows which contrasts have any caller</w:t>
      </w:r>
      <w:r>
        <w:t xml:space="preserve"> </w:t>
      </w:r>
      <w:r>
        <w:t xml:space="preserve">placing calls under both scenarios; a contrast with zero such callers cannot be</w:t>
      </w:r>
      <w:r>
        <w:t xml:space="preserve"> </w:t>
      </w:r>
      <w:r>
        <w:t xml:space="preserve">separated from a caller effect by any adjustment.</w:t>
      </w:r>
    </w:p>
    <w:p>
      <w:pPr>
        <w:pStyle w:val="TableCaption"/>
      </w:pPr>
      <w:r>
        <w:t xml:space="preserve">Table S1a. Concentration of each scenario arm in a single caller.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S1a. Concentration of each scenario arm in a single caller."/>
      </w:tblPr>
      <w:tblGrid>
        <w:gridCol w:w="1712"/>
        <w:gridCol w:w="1391"/>
        <w:gridCol w:w="2354"/>
        <w:gridCol w:w="24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Calls 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single caller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share of the 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Straight couple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Caller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 (68.8%)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Lesbian couple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(34.9%)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mother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Caller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(51.4%)</w:t>
            </w:r>
          </w:p>
        </w:tc>
      </w:tr>
    </w:tbl>
    <w:p/>
    <w:p>
      <w:pPr>
        <w:pStyle w:val="TableCaption"/>
      </w:pPr>
      <w:r>
        <w:t xml:space="preserve">Table S1b. Caller overlap by contrast.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S1b. Caller overlap by contrast."/>
      </w:tblPr>
      <w:tblGrid>
        <w:gridCol w:w="2154"/>
        <w:gridCol w:w="1330"/>
        <w:gridCol w:w="1837"/>
        <w:gridCol w:w="1140"/>
        <w:gridCol w:w="14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Callers placing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callers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Calls contributed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Separable from caller?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Straight couple vs Lesbian couple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Straight couple vs Single mother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Lesbian couple vs Single mother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Caller A, Caller C, Caller 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</w:t>
            </w:r>
          </w:p>
        </w:tc>
      </w:tr>
    </w:tbl>
    <w:p/>
    <w:p>
      <w:pPr>
        <w:pStyle w:val="TableCaption"/>
      </w:pPr>
      <w:r>
        <w:t xml:space="preserve">Table S1c. Call volume and outcome rates by caller. Rates vary widely across callers, which is why a scenario arm dominated by one caller cannot be read as a scenario effect.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S1c. Call volume and outcome rates by caller. Rates vary widely across callers, which is why a scenario arm dominated by one caller cannot be read as a scenario effect."/>
      </w:tblPr>
      <w:tblGrid>
        <w:gridCol w:w="978"/>
        <w:gridCol w:w="1156"/>
        <w:gridCol w:w="1957"/>
        <w:gridCol w:w="1868"/>
        <w:gridCol w:w="19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Caller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Calls 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Reached a live office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Offer-eligible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Caller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Caller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Caller 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Caller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Caller 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Caller 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Unrecorded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2eab27ce915db816122df1907402cb30ba52684"/>
    <w:p>
      <w:pPr>
        <w:pStyle w:val="Heading2"/>
      </w:pPr>
      <w:r>
        <w:t xml:space="preserve">Appendix Table S2. Documentation completeness by caller scenario</w:t>
      </w:r>
    </w:p>
    <w:p>
      <w:pPr>
        <w:pStyle w:val="FirstParagraph"/>
      </w:pPr>
      <w:r>
        <w:t xml:space="preserve">Documentation completeness differed by arm in the same direction as the</w:t>
      </w:r>
      <w:r>
        <w:t xml:space="preserve"> </w:t>
      </w:r>
      <w:r>
        <w:t xml:space="preserve">exploratory outcome. Because the derived availability outcome is read off the</w:t>
      </w:r>
      <w:r>
        <w:t xml:space="preserve"> </w:t>
      </w:r>
      <w:r>
        <w:t xml:space="preserve">appointment date, a call recorded less completely is scored as less available</w:t>
      </w:r>
      <w:r>
        <w:t xml:space="preserve"> </w:t>
      </w:r>
      <w:r>
        <w:t xml:space="preserve">regardless of what the practice said. Differential documentation and</w:t>
      </w:r>
      <w:r>
        <w:t xml:space="preserve"> </w:t>
      </w:r>
      <w:r>
        <w:t xml:space="preserve">differential availability cannot be separated in these data.</w:t>
      </w:r>
    </w:p>
    <w:p>
      <w:pPr>
        <w:pStyle w:val="TableCaption"/>
      </w:pPr>
      <w:r>
        <w:t xml:space="preserve">Table S2. Documentation completeness by caller scenario.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S2. Documentation completeness by caller scenario."/>
      </w:tblPr>
      <w:tblGrid>
        <w:gridCol w:w="1667"/>
        <w:gridCol w:w="1354"/>
        <w:gridCol w:w="1354"/>
        <w:gridCol w:w="1458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Calls 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call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Reached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appointment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Straight couple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(7.8%)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(28.2%)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Lesbian couple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(22.9%)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(62.2%)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mother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(16.2%)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(53.1%)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a3b3e9d025745d512d7c85d6eee61931c129f9e"/>
    <w:p>
      <w:pPr>
        <w:pStyle w:val="Heading2"/>
      </w:pPr>
      <w:r>
        <w:t xml:space="preserve">Appendix Table S3. Reproductive services offered, numeric detail</w:t>
      </w:r>
    </w:p>
    <w:p>
      <w:pPr>
        <w:pStyle w:val="FirstParagraph"/>
      </w:pPr>
      <w:r>
        <w:t xml:space="preserve">Numeric detail underlying Figure 1, among the 98 calls that reached staff</w:t>
      </w:r>
      <w:r>
        <w:t xml:space="preserve"> </w:t>
      </w:r>
      <w:r>
        <w:t xml:space="preserve">and completed the service interview. Intrauterine insemination and in vitro</w:t>
      </w:r>
      <w:r>
        <w:t xml:space="preserve"> </w:t>
      </w:r>
      <w:r>
        <w:t xml:space="preserve">fertilization each rest on a single practice; those two intervals should be read</w:t>
      </w:r>
      <w:r>
        <w:t xml:space="preserve"> </w:t>
      </w:r>
      <w:r>
        <w:t xml:space="preserve">as an upper bound on availability rather than as stable rates.</w:t>
      </w:r>
    </w:p>
    <w:p>
      <w:pPr>
        <w:pStyle w:val="TableCaption"/>
      </w:pPr>
      <w:r>
        <w:t xml:space="preserve">Table S3. Reproductive services offered (N = 98 calls reaching staff).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S3. Reproductive services offered (N = 98 calls reaching staff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Reproductive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 Offered (95% 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94.9% (95% CI 88.6-97.8%; 93/98)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Hormonal labs / fertility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63.3% (95% CI 53.4-72.1%; 62/98)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Ovulation induction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11.2% (95% CI 6.4-19.0%; 11/98)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Intrauterine insemination (IUI)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 (95% CI 0.2-5.6%; 1/98)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vitro fertilization (IVF)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 (95% CI 0.2-5.6%; 1/98)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 with donor sperm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3.1% (95% CI 1.0-8.6%; 3/98)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d6a402f862e50fee337d9ff097cbba8a30a34b3"/>
    <w:p>
      <w:pPr>
        <w:pStyle w:val="Heading2"/>
      </w:pPr>
      <w:r>
        <w:t xml:space="preserve">Appendix Table S4. STROBE checklist for cross-sectional studies</w:t>
      </w:r>
    </w:p>
    <w:p>
      <w:pPr>
        <w:pStyle w:val="TableCaption"/>
      </w:pPr>
      <w:r>
        <w:t xml:space="preserve">Table S4. Completed STROBE checklist.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S4. Completed STROBE checklist."/>
      </w:tblPr>
      <w:tblGrid>
        <w:gridCol w:w="116"/>
        <w:gridCol w:w="442"/>
        <w:gridCol w:w="1630"/>
        <w:gridCol w:w="57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and 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 the design in the title or 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and abstract identify this as a national secret-shopper (audit) study.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and 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 summary of what was done and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abstract reports the service menu as primary and states that the access comparison was uninformative.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 background and 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RRM service scope determines which patients can be served; national data were previously absent.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specific objectives and any prespecified hypotheses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Primary: define the service menu. Secondary and exploratory: access by caller scenario. No power analysis was prespecified in the protocol; achieved precision is reported instead.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key elements of study design 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Cross-sectional audit; each practice eligible for one call per scenario.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Setting, locations, and relevant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States, 2025-2026; RRM practices compiled from professional directories.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 criteria and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roster of RRM practices; call dispositions mapped to standard access-audit exclusion codes.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all outcomes, exposures, predictors, confounders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outcome: reported service menu. Secondary: appointment availability inferred from call documentation, strict and broad definitions. Reached and offer-eligible are distinct denominators.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 of data and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Trained callers using standardized scripts; responses entered in REDCap (pid 39546).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any efforts to address potential sources of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Within-practice matched design for the secondary outcome; caller-overlap analysis reports which contrasts can be separated from caller effects; duplicate practice-scenario cells handled by a prespecified rule with first-vs-last sensitivity.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how the study size was arrived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 priori sample-size calculation was performed. The achievable sample was the national roster of RRM practices. Minimum detectable effects are reported for every paired contrast.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how quantitative variables were handled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Proportions with 95% Wilson or Clopper-Pearson intervals; wait time in business days, log-transformed and reported as geometric mean ratios.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methods, subgroups, missing data,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McNemar for matched contrasts; mixed-effects logistic regression with practice random intercept; two-part hurdle model for wait; Mantel-Haenszel stratification where caller overlap permits. Missingness by arm reported in Appendix Table S2.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numbers at each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 calls placed, 108 reached a live office, 98 completed the service interview; Figures 2 and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Characteristics of study 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Practice-level characteristics and per-scenario cascade in Table 1 and Figure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numbers of outcome events or summary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prevalences in Figure 1 and Appendix Table S3.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unadjusted and, if applicable, adjusted estimates with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estimates reported with 95% confidence intervals. P-values are not reported for the exploratory access contrasts, with the reason stated in the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other analyses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vs broad availability, first-vs-last duplicate-call sensitivity, caller-stratified Mantel-Haenszel estimate.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Summarise key results with reference to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finding is the structural absence of donor-gamete and ART services.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 limitations, including bias and imprecision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availability outcome; caller-scenario confounding with no within-caller information for two of three contrasts; documentation completeness differing by arm; low reachability; single call per scenario.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Cautious overall 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service finding is stated as structural; the access comparison is stated as uninformative rather than null.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describe the reachable subset of RRM practices nationally.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the source of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external funding; COMIRB 25-2596.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bb651217ff3e325525d270b2620f01852ae4475"/>
    <w:p>
      <w:pPr>
        <w:pStyle w:val="Heading2"/>
      </w:pPr>
      <w:r>
        <w:t xml:space="preserve">Appendix Table S5. Duplicate practice-scenario calls and their adjudication</w:t>
      </w:r>
    </w:p>
    <w:p>
      <w:pPr>
        <w:pStyle w:val="FirstParagraph"/>
      </w:pPr>
      <w:r>
        <w:t xml:space="preserve">The protocol specifies one call per practice per scenario. Eight cells contained</w:t>
      </w:r>
      <w:r>
        <w:t xml:space="preserve"> </w:t>
      </w:r>
      <w:r>
        <w:t xml:space="preserve">two. Where a contact attempt (voicemail, wrong number, abandoned or over-long</w:t>
      </w:r>
      <w:r>
        <w:t xml:space="preserve"> </w:t>
      </w:r>
      <w:r>
        <w:t xml:space="preserve">hold) preceded a completed call, the completed call determined the cell. Where</w:t>
      </w:r>
      <w:r>
        <w:t xml:space="preserve"> </w:t>
      </w:r>
      <w:r>
        <w:t xml:space="preserve">two protocol-valid completed calls existed, the cell was treated as a protocol</w:t>
      </w:r>
      <w:r>
        <w:t xml:space="preserve"> </w:t>
      </w:r>
      <w:r>
        <w:t xml:space="preserve">deviation and excluded from the primary paired analysis rather than resolved by</w:t>
      </w:r>
      <w:r>
        <w:t xml:space="preserve"> </w:t>
      </w:r>
      <w:r>
        <w:t xml:space="preserve">preferring the earlier or later call. Practice identifiers are redacted.</w:t>
      </w:r>
    </w:p>
    <w:p>
      <w:pPr>
        <w:pStyle w:val="TableCaption"/>
      </w:pPr>
      <w:r>
        <w:t xml:space="preserve">Table S5a. All calls in a practice-scenario cell containing more than one call. Practices are identified by study ID only.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S5a. All calls in a practice-scenario cell containing more than one call. Practices are identified by study ID only."/>
      </w:tblPr>
      <w:tblGrid>
        <w:gridCol w:w="595"/>
        <w:gridCol w:w="714"/>
        <w:gridCol w:w="952"/>
        <w:gridCol w:w="655"/>
        <w:gridCol w:w="3870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Record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Practice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 inclusion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Lesbian couple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Went to voicemail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Lesbian couple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Went to voicemail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couple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contacted did not correspond to expected office/specialty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couple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contacted did not correspond to expected office/specialty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Lesbian couple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than 5 minutes on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Lesbian couple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Went to voicemail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Went to voicemail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where physician was able to be contacted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Lesbian couple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where physician was able to be contacted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Lesbian couple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where physician was able to be contacted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couple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where physician was able to be contacted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couple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where physician was able to be contacted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couple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Went to voicemail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couple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where physician was able to be contacted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couple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than 5 minutes on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couple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Went to voicemail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/>
    <w:p>
      <w:pPr>
        <w:pStyle w:val="TableCaption"/>
      </w:pPr>
      <w:r>
        <w:t xml:space="preserve">Table S5b. Cells with two protocol-valid completed calls. Practices are identified by study ID only.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S5b. Cells with two protocol-valid completed calls. Practices are identified by study ID only."/>
      </w:tblPr>
      <w:tblGrid>
        <w:gridCol w:w="864"/>
        <w:gridCol w:w="1152"/>
        <w:gridCol w:w="1152"/>
        <w:gridCol w:w="4752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Practice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Completed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Lesbian couple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the primary paired analysis as a protocol deviation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couple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the primary paired analysis as a protocol deviation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f98913a985e3d5ca3fb907f92e3da38046a81f0"/>
    <w:p>
      <w:pPr>
        <w:pStyle w:val="Heading2"/>
      </w:pPr>
      <w:r>
        <w:t xml:space="preserve">Appendix Table S7. Caller variance components</w:t>
      </w:r>
    </w:p>
    <w:p>
      <w:pPr>
        <w:pStyle w:val="FirstParagraph"/>
      </w:pPr>
      <w:r>
        <w:t xml:space="preserve">The proportion of outcome variance lying between callers rather than within</w:t>
      </w:r>
      <w:r>
        <w:t xml:space="preserve"> </w:t>
      </w:r>
      <w:r>
        <w:t xml:space="preserve">them, from a one-way variance-components model. A scenario arm dominated by a</w:t>
      </w:r>
      <w:r>
        <w:t xml:space="preserve"> </w:t>
      </w:r>
      <w:r>
        <w:t xml:space="preserve">single caller cannot be read as a scenario effect when this much of the</w:t>
      </w:r>
      <w:r>
        <w:t xml:space="preserve"> </w:t>
      </w:r>
      <w:r>
        <w:t xml:space="preserve">variation tracks who placed the call. Method follows the sibling urogynecology</w:t>
      </w:r>
      <w:r>
        <w:t xml:space="preserve"> </w:t>
      </w:r>
      <w:r>
        <w:t xml:space="preserve">mystery-caller study (mufflyt/lizeth,</w:t>
      </w:r>
      <w:r>
        <w:t xml:space="preserve"> </w:t>
      </w:r>
      <w:r>
        <w:rPr>
          <w:rStyle w:val="VerbatimChar"/>
        </w:rPr>
        <w:t xml:space="preserve">caller_icc.R</w:t>
      </w:r>
      <w:r>
        <w:t xml:space="preserve">), which reached the same</w:t>
      </w:r>
      <w:r>
        <w:t xml:space="preserve"> </w:t>
      </w:r>
      <w:r>
        <w:t xml:space="preserve">fallback: a paired inter-caller ICC is not estimable with so few practices</w:t>
      </w:r>
      <w:r>
        <w:t xml:space="preserve"> </w:t>
      </w:r>
      <w:r>
        <w:t xml:space="preserve">called by two callers, so a variance-components ICC is used instead.</w:t>
      </w:r>
    </w:p>
    <w:p>
      <w:pPr>
        <w:pStyle w:val="TableCaption"/>
      </w:pPr>
      <w:r>
        <w:t xml:space="preserve">Table S7. Proportion of outcome variance attributable to the caller.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S7. Proportion of outcome variance attributable to the caller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Callers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Business-day 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Inferred appointment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Reached a live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a20611f0575bb822b154f5684eb09cea86755d3"/>
    <w:p>
      <w:pPr>
        <w:pStyle w:val="Heading2"/>
      </w:pPr>
      <w:r>
        <w:t xml:space="preserve">Appendix Table S8. What the paired intervals exclude</w:t>
      </w:r>
    </w:p>
    <w:p>
      <w:pPr>
        <w:pStyle w:val="FirstParagraph"/>
      </w:pPr>
      <w:r>
        <w:t xml:space="preserve">A minimum detectable effect states what the design could have found. This</w:t>
      </w:r>
      <w:r>
        <w:t xml:space="preserve"> </w:t>
      </w:r>
      <w:r>
        <w:t xml:space="preserve">states what the data actually rule out, on the percentage-point scale. The</w:t>
      </w:r>
      <w:r>
        <w:t xml:space="preserve"> </w:t>
      </w:r>
      <w:r>
        <w:t xml:space="preserve">upper limit of each interval is the largest disadvantage compatible with these</w:t>
      </w:r>
      <w:r>
        <w:t xml:space="preserve"> </w:t>
      </w:r>
      <w:r>
        <w:t xml:space="preserve">data. Presentation follows mufflyt/lizeth,</w:t>
      </w:r>
      <w:r>
        <w:t xml:space="preserve"> </w:t>
      </w:r>
      <w:r>
        <w:rPr>
          <w:rStyle w:val="VerbatimChar"/>
        </w:rPr>
        <w:t xml:space="preserve">null_verification.R</w:t>
      </w:r>
      <w:r>
        <w:t xml:space="preserve">:</w:t>
      </w:r>
      <w:r>
        <w:t xml:space="preserve"> </w:t>
      </w:r>
      <w:r>
        <w:t xml:space="preserve">“the upper CI</w:t>
      </w:r>
      <w:r>
        <w:t xml:space="preserve"> </w:t>
      </w:r>
      <w:r>
        <w:t xml:space="preserve">is the LARGEST delay compatible with our data.”</w:t>
      </w:r>
    </w:p>
    <w:p>
      <w:pPr>
        <w:pStyle w:val="TableCaption"/>
      </w:pPr>
      <w:r>
        <w:t xml:space="preserve">Table S8. Paired differences in inferred appointment availability, with the range of effects the data are compatible with.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S8. Paired differences in inferred appointment availability, with the range of effects the data are compatible with."/>
      </w:tblPr>
      <w:tblGrid>
        <w:gridCol w:w="2895"/>
        <w:gridCol w:w="1447"/>
        <w:gridCol w:w="936"/>
        <w:gridCol w:w="1362"/>
        <w:gridCol w:w="12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Paired practices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Discordant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 (pp)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(pp)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Straight couple vs Single mother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-6.9 to +43.4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Lesbian couple vs Single mother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-9.1 to +6.2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Straight couple vs Lesbian couple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+11.0 to +42.1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ae4d91fde33c2714367dbe8d2377a824f90470f"/>
    <w:p>
      <w:pPr>
        <w:pStyle w:val="Heading2"/>
      </w:pPr>
      <w:r>
        <w:t xml:space="preserve">Appendix Table S6. Restriction checkbox, why it is excluded</w:t>
      </w:r>
    </w:p>
    <w:p>
      <w:pPr>
        <w:pStyle w:val="FirstParagraph"/>
      </w:pPr>
      <w:r>
        <w:t xml:space="preserve">The instrument’s three</w:t>
      </w:r>
      <w:r>
        <w:t xml:space="preserve"> </w:t>
      </w:r>
      <w:r>
        <w:t xml:space="preserve">“restrictions to the individuals you would provide care</w:t>
      </w:r>
      <w:r>
        <w:t xml:space="preserve"> </w:t>
      </w:r>
      <w:r>
        <w:t xml:space="preserve">to”</w:t>
      </w:r>
      <w:r>
        <w:t xml:space="preserve"> </w:t>
      </w:r>
      <w:r>
        <w:t xml:space="preserve">checkboxes are excluded from every analysis. The codebook defines a ticked</w:t>
      </w:r>
      <w:r>
        <w:t xml:space="preserve"> </w:t>
      </w:r>
      <w:r>
        <w:t xml:space="preserve">box as a restriction applying to that group, with no field note or branching</w:t>
      </w:r>
      <w:r>
        <w:t xml:space="preserve"> </w:t>
      </w:r>
      <w:r>
        <w:t xml:space="preserve">logic, but the recorded responses follow two incompatible conventions keyed to</w:t>
      </w:r>
      <w:r>
        <w:t xml:space="preserve"> </w:t>
      </w:r>
      <w:r>
        <w:t xml:space="preserve">the person completing the form. One caller ticked all three boxes on most of</w:t>
      </w:r>
      <w:r>
        <w:t xml:space="preserve"> </w:t>
      </w:r>
      <w:r>
        <w:t xml:space="preserve">her entries, which under the codebook definition would mean those practices</w:t>
      </w:r>
      <w:r>
        <w:t xml:space="preserve"> </w:t>
      </w:r>
      <w:r>
        <w:t xml:space="preserve">serve no one. Every other caller ticked only the box matching the scenario they</w:t>
      </w:r>
      <w:r>
        <w:t xml:space="preserve"> </w:t>
      </w:r>
      <w:r>
        <w:t xml:space="preserve">called as, which echoes the assignment rather than describing the practice.</w:t>
      </w:r>
      <w:r>
        <w:t xml:space="preserve"> </w:t>
      </w:r>
      <w:r>
        <w:t xml:space="preserve">Because the convention belongs to the caller rather than the response, and a</w:t>
      </w:r>
      <w:r>
        <w:t xml:space="preserve"> </w:t>
      </w:r>
      <w:r>
        <w:t xml:space="preserve">quarter of calls record no caller, no recoding rule can separate them.</w:t>
      </w:r>
    </w:p>
    <w:p>
      <w:pPr>
        <w:pStyle w:val="TableCaption"/>
      </w:pPr>
      <w:r>
        <w:t xml:space="preserve">Table S6. Combination of restriction boxes ticked, by person completing the form.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S6. Combination of restriction boxes ticked, by person completing the form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Boxes ticked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Caller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Lesbian + Straight + SingleMother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Caller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Caller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Caller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Lesbian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Caller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Caller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Lesbian + Straight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Caller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Lesbian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Lesbian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X4d1cc4b0283df5bda41de220dca34c2a1db9073"/>
    <w:p>
      <w:pPr>
        <w:pStyle w:val="Heading2"/>
      </w:pPr>
      <w:r>
        <w:t xml:space="preserve">Appendix Figure S1. Wait time to first available appointment</w:t>
      </w:r>
    </w:p>
    <w:p>
      <w:pPr>
        <w:pStyle w:val="FirstParagraph"/>
      </w:pPr>
      <w:r>
        <w:t xml:space="preserve">Restricted to the 57 calls with an observed appointment date. Panels are</w:t>
      </w:r>
      <w:r>
        <w:t xml:space="preserve"> </w:t>
      </w:r>
      <w:r>
        <w:t xml:space="preserve">a raincloud plot, a ridgeline density, the empirical cumulative distribution, and</w:t>
      </w:r>
      <w:r>
        <w:t xml:space="preserve"> </w:t>
      </w:r>
      <w:r>
        <w:t xml:space="preserve">within-practice paired differences. These estimates condition on having been</w:t>
      </w:r>
      <w:r>
        <w:t xml:space="preserve"> </w:t>
      </w:r>
      <w:r>
        <w:t xml:space="preserve">offered an appointment and are descriptive; see Limitation 5 in the main text.</w:t>
      </w:r>
    </w:p>
    <w:p>
      <w:pPr>
        <w:pStyle w:val="CaptionedFigure"/>
      </w:pPr>
      <w:r>
        <w:drawing>
          <wp:inline>
            <wp:extent cx="5334000" cy="4191000"/>
            <wp:effectExtent b="0" l="0" r="0" t="0"/>
            <wp:docPr descr="Figure S1. Wait time to first available appointment by caller scenario." title="" id="29" name="Picture"/>
            <a:graphic>
              <a:graphicData uri="http://schemas.openxmlformats.org/drawingml/2006/picture">
                <pic:pic>
                  <pic:nvPicPr>
                    <pic:cNvPr descr="supplemental_digital_content_files/mysterycall_outputs/figures/fig_panel_wait_tim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S1. Wait time to first available appointment by caller scenario.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Generated 2026-09-05 15:20 MDT from commit</w:t>
      </w:r>
      <w:r>
        <w:t xml:space="preserve"> </w:t>
      </w:r>
      <w:r>
        <w:rPr>
          <w:rStyle w:val="VerbatimChar"/>
        </w:rPr>
        <w:t xml:space="preserve">2efb601</w:t>
      </w:r>
      <w:r>
        <w:t xml:space="preserve">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Supplemental Digital Content</dc:title>
  <dc:creator/>
  <cp:keywords/>
  <dcterms:created xsi:type="dcterms:W3CDTF">2026-09-05T21:20:54Z</dcterms:created>
  <dcterms:modified xsi:type="dcterms:W3CDTF">2026-09-05T21:20:54Z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05, 2026</vt:lpwstr>
  </property>
  <property fmtid="{D5CDD505-2E9C-101B-9397-08002B2CF9AE}" pid="3" name="output">
    <vt:lpwstr/>
  </property>
  <property fmtid="{D5CDD505-2E9C-101B-9397-08002B2CF9AE}" pid="4" name="subtitle">
    <vt:lpwstr>Reproductive Services Offered by Restorative Reproductive Medicine Practices: A National Secret-Shopper Audit</vt:lpwstr>
  </property>
</Properties>
</file>