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The instrument contained no explicit</w:t>
      </w:r>
      <w:r>
        <w:t xml:space="preserve"> </w:t>
      </w:r>
      <w:r>
        <w:t xml:space="preserve">“was an appointment offered”</w:t>
      </w:r>
      <w:r>
        <w:t xml:space="preserve"> </w:t>
      </w:r>
      <w:r>
        <w:t xml:space="preserve">item, so the outcome is appointment availability inferred from call documentation: a call was scored as available when a first-available appointment date was recorded, and unavailable when the practice stated it was not accepting new patients. A sensitivity definition additionally counted a concrete scheduling timeframe.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Inferred appointment availability was 75.7% for straight couples, 42.4% for lesbian couples, and 50.0% for single mothers. In complete-triad mixed-effects logistic regression, relative to straight couples, the odds of inferred appointment availability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7"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availability, strict (primary)</w:t>
      </w:r>
      <w:r>
        <w:t xml:space="preserve">: among offer-eligible calls, a first-available appointment date was recorded. A stated</w:t>
      </w:r>
      <w:r>
        <w:t xml:space="preserve"> </w:t>
      </w:r>
      <w:r>
        <w:t xml:space="preserve">“not accepting new patients”</w:t>
      </w:r>
      <w:r>
        <w:t xml:space="preserve"> </w:t>
      </w:r>
      <w:r>
        <w:t xml:space="preserve">was scored as unavailable. The strict definition is primary because it has greater specificity and requires less investigator interpretation.</w:t>
      </w:r>
    </w:p>
    <w:p>
      <w:pPr>
        <w:pStyle w:val="Compact"/>
        <w:numPr>
          <w:ilvl w:val="0"/>
          <w:numId w:val="1002"/>
        </w:numPr>
      </w:pPr>
      <w:r>
        <w:rPr>
          <w:b/>
          <w:bCs/>
        </w:rPr>
        <w:t xml:space="preserve">Appointment availability, broad (sensitivity)</w:t>
      </w:r>
      <w:r>
        <w:t xml:space="preserve">: as above, but a concrete scheduling timeframe reported by staff without a specific date was also counted. This definition demonstrates how far the findings depend on measurement assumptions.</w:t>
      </w:r>
    </w:p>
    <w:p>
      <w:pPr>
        <w:pStyle w:val="FirstParagraph"/>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bookmarkEnd w:id="24"/>
    <w:bookmarkStart w:id="25" w:name="duplicate-practice-scenario-calls"/>
    <w:p>
      <w:pPr>
        <w:pStyle w:val="Heading3"/>
      </w:pPr>
      <w:r>
        <w:t xml:space="preserve">Duplicate practice-scenario calls</w:t>
      </w:r>
    </w:p>
    <w:p>
      <w:pPr>
        <w:pStyle w:val="FirstParagraph"/>
      </w:pPr>
      <w:r>
        <w:t xml:space="preserve">The protocol specifies one call per practice per scenario; eight cells contained two. Voicemail, wrong numbers and abandoned or over-long holds are contact</w:t>
      </w:r>
      <w:r>
        <w:t xml:space="preserve"> </w:t>
      </w:r>
      <w:r>
        <w:rPr>
          <w:i/>
          <w:iCs/>
        </w:rPr>
        <w:t xml:space="preserve">attempts</w:t>
      </w:r>
      <w:r>
        <w:t xml:space="preserve"> </w:t>
      </w:r>
      <w:r>
        <w:t xml:space="preserve">rather than completed calls, so where an attempt preceded a completed call the completed call determined the cell (2 cells). Where two protocol-valid completed calls existed, the cell was treated as a protocol deviation and excluded from the primary paired analysis rather than resolved by preferring the earlier or later call (2 cells). Both calls are retained in the call-level dataset, and first-successful versus last-successful selection is reported as a sensitivity analysis. Wait time was the number of business days (Monday–Friday, excluding US federal holidays) between the call and the first available appointment, with same-day appointments retained as a wait of zero.</w:t>
      </w:r>
    </w:p>
    <w:bookmarkEnd w:id="25"/>
    <w:bookmarkStart w:id="26"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6"/>
    <w:bookmarkEnd w:id="27"/>
    <w:bookmarkStart w:id="36" w:name="results"/>
    <w:p>
      <w:pPr>
        <w:pStyle w:val="Heading2"/>
      </w:pPr>
      <w:r>
        <w:t xml:space="preserve">RESULTS</w:t>
      </w:r>
    </w:p>
    <w:bookmarkStart w:id="31"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9" name="Picture"/>
            <a:graphic>
              <a:graphicData uri="http://schemas.openxmlformats.org/drawingml/2006/picture">
                <pic:pic>
                  <pic:nvPicPr>
                    <pic:cNvPr descr="labubu_mysterycall_manuscript_files/mysterycall_outputs/figures/fig0_strobe_flow.png" id="30" name="Picture"/>
                    <pic:cNvPicPr>
                      <a:picLocks noChangeArrowheads="1" noChangeAspect="1"/>
                    </pic:cNvPicPr>
                  </pic:nvPicPr>
                  <pic:blipFill>
                    <a:blip r:embed="rId28"/>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1"/>
    <w:bookmarkStart w:id="32"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2"/>
    <w:bookmarkStart w:id="33"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(p = 0.001) and OR 0.09 (0.01-0.65) for single mothers (p = 0.016). The confidence intervals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3. Within-practice matched paired analysis of inferred appointment availability. Only discordant practices contribute information.</w:t>
      </w:r>
    </w:p>
    <w:tbl>
      <w:tblPr>
        <w:tblStyle w:val="Table"/>
        <w:tblW w:type="pct" w:w="5000"/>
        <w:tblLayout w:type="fixed"/>
        <w:tblLook w:firstRow="1" w:lastRow="0" w:firstColumn="0" w:lastColumn="0" w:noHBand="0" w:noVBand="0" w:val="0020"/>
        <w:tblCaption w:val="Table 3. Within-practice matched paired analysis of inferred appointment availabilit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3"/>
    <w:bookmarkStart w:id="34"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4"/>
    <w:bookmarkStart w:id="35"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5"/>
    <w:bookmarkEnd w:id="36"/>
    <w:bookmarkStart w:id="43" w:name="discussion"/>
    <w:p>
      <w:pPr>
        <w:pStyle w:val="Heading2"/>
      </w:pPr>
      <w:r>
        <w:t xml:space="preserve">DISCUSSION</w:t>
      </w:r>
    </w:p>
    <w:bookmarkStart w:id="37"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inferred appointment availability differed across caller scenarios in the observed direction of disadvantage for lesbian couples and single mothers. We do not present this as an established effect, for the reasons below.</w:t>
      </w:r>
    </w:p>
    <w:bookmarkEnd w:id="37"/>
    <w:bookmarkStart w:id="38"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and we make no attempt to correct this statistically. Callers were not randomized across scenarios; each arm was dominated by a small number of callers (Table 4; Cramér’s V = 0.66), one of whom placed 53 of 77 straight-couple calls and no single-mother calls, and per-caller availability rates ranged widely. Because the paired within-practice design compares scenarios dialed by different people, matching removes practice-level confounding but not caller-level confounding. A caller-adjusted regression would appear to address this while extrapolating into caller-scenario combinations that barely or never occurred; we therefore report the caller-adjusted model</w:t>
      </w:r>
      <w:r>
        <w:t xml:space="preserve"> </w:t>
      </w:r>
      <w:r>
        <w:rPr>
          <w:b/>
          <w:bCs/>
        </w:rPr>
        <w:t xml:space="preserve">only as evidence that the two effects are not separately identifiable</w:t>
      </w:r>
      <w:r>
        <w:t xml:space="preserve">, not as a corrected estimate. Caller-scenario confounding is a limitation of the design, and scenario effects in this wave should not be interpreted as cleanly attributable to caller identity rather than to the caller who conveyed it.</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8"/>
    <w:bookmarkStart w:id="39"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9"/>
    <w:bookmarkStart w:id="40"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40"/>
    <w:bookmarkStart w:id="41"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are the only directly measured discrimination item in the instrument, and they are deliberately</w:t>
      </w:r>
      <w:r>
        <w:t xml:space="preserve"> </w:t>
      </w:r>
      <w:r>
        <w:rPr>
          <w:b/>
          <w:bCs/>
        </w:rPr>
        <w:t xml:space="preserve">excluded from all analyses reported here</w:t>
      </w:r>
      <w:r>
        <w:t xml:space="preserve">: their semantics are unresolved, since the straight-couple box is ticked on straight-couple calls and a checked box may denote either restricted or provided care. Resolving them requires the original REDCap field labels, choices, branching logic and coded values, not inference from the observed pattern. Should the codebook confirm that they record restriction, they would be a stronger primary measure of discrimination than any outcome inferred from call documentation, and adopting them would warrant an explicit protocol amendment rather than a substitution.</w:t>
      </w:r>
    </w:p>
    <w:bookmarkEnd w:id="41"/>
    <w:bookmarkStart w:id="42"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2"/>
    <w:bookmarkEnd w:id="43"/>
    <w:bookmarkStart w:id="44"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2026-09-05T04:35:59Z</dcterms:created>
  <dcterms:modified xsi:type="dcterms:W3CDTF">2026-09-05T04:35:59Z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