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Reproductive Services Offered by Restorative Reproductive Medicine Practices: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105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care — the services required by single women and same-sex couples to conceive.</w:t>
      </w:r>
    </w:p>
    <w:bookmarkStart w:id="20" w:name="abstract"/>
    <w:p>
      <w:pPr>
        <w:pStyle w:val="Heading2"/>
      </w:pPr>
      <w:r>
        <w:t xml:space="preserve">ABSTRACT</w:t>
      </w:r>
    </w:p>
    <w:p>
      <w:pPr>
        <w:pStyle w:val="FirstParagraph"/>
      </w:pPr>
      <w:r>
        <w:t xml:space="preserve">OBJECTIVE: To characterize the reproductive services offered by Restorative Reproductive Medicine (RRM) practices in the United States, and secondarily to explore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The primary outcome was the service menu each practice reported: cycle tracking, hormonal laboratory monitoring, ovulation induction, intrauterine insemination (IUI), in vitro fertilization (IVF), and willingness to work with donor sperm. Proportions carry 95% Wilson score confidence intervals. A secondary, exploratory analysis compared appointment access across caller scenarios using within-practice matched contrasts; because the instrument contained no item asking whether staff agreed to schedule, that outcome is appointment availability inferred from call documentation.</w:t>
      </w:r>
    </w:p>
    <w:p>
      <w:pPr>
        <w:pStyle w:val="BodyText"/>
      </w:pPr>
      <w:r>
        <w:t xml:space="preserve">RESULTS: 234 calls were placed to 105 practices; a live office was reached on 46.2% (95% CI 39.9-52.6%; 108/234) of calls, and 98 calls completed the service interview. Cycle tracking was offered by 94.9% (95% CI 88.6-97.8%; 93/98) of practices and hormonal laboratory monitoring by 63.3% (95% CI 53.4-72.1%; 62/98). In contrast, ovulation induction was offered by 11.2% (95% CI 6.4-19.0%; 11/98), IUI by 1.0% (95% CI 0.2-5.6%; 1/98), IVF by 1.0% (95% CI 0.2-5.6%; 1/98), and donor sperm care by 3.1% (95% CI 1.0-8.6%; 3/98). The exploratory access comparison was uninformative: only 7, 2, 8 practices were discordant across the three contrasts, giving minimum detectable effects of OR 8.1 to OR 9.0, and 2 of three contrasts had no caller who placed calls under both scenarios, so scenario and caller effects are not separable for those.</w:t>
      </w:r>
    </w:p>
    <w:p>
      <w:pPr>
        <w:pStyle w:val="BodyText"/>
      </w:pPr>
      <w:r>
        <w:t xml:space="preserve">CONCLUSION: RRM practices in this national sample almost never offer IUI, IVF, or donor sperm care. Because single women and same-sex female couples require donor gametes to conceive, this represents a structural absence of the necessary services rather than a discretionary scheduling decision, and it operates independently of staff attitudes. The audit was not adequately powered to evaluate differential scheduling by caller identity.</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one primary objective and one secondary, exploratory objective. The primary objective was to define the scope of reproductive services RRM practices actually offer, because that scope determines which patients can be served at all. For a single woman or a same-sex female couple, conception requires donor sperm and usually IUI or IVF; if a practice does not provide those services, the question of how its staff treat such a caller does not arise. The secondary objective was to explore whether willingness to schedule differs by caller family structure. We report the second as exploratory throughout, for reasons of statistical power and design that we set out explicitly in the Limitations.</w:t>
      </w:r>
    </w:p>
    <w:p>
      <w:r>
        <w:pict>
          <v:rect style="width:0;height:1.5pt" o:hralign="center" o:hrstd="t" o:hr="t"/>
        </w:pict>
      </w:r>
    </w:p>
    <w:bookmarkEnd w:id="21"/>
    <w:bookmarkStart w:id="28" w:name="sources-and-methods"/>
    <w:p>
      <w:pPr>
        <w:pStyle w:val="Heading2"/>
      </w:pPr>
      <w:r>
        <w:t xml:space="preserve">SOURCES AND METHODS</w:t>
      </w:r>
    </w:p>
    <w:bookmarkStart w:id="22"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22"/>
    <w:bookmarkStart w:id="23"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23"/>
    <w:bookmarkStart w:id="24" w:name="main-outcome-measures"/>
    <w:p>
      <w:pPr>
        <w:pStyle w:val="Heading3"/>
      </w:pPr>
      <w:r>
        <w:t xml:space="preserve">Main Outcome Measures</w:t>
      </w:r>
    </w:p>
    <w:p>
      <w:pPr>
        <w:pStyle w:val="FirstParagraph"/>
      </w:pPr>
      <w:r>
        <w:t xml:space="preserve">The</w:t>
      </w:r>
      <w:r>
        <w:t xml:space="preserve"> </w:t>
      </w:r>
      <w:r>
        <w:rPr>
          <w:b/>
          <w:bCs/>
        </w:rPr>
        <w:t xml:space="preserve">primary outcome</w:t>
      </w:r>
      <w:r>
        <w:t xml:space="preserve"> </w:t>
      </w:r>
      <w:r>
        <w:t xml:space="preserve">was the service menu: for each practice reached, whether staff reported offering cycle tracking, hormonal laboratory monitoring, ovulation induction, IUI, IVF, and whether the practice works with donor sperm. These are directly reported by staff in response to a standardized question, require no derivation, and do not depend on which caller placed the call.</w:t>
      </w:r>
    </w:p>
    <w:p>
      <w:pPr>
        <w:pStyle w:val="BodyText"/>
      </w:pPr>
      <w:r>
        <w:rPr>
          <w:b/>
          <w:bCs/>
        </w:rPr>
        <w:t xml:space="preserve">Secondary, exploratory outcomes</w:t>
      </w:r>
      <w:r>
        <w:t xml:space="preserve"> </w:t>
      </w:r>
      <w:r>
        <w:t xml:space="preserve">were appointment availability and business-day wait time by caller scenario.</w:t>
      </w:r>
    </w:p>
    <w:bookmarkEnd w:id="24"/>
    <w:bookmarkStart w:id="25"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availability, strict (primary)</w:t>
      </w:r>
      <w:r>
        <w:t xml:space="preserve">: among offer-eligible calls, a first-available appointment date was recorded. A stated</w:t>
      </w:r>
      <w:r>
        <w:t xml:space="preserve"> </w:t>
      </w:r>
      <w:r>
        <w:t xml:space="preserve">“not accepting new patients”</w:t>
      </w:r>
      <w:r>
        <w:t xml:space="preserve"> </w:t>
      </w:r>
      <w:r>
        <w:t xml:space="preserve">was scored as unavailable. The strict definition is primary because it has greater specificity and requires less investigator interpretation.</w:t>
      </w:r>
    </w:p>
    <w:p>
      <w:pPr>
        <w:pStyle w:val="Compact"/>
        <w:numPr>
          <w:ilvl w:val="0"/>
          <w:numId w:val="1002"/>
        </w:numPr>
      </w:pPr>
      <w:r>
        <w:rPr>
          <w:b/>
          <w:bCs/>
        </w:rPr>
        <w:t xml:space="preserve">Appointment availability, broad (sensitivity)</w:t>
      </w:r>
      <w:r>
        <w:t xml:space="preserve">: as above, but a concrete scheduling timeframe reported by staff without a specific date was also counted. This definition demonstrates how far the findings depend on measurement assumptions.</w:t>
      </w:r>
    </w:p>
    <w:p>
      <w:pPr>
        <w:pStyle w:val="FirstParagraph"/>
      </w:pPr>
      <w:r>
        <w:t xml:space="preserve">The data-collection instrument contained no item asking whether staff agreed to schedule the caller. Throughout this paper the outcome is therefore described as</w:t>
      </w:r>
      <w:r>
        <w:t xml:space="preserve"> </w:t>
      </w:r>
      <w:r>
        <w:rPr>
          <w:b/>
          <w:bCs/>
        </w:rPr>
        <w:t xml:space="preserve">appointment availability inferred from call documentation</w:t>
      </w:r>
      <w:r>
        <w:t xml:space="preserve">, not as a practice</w:t>
      </w:r>
      <w:r>
        <w:t xml:space="preserve"> </w:t>
      </w:r>
      <w:r>
        <w:t xml:space="preserve">“offering an appointment”</w:t>
      </w:r>
      <w:r>
        <w:t xml:space="preserve">: the latter would assert something the instrument never measured. This is the study’s principal measurement limitation.</w:t>
      </w:r>
    </w:p>
    <w:bookmarkEnd w:id="25"/>
    <w:bookmarkStart w:id="26" w:name="duplicate-practice-scenario-calls"/>
    <w:p>
      <w:pPr>
        <w:pStyle w:val="Heading3"/>
      </w:pPr>
      <w:r>
        <w:t xml:space="preserve">Duplicate practice-scenario calls</w:t>
      </w:r>
    </w:p>
    <w:p>
      <w:pPr>
        <w:pStyle w:val="FirstParagraph"/>
      </w:pPr>
      <w:r>
        <w:t xml:space="preserve">The protocol specifies one call per practice per scenario; eight cells contained two. Voicemail, wrong numbers and abandoned or over-long holds are contact</w:t>
      </w:r>
      <w:r>
        <w:t xml:space="preserve"> </w:t>
      </w:r>
      <w:r>
        <w:rPr>
          <w:i/>
          <w:iCs/>
        </w:rPr>
        <w:t xml:space="preserve">attempts</w:t>
      </w:r>
      <w:r>
        <w:t xml:space="preserve"> </w:t>
      </w:r>
      <w:r>
        <w:t xml:space="preserve">rather than completed calls, so where an attempt preceded a completed call the completed call determined the cell (2 cells). Where two protocol-valid completed calls existed, the cell was treated as a protocol deviation and excluded from the primary paired analysis rather than resolved by preferring the earlier or later call (2 cells). Both calls are retained in the call-level dataset, and first-successful versus last-successful selection is reported as a sensitivity analysis. Wait time was the number of business days (Monday–Friday, excluding US federal holidays) between the call and the first available appointment, with same-day appointments retained as a wait of zero.</w:t>
      </w:r>
    </w:p>
    <w:bookmarkEnd w:id="26"/>
    <w:bookmarkStart w:id="27"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27"/>
    <w:bookmarkEnd w:id="28"/>
    <w:bookmarkStart w:id="38" w:name="results"/>
    <w:p>
      <w:pPr>
        <w:pStyle w:val="Heading2"/>
      </w:pPr>
      <w:r>
        <w:t xml:space="preserve">RESULTS</w:t>
      </w:r>
    </w:p>
    <w:bookmarkStart w:id="29" w:name="X7c6f754733434d60a95bc7e273f19daed862ccc"/>
    <w:p>
      <w:pPr>
        <w:pStyle w:val="Heading3"/>
      </w:pPr>
      <w:r>
        <w:t xml:space="preserve">Reproductive Services Offered — primary outcome</w:t>
      </w:r>
    </w:p>
    <w:p>
      <w:pPr>
        <w:pStyle w:val="FirstParagraph"/>
      </w:pPr>
      <w:r>
        <w:t xml:space="preserve">Among the 98 calls that reached staff and completed the service interview, RRM practices almost uniformly offered natural cycle tracking and hormonal monitoring, and almost never offered assisted reproductive technology or donor gametes (Table 1).</w:t>
      </w:r>
    </w:p>
    <w:p>
      <w:pPr>
        <w:pStyle w:val="TableCaption"/>
      </w:pPr>
      <w:r>
        <w:t xml:space="preserve">Table 1. Reproductive services offered by RRM practices (N = 98 calls reaching staff).</w:t>
      </w:r>
    </w:p>
    <w:tbl>
      <w:tblPr>
        <w:tblStyle w:val="Table"/>
        <w:tblW w:type="auto" w:w="0"/>
        <w:tblLook w:firstRow="1" w:lastRow="0" w:firstColumn="0" w:lastColumn="0" w:noHBand="0" w:noVBand="0" w:val="0020"/>
        <w:tblCaption w:val="Table 1. Reproductiv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by 94.9% (95% CI 88.6-97.8%; 93/98) and hormonal laboratory monitoring by 63.3% (95% CI 53.4-72.1%; 62/98). Ovulation induction was offered by 11.2% (95% CI 6.4-19.0%; 11/98). IUI and IVF were each offered by 1.0% (95% CI 0.2-5.6%; 1/98) — a single practice in each case — and donor sperm care by 3.1% (95% CI 1.0-8.6%; 3/98). The IUI and IVF estimates rest on one practice apiece and should be read as an upper bound on availability rather than as stable rates; the confidence intervals reflect that.</w:t>
      </w:r>
    </w:p>
    <w:p>
      <w:pPr>
        <w:pStyle w:val="BodyText"/>
      </w:pPr>
      <w:r>
        <w:t xml:space="preserve">The services a single woman or same-sex female couple requires to conceive are therefore effectively absent from this sample, while the services RRM practices do provide are those appropriate to a couple attempting unassisted conception.</w:t>
      </w:r>
    </w:p>
    <w:bookmarkEnd w:id="29"/>
    <w:bookmarkStart w:id="33"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31" name="Picture"/>
            <a:graphic>
              <a:graphicData uri="http://schemas.openxmlformats.org/drawingml/2006/picture">
                <pic:pic>
                  <pic:nvPicPr>
                    <pic:cNvPr descr="labubu_mysterycall_manuscript_files/mysterycall_outputs/figures/fig0_strobe_flow.png" id="32" name="Picture"/>
                    <pic:cNvPicPr>
                      <a:picLocks noChangeArrowheads="1" noChangeAspect="1"/>
                    </pic:cNvPicPr>
                  </pic:nvPicPr>
                  <pic:blipFill>
                    <a:blip r:embed="rId30"/>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33"/>
    <w:bookmarkStart w:id="34"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34"/>
    <w:bookmarkStart w:id="35" w:name="X5f899fec0f12783ee896a9738620820f67eb94a"/>
    <w:p>
      <w:pPr>
        <w:pStyle w:val="Heading3"/>
      </w:pPr>
      <w:r>
        <w:t xml:space="preserve">Appointment Availability by Caller Identity</w:t>
      </w:r>
    </w:p>
    <w:p>
      <w:pPr>
        <w:pStyle w:val="FirstParagraph"/>
      </w:pPr>
      <w:r>
        <w:t xml:space="preserve">Inferred appointment availability among eligible calls was 75.7% for straight couples, 42.4% for lesbian couples, and 50.0% for single mothers (Table 1).</w:t>
      </w:r>
    </w:p>
    <w:p>
      <w:pPr>
        <w:pStyle w:val="BodyText"/>
      </w:pPr>
      <w:r>
        <w:t xml:space="preserve">In complete-triad mixed-effects logistic regression (N = 48 practices), relative to straight-couple callers, the odds of inferred appointment availability were OR 0.04 (0.01-0.28) for lesbian couples and OR 0.09 (0.01-0.65) for single mothers. We report intervals without p-values throughout this section. A significance test presumes a design capable of detecting the effect it is testing for, and the minimum detectable effects here are OR 8.1 to OR 9.0; a p-value computed under those conditions carries no information the interval does not already carry, and invites a reading the data cannot support. The intervals themselves span orders of magnitude, reflecting near-separation at this sample size: direction is interpretable, magnitude is not.</w:t>
      </w:r>
    </w:p>
    <w:p>
      <w:pPr>
        <w:pStyle w:val="BodyText"/>
      </w:pPr>
      <w:r>
        <w:rPr>
          <w:b/>
          <w:bCs/>
        </w:rPr>
        <w:t xml:space="preserve">The magnitude of these estimates depends materially on the measurement definition, and this is a substantive result rather than a robustness check.</w:t>
      </w:r>
      <w:r>
        <w:t xml:space="preserve"> </w:t>
      </w:r>
      <w:r>
        <w:t xml:space="preserve">Under the broad definition, which additionally credits a stated scheduling timeframe, the same contrasts attenuate to OR 0.31 (0.08-1.25) for lesbian couples and OR 0.29 (0.06-1.27) for single mothers — an order-of-magnitude change in the point estimate, with intervals that include unity. Both definitions place the effect in the same direction; only the strict definition places it far from the null. Because neither definition was measured directly, the direction is the more defensible claim and the magnitude should not be quoted without its definition.</w:t>
      </w:r>
    </w:p>
    <w:p>
      <w:pPr>
        <w:pStyle w:val="TableCaption"/>
      </w:pPr>
      <w:r>
        <w:t xml:space="preserve">Table 3. Within-practice matched paired analysis of inferred appointment availability. Only discordant practices contribute information.</w:t>
      </w:r>
    </w:p>
    <w:tbl>
      <w:tblPr>
        <w:tblStyle w:val="Table"/>
        <w:tblW w:type="pct" w:w="5000"/>
        <w:tblLayout w:type="fixed"/>
        <w:tblLook w:firstRow="1" w:lastRow="0" w:firstColumn="0" w:lastColumn="0" w:noHBand="0" w:noVBand="0" w:val="0020"/>
        <w:tblCaption w:val="Table 3. Within-practice matched paired analysis of inferred appointment availability.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22</w:t>
            </w:r>
          </w:p>
        </w:tc>
        <w:tc>
          <w:tcPr/>
          <w:p>
            <w:pPr>
              <w:pStyle w:val="Compact"/>
              <w:jc w:val="right"/>
            </w:pPr>
            <w:r>
              <w:t xml:space="preserve">20</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19</w:t>
            </w:r>
          </w:p>
        </w:tc>
        <w:tc>
          <w:tcPr/>
          <w:p>
            <w:pPr>
              <w:pStyle w:val="Compact"/>
              <w:jc w:val="right"/>
            </w:pPr>
            <w:r>
              <w:t xml:space="preserve">11</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inferred availability were: Straight vs Single Mother +31.2 percentage points (95% CI +2.7 to +59.8; n = 16 practices); Lesbian vs Single Mother -9.1 percentage points (95% CI -21.1 to +2.9; n = 22 practices); Straight vs Lesbian +42.1 percentage points (95% CI +19.9 to +64.3; n = 19 practices). Practices treated callers identically in 68%-81% of paired reachability comparisons.</w:t>
      </w:r>
    </w:p>
    <w:bookmarkEnd w:id="35"/>
    <w:bookmarkStart w:id="36"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availability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bookmarkEnd w:id="36"/>
    <w:bookmarkStart w:id="37"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0.47-1.46) for lesbian couples and 0.82 (95% CI 0.46-1.45)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37"/>
    <w:bookmarkEnd w:id="38"/>
    <w:bookmarkStart w:id="45" w:name="discussion"/>
    <w:p>
      <w:pPr>
        <w:pStyle w:val="Heading2"/>
      </w:pPr>
      <w:r>
        <w:t xml:space="preserve">DISCUSSION</w:t>
      </w:r>
    </w:p>
    <w:bookmarkStart w:id="39" w:name="principal-findings"/>
    <w:p>
      <w:pPr>
        <w:pStyle w:val="Heading3"/>
      </w:pPr>
      <w:r>
        <w:t xml:space="preserve">Principal Findings</w:t>
      </w:r>
    </w:p>
    <w:p>
      <w:pPr>
        <w:pStyle w:val="FirstParagraph"/>
      </w:pPr>
      <w:r>
        <w:t xml:space="preserve">The principal finding of this audit is structural. RRM practices in this national sample almost uniformly provide natural cycle tracking (94.9% (95% CI 88.6-97.8%; 93/98)) and hormonal monitoring (63.3% (95% CI 53.4-72.1%; 62/98)), and almost never provide the interventions required for conception without a male partner: IUI 1.0% (95% CI 0.2-5.6%; 1/98), IVF 1.0% (95% CI 0.2-5.6%; 1/98), donor sperm care 3.1% (95% CI 1.0-8.6%; 3/98).</w:t>
      </w:r>
    </w:p>
    <w:p>
      <w:pPr>
        <w:pStyle w:val="BodyText"/>
      </w:pPr>
      <w:r>
        <w:t xml:space="preserve">The clinical consequence is direct. A single woman or a same-sex female couple requires donor sperm, and usually IUI or IVF, to conceive. A practice that does not offer those services cannot serve such a patient, whatever its staff intend and however courteously the telephone is answered. This is a barrier of provision rather than of disposition, and it does not depend on inferring anyone’s motives.</w:t>
      </w:r>
    </w:p>
    <w:p>
      <w:pPr>
        <w:pStyle w:val="BodyText"/>
      </w:pPr>
      <w:r>
        <w:t xml:space="preserve">We regard this as the more consequential result, and it is also the better measured one. It comes from staff answering a direct question about their own services, in a sample of 98 completed interviews, with confidence intervals narrow enough to support the claim. It requires no derived outcome, no matched design, and no assumption about which caller placed the call.</w:t>
      </w:r>
    </w:p>
    <w:bookmarkEnd w:id="39"/>
    <w:bookmarkStart w:id="40" w:name="X96cd90cc0850db8b46582f309691648891168df"/>
    <w:p>
      <w:pPr>
        <w:pStyle w:val="Heading3"/>
      </w:pPr>
      <w:r>
        <w:t xml:space="preserve">The access comparison was not informative</w:t>
      </w:r>
    </w:p>
    <w:p>
      <w:pPr>
        <w:pStyle w:val="FirstParagraph"/>
      </w:pPr>
      <w:r>
        <w:t xml:space="preserve">We had also intended to test whether practices differ in willingness to schedule by caller identity. That comparison did not succeed, and we report it as exploratory rather than as a null result, because the design could not have detected a plausible effect.</w:t>
      </w:r>
    </w:p>
    <w:p>
      <w:pPr>
        <w:pStyle w:val="BodyText"/>
      </w:pPr>
      <w:r>
        <w:t xml:space="preserve">Two features are responsible, and they are separable.</w:t>
      </w:r>
    </w:p>
    <w:p>
      <w:pPr>
        <w:pStyle w:val="BodyText"/>
      </w:pPr>
      <w:r>
        <w:t xml:space="preserve">First,</w:t>
      </w:r>
      <w:r>
        <w:t xml:space="preserve"> </w:t>
      </w:r>
      <w:r>
        <w:rPr>
          <w:b/>
          <w:bCs/>
        </w:rPr>
        <w:t xml:space="preserve">power</w:t>
      </w:r>
      <w:r>
        <w:t xml:space="preserve">. Within-practice matched contrasts draw information only from practices that answered differently to two callers. Concordance was high — most practices treated callers alike — leaving 7, 2, 8 discordant practices across the three contrasts, with minimum detectable effects of OR 8.1 to OR 9.0. Audit-study effects of interest are far below that floor. For the Lesbian couple versus Single mother contrast in particular, the number of discordant practices is small enough that the exact test cannot return a significant result at any effect size.</w:t>
      </w:r>
    </w:p>
    <w:p>
      <w:pPr>
        <w:pStyle w:val="BodyText"/>
      </w:pPr>
      <w:r>
        <w:t xml:space="preserve">Second,</w:t>
      </w:r>
      <w:r>
        <w:t xml:space="preserve"> </w:t>
      </w:r>
      <w:r>
        <w:rPr>
          <w:b/>
          <w:bCs/>
        </w:rPr>
        <w:t xml:space="preserve">caller assignment</w:t>
      </w:r>
      <w:r>
        <w:t xml:space="preserve">. Callers were not randomised across scenarios. Of the three contrasts, 2 had no caller who placed at least three calls under both scenarios (Straight couple vs Lesbian couple; Straight couple vs Single mother): for those, the scenario variable and the caller variable are the same column of data, and no covariate adjustment recovers the difference. Where overlap did exist — Lesbian couple versus Single mother, in which three callers placed calls under both — the caller-stratified estimate was OR 0.57 (95% CI 0.15-2.15, p = 0.61; n = 59), consistent with the unadjusted estimate and with no difference.</w:t>
      </w:r>
    </w:p>
    <w:p>
      <w:pPr>
        <w:pStyle w:val="BodyText"/>
      </w:pPr>
      <w:r>
        <w:t xml:space="preserve">The contrast with enough discordant practices to be informative is therefore the one with no caller overlap, and the contrast free of caller confounding is the one with too few discordant practices to test. That is a property of how the calls were allocated, not a result about how practices behave, and it cannot be repaired analytically.</w:t>
      </w:r>
    </w:p>
    <w:bookmarkEnd w:id="40"/>
    <w:bookmarkStart w:id="41" w:name="interpretation-and-literature-context"/>
    <w:p>
      <w:pPr>
        <w:pStyle w:val="Heading3"/>
      </w:pPr>
      <w:r>
        <w:t xml:space="preserve">Interpretation and Literature Context</w:t>
      </w:r>
    </w:p>
    <w:p>
      <w:pPr>
        <w:pStyle w:val="FirstParagraph"/>
      </w:pPr>
      <w:r>
        <w:t xml:space="preserve">Patients presenting to RRM clinics encounter a clinical menu focused on natural cycle monitoring.[8,9] For patients whose path to pregnancy requires donor gametes or ART, the absence of those services is a primary structural barrier to care, independent of staff attitudes.[9-12] Our estimates place that absence at approximately one practice in a hundred for IUI and IVF.</w:t>
      </w:r>
    </w:p>
    <w:bookmarkEnd w:id="41"/>
    <w:bookmarkStart w:id="42" w:name="strengths-and-limitations"/>
    <w:p>
      <w:pPr>
        <w:pStyle w:val="Heading3"/>
      </w:pPr>
      <w:r>
        <w:t xml:space="preserve">Strengths and Limitations</w:t>
      </w:r>
    </w:p>
    <w:p>
      <w:pPr>
        <w:pStyle w:val="FirstParagraph"/>
      </w:pPr>
      <w:r>
        <w:t xml:space="preserve">Strengths include the national scope, direct measurement of the primary outcome, business-day calendar modeling, and explicit cascade reporting with stage-specific denominators.</w:t>
      </w:r>
    </w:p>
    <w:p>
      <w:pPr>
        <w:pStyle w:val="BodyText"/>
      </w:pPr>
      <w:r>
        <w:t xml:space="preserve">Limitations of the primary outcome first. Service availability was reported by the staff member answering the telephone, not verified against what a practice would do for an enrolled patient; a practice might decline a service on the telephone that it provides in other circumstances, or the reverse. Services were ascertained only among the 98 calls that reached staff, which is 42% of calls placed, so the estimates describe the reachable subset of practices. The IUI and IVF proportions rest on one practice each.</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availability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42"/>
    <w:bookmarkStart w:id="43" w:name="recommendations-for-the-next-wave"/>
    <w:p>
      <w:pPr>
        <w:pStyle w:val="Heading3"/>
      </w:pPr>
      <w:r>
        <w:t xml:space="preserve">Recommendations for the Next Wave</w:t>
      </w:r>
    </w:p>
    <w:p>
      <w:pPr>
        <w:pStyle w:val="FirstParagraph"/>
      </w:pPr>
      <w:r>
        <w:t xml:space="preserve">Adding an explicit item asking whether staff agreed to schedule the caller,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are the only directly measured discrimination item in the instrument, and they are deliberately</w:t>
      </w:r>
      <w:r>
        <w:t xml:space="preserve"> </w:t>
      </w:r>
      <w:r>
        <w:rPr>
          <w:b/>
          <w:bCs/>
        </w:rPr>
        <w:t xml:space="preserve">excluded from all analyses reported here</w:t>
      </w:r>
      <w:r>
        <w:t xml:space="preserve">: their semantics are unresolved, since the straight-couple box is ticked on straight-couple calls and a checked box may denote either restricted or provided care. Resolving them requires the original REDCap field labels, choices, branching logic and coded values, not inference from the observed pattern. Should the codebook confirm that they record restriction, they would be a stronger primary measure of discrimination than any outcome inferred from call documentation, and adopting them would warrant an explicit protocol amendment rather than a substitution.</w:t>
      </w:r>
    </w:p>
    <w:bookmarkEnd w:id="43"/>
    <w:bookmarkStart w:id="44"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44"/>
    <w:bookmarkEnd w:id="45"/>
    <w:bookmarkStart w:id="46"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Reproductive Services Offered by Restorative Reproductive Medicine Practices: A National Secret-Shopper Audit</dc:title>
  <dc:creator>Sofie Rosenberg, MD; Melanie Mandell, MPH; Elizabeth Steiner, MD; Samuel Raine, MD; Tyler M. Muffly, MD</dc:creator>
  <cp:keywords/>
  <dcterms:created xsi:type="dcterms:W3CDTF">2026-09-05T11:58:07Z</dcterms:created>
  <dcterms:modified xsi:type="dcterms:W3CDTF">2026-09-05T11:58:07Z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