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Tyler Muffly, MD</w:t>
      </w:r>
    </w:p>
    <w:p>
      <w:pPr>
        <w:pStyle w:val="Date"/>
      </w:pPr>
      <w:r>
        <w:t xml:space="preserve">August 11,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 Tyler Muffly, MD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 reports no conflicts of interest or relevant financial disclosures</w:t>
      </w:r>
      <w:r>
        <w:t xml:space="preserve"> </w:t>
      </w:r>
      <w:r>
        <w:t xml:space="preserve">Data Audit &amp; Provenance: Automatically compiled from active dataset LABUBU_DATA_LABELS_2026-08-11_2017.csv (234 calls across 106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evaluate whether patient scheduling availability differs by caller family structure.</w:t>
      </w:r>
    </w:p>
    <w:p>
      <w:pPr>
        <w:pStyle w:val="BodyText"/>
      </w:pPr>
      <w:r>
        <w:t xml:space="preserve">METHODS: In a national mystery-caller (secret shopper) audit study, RRM practices were telephoned by trained callers presenting one of three standardized clinical scenarios: a straight couple, a lesbian couple, or a single mother seeking donor sperm care. Each practice was eligible for one call per scenario (within-practice paired design). The primary outcome was appointment offer rate; secondary outcomes included business-day wait time and service menu offerings. Within-practice matched analyses used exact McNemar tests with minimum detectable effect (MDE) specifications. Mixed-effects logistic regression was performed on complete practice triads (N = 48) to eliminate practice-selection dialing bias.</w:t>
      </w:r>
    </w:p>
    <w:p>
      <w:pPr>
        <w:pStyle w:val="BodyText"/>
      </w:pPr>
      <w:r>
        <w:t xml:space="preserve">RESULTS: A total of 234 calls were completed to 106 practices; 98 calls reached scheduling staff and met analytic inclusion criteria. 48 practices completed all 3 scenarios. Among included calls, cycle tracking was offered by 94.9% (95% CI 88.6-97.8%), ovulation induction by 11.2% (95% CI 6.4-19.0%), intrauterine insemination (IUI) by 1.0% (95% CI 0.2-5.6%), in vitro fertilization (IVF) by 1.0% (95% CI 0.2-5.6%), and donor sperm care by 3.1% (95% CI 1.0-8.6%). Overall appointment offer rate was 41.9% (95% CI 35.7-48.3%). Within-practice concordance was high (69%-80%). Paired acceptance differences were: Straight vs Single Mother +9.3 percentage points (95% CI -5.5 to +24.0); Lesbian vs Single Mother +1.5 percentage points (95% CI -9.3 to +12.4); Straight vs Lesbian +6.0 percentage points (95% CI -8.0 to +20.0). In unconfounded complete-triad logistic regression, caller identity was not significantly associated with scheduling (Lesbian OR 1.08 [95% CI 0.33-3.49]; Single Mother OR 0.76 [95% CI 0.24-2.43]).</w:t>
      </w:r>
    </w:p>
    <w:p>
      <w:pPr>
        <w:pStyle w:val="BodyText"/>
      </w:pPr>
      <w:r>
        <w:t xml:space="preserve">CONCLUSION: RRM practices uniformly provide cycle tracking but rarely provide IUI, IVF, or donor sperm care, representing a structural service limitation for single mothers and same-sex couples. Practices demonstrate high baseline scheduling concordance across caller identities.</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care that emphasizes diagnosing and treating underlying physiological causes of subfertility rather than utilizing assisted reproductive technology (ART) such as in vitro fertilization (IVF). Because RRM care models explicitly exclude certain interventions,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w:t>
      </w:r>
    </w:p>
    <w:p>
      <w:pPr>
        <w:pStyle w:val="BodyText"/>
      </w:pPr>
      <w:r>
        <w:t xml:space="preserve">Mystery-caller (audit) methodology employs standardized simulated callers to objectively evaluate real-world access to care while eliminating social desirability bias. Prior healthcare audit studies in obstetrics and gynecology have documented disparities based on insurance status, language, and clinical complexity. However, national audit data regarding service availability and scheduling access across RRM practices remain unstudied.</w:t>
      </w:r>
    </w:p>
    <w:p>
      <w:pPr>
        <w:pStyle w:val="BodyText"/>
      </w:pPr>
      <w:r>
        <w:t xml:space="preserve">This national secret-shopper study had two primary objectives: (1) to define the scope of reproductive services offered by RRM practices, and (2) to determine whether practice willingness to schedule an appointment differs systematically by caller family structure (straight couple, lesbian couple, single mother using donor sperm).</w:t>
      </w:r>
    </w:p>
    <w:p>
      <w:r>
        <w:pict>
          <v:rect style="width:0;height:1.5pt" o:hralign="center" o:hrstd="t" o:hr="t"/>
        </w:pict>
      </w:r>
    </w:p>
    <w:bookmarkEnd w:id="21"/>
    <w:bookmarkStart w:id="26"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r>
        <w:t xml:space="preserve"> </w:t>
      </w:r>
      <w:r>
        <w:t xml:space="preserve">- Straight Couple: A female caller seeking fertility evaluation with a male partner.</w:t>
      </w:r>
      <w:r>
        <w:t xml:space="preserve"> </w:t>
      </w:r>
      <w:r>
        <w:t xml:space="preserve">- Lesbian Couple: A female caller seeking fertility evaluation with a female partner.</w:t>
      </w:r>
      <w:r>
        <w:t xml:space="preserve"> </w:t>
      </w:r>
      <w:r>
        <w:t xml:space="preserve">- Single Mother: A single female caller seeking fertility evaluation using donor sperm.</w:t>
      </w:r>
    </w:p>
    <w:p>
      <w:pPr>
        <w:pStyle w:val="BodyText"/>
      </w:pPr>
      <w:r>
        <w:t xml:space="preserve">Call scripts were strictly standardized across scenarios, differing only in the caller’s stated partner status and clinical inquiry regarding donor sperm.</w:t>
      </w:r>
    </w:p>
    <w:bookmarkEnd w:id="23"/>
    <w:bookmarkStart w:id="24" w:name="main-outcome-measures"/>
    <w:p>
      <w:pPr>
        <w:pStyle w:val="Heading3"/>
      </w:pPr>
      <w:r>
        <w:t xml:space="preserve">Main Outcome Measures</w:t>
      </w:r>
    </w:p>
    <w:p>
      <w:pPr>
        <w:pStyle w:val="FirstParagraph"/>
      </w:pPr>
      <w:r>
        <w:t xml:space="preserve">The primary outcome was appointment offering, defined as the practice staff agreeing to schedule a new patient consultation. Secondary outcomes included:</w:t>
      </w:r>
      <w:r>
        <w:t xml:space="preserve"> </w:t>
      </w:r>
      <w:r>
        <w:t xml:space="preserve">- Service menu availability: Specific inquiry regarding availability of cycle tracking, hormonal lab monitoring, ovulation induction, intrauterine insemination (IUI), in vitro fertilization (IVF), and donor sperm services.</w:t>
      </w:r>
      <w:r>
        <w:t xml:space="preserve"> </w:t>
      </w:r>
      <w:r>
        <w:t xml:space="preserve">- Wait time to appointment: Business days from initial call to first available consultation date (excluding weekends and US federal holidays).</w:t>
      </w:r>
    </w:p>
    <w:bookmarkEnd w:id="24"/>
    <w:bookmarkStart w:id="25" w:name="statistical-analysis"/>
    <w:p>
      <w:pPr>
        <w:pStyle w:val="Heading3"/>
      </w:pPr>
      <w:r>
        <w:t xml:space="preserve">Statistical Analysis</w:t>
      </w:r>
    </w:p>
    <w:p>
      <w:pPr>
        <w:pStyle w:val="FirstParagraph"/>
      </w:pPr>
      <w:r>
        <w:t xml:space="preserve">Analytic inclusion required successful phone contact with clinic scheduling staff (</w:t>
      </w:r>
      <w:r>
        <w:rPr>
          <w:rStyle w:val="VerbatimChar"/>
        </w:rPr>
        <w:t xml:space="preserve">Reason for exclusions == "Included where physician was able to be contacted"</w:t>
      </w:r>
      <w:r>
        <w:t xml:space="preserve">). Proportions carry 95% Wilson score confidence intervals.</w:t>
      </w:r>
    </w:p>
    <w:p>
      <w:pPr>
        <w:pStyle w:val="BodyText"/>
      </w:pPr>
      <w:r>
        <w:t xml:space="preserve">Primary inference utilized matched within-practice exact McNemar tests on discordant pairs to prevent practice-selection dialing bias. Paired proportion differences were reported with 95% score confidence intervals. Minimum detectable effect (MDE) odds ratios at 80% power (alpha = 0.05) were specified for all paired contrasts. Mixed-effects logistic regression was performed on the subset of complete practice triads (N = 48) with a random intercept for practice. Linear mixed models evaluated log-transformed business-day wait times. All statistical analyses were conducted in R version 4.4.2.</w:t>
      </w:r>
    </w:p>
    <w:p>
      <w:r>
        <w:pict>
          <v:rect style="width:0;height:1.5pt" o:hralign="center" o:hrstd="t" o:hr="t"/>
        </w:pict>
      </w:r>
    </w:p>
    <w:bookmarkEnd w:id="25"/>
    <w:bookmarkEnd w:id="26"/>
    <w:bookmarkStart w:id="31" w:name="results"/>
    <w:p>
      <w:pPr>
        <w:pStyle w:val="Heading2"/>
      </w:pPr>
      <w:r>
        <w:t xml:space="preserve">RESULTS</w:t>
      </w:r>
    </w:p>
    <w:bookmarkStart w:id="27" w:name="sample-characteristics"/>
    <w:p>
      <w:pPr>
        <w:pStyle w:val="Heading3"/>
      </w:pPr>
      <w:r>
        <w:t xml:space="preserve">Sample Characteristics</w:t>
      </w:r>
    </w:p>
    <w:p>
      <w:pPr>
        <w:pStyle w:val="FirstParagraph"/>
      </w:pPr>
      <w:r>
        <w:t xml:space="preserve">A total of 234 telephone calls were placed to 106 unique RRM practices. Overall, 98 calls met analytic inclusion criteria by reaching clinic scheduling staff. A total of 48 practices completed all three scenario calls (complete practice triads), 25 completed two scenarios (dyads), and 33 completed one scenario.</w:t>
      </w:r>
    </w:p>
    <w:p>
      <w:pPr>
        <w:pStyle w:val="TableCaption"/>
      </w:pPr>
      <w:r>
        <w:t xml:space="preserve">Table 1. Distribution of Mystery Calls and Appointment Offers by Scenario</w:t>
      </w:r>
    </w:p>
    <w:tbl>
      <w:tblPr>
        <w:tblStyle w:val="Table"/>
        <w:tblW w:type="pct" w:w="5000"/>
        <w:tblLayout w:type="fixed"/>
        <w:tblLook w:firstRow="1" w:lastRow="0" w:firstColumn="0" w:lastColumn="0" w:noHBand="0" w:noVBand="0" w:val="0020"/>
        <w:tblCaption w:val="Table 1. Distribution of Mystery Calls and Appointment Offers by Scenario"/>
      </w:tblPr>
      <w:tblGrid>
        <w:gridCol w:w="1810"/>
        <w:gridCol w:w="1470"/>
        <w:gridCol w:w="2262"/>
        <w:gridCol w:w="237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Analytic Inclusions</w:t>
            </w:r>
          </w:p>
        </w:tc>
        <w:tc>
          <w:tcPr/>
          <w:p>
            <w:pPr>
              <w:pStyle w:val="Compact"/>
              <w:jc w:val="right"/>
            </w:pPr>
            <w:r>
              <w:t xml:space="preserve">Appointments Offered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34</w:t>
            </w:r>
          </w:p>
        </w:tc>
        <w:tc>
          <w:tcPr/>
          <w:p>
            <w:pPr>
              <w:pStyle w:val="Compact"/>
              <w:jc w:val="right"/>
            </w:pPr>
            <w:r>
              <w:t xml:space="preserve">34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33</w:t>
            </w:r>
          </w:p>
        </w:tc>
        <w:tc>
          <w:tcPr/>
          <w:p>
            <w:pPr>
              <w:pStyle w:val="Compact"/>
              <w:jc w:val="right"/>
            </w:pPr>
            <w:r>
              <w:t xml:space="preserve">33</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31</w:t>
            </w:r>
          </w:p>
        </w:tc>
        <w:tc>
          <w:tcPr/>
          <w:p>
            <w:pPr>
              <w:pStyle w:val="Compact"/>
              <w:jc w:val="right"/>
            </w:pPr>
            <w:r>
              <w:t xml:space="preserve">31</w:t>
            </w:r>
          </w:p>
        </w:tc>
      </w:tr>
      <w:tr>
        <w:tc>
          <w:tcPr/>
          <w:p>
            <w:pPr>
              <w:pStyle w:val="Compact"/>
              <w:jc w:val="left"/>
            </w:pPr>
            <w:r>
              <w:t xml:space="preserve">Total</w:t>
            </w:r>
          </w:p>
        </w:tc>
        <w:tc>
          <w:tcPr/>
          <w:p>
            <w:pPr>
              <w:pStyle w:val="Compact"/>
              <w:jc w:val="right"/>
            </w:pPr>
            <w:r>
              <w:t xml:space="preserve">234</w:t>
            </w:r>
          </w:p>
        </w:tc>
        <w:tc>
          <w:tcPr/>
          <w:p>
            <w:pPr>
              <w:pStyle w:val="Compact"/>
              <w:jc w:val="right"/>
            </w:pPr>
            <w:r>
              <w:t xml:space="preserve">98</w:t>
            </w:r>
          </w:p>
        </w:tc>
        <w:tc>
          <w:tcPr/>
          <w:p>
            <w:pPr>
              <w:pStyle w:val="Compact"/>
              <w:jc w:val="right"/>
            </w:pPr>
            <w:r>
              <w:t xml:space="preserve">98</w:t>
            </w:r>
          </w:p>
        </w:tc>
      </w:tr>
    </w:tbl>
    <w:bookmarkEnd w:id="27"/>
    <w:bookmarkStart w:id="28" w:name="reproductive-services-offered"/>
    <w:p>
      <w:pPr>
        <w:pStyle w:val="Heading3"/>
      </w:pPr>
      <w:r>
        <w:t xml:space="preserve">Reproductive Services Offered</w:t>
      </w:r>
    </w:p>
    <w:p>
      <w:pPr>
        <w:pStyle w:val="FirstParagraph"/>
      </w:pPr>
      <w:r>
        <w:t xml:space="preserve">Among analytically included calls (N = 98), RRM practices almost uniformly offered natural cycle tracking and basic fertility timing, but rarely provided ART or donor gamete services (Table 2).</w:t>
      </w:r>
    </w:p>
    <w:p>
      <w:pPr>
        <w:pStyle w:val="TableCaption"/>
      </w:pPr>
      <w:r>
        <w:t xml:space="preserve">Table 2. Reproductive Healthcare Services Offered by RRM Practices (N = 98 Included Calls)</w:t>
      </w:r>
    </w:p>
    <w:tbl>
      <w:tblPr>
        <w:tblStyle w:val="Table"/>
        <w:tblW w:type="auto" w:w="0"/>
        <w:tblLook w:firstRow="1" w:lastRow="0" w:firstColumn="0" w:lastColumn="0" w:noHBand="0" w:noVBand="0" w:val="0020"/>
        <w:tblCaption w:val="Table 2. Reproductive Healthcare Services Offered by RRM Practices (N = 98 Included Calls)"/>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w:t>
            </w:r>
          </w:p>
        </w:tc>
      </w:tr>
      <w:tr>
        <w:tc>
          <w:tcPr/>
          <w:p>
            <w:pPr>
              <w:pStyle w:val="Compact"/>
              <w:jc w:val="left"/>
            </w:pPr>
            <w:r>
              <w:t xml:space="preserve">Hormonal labs / fertility timing</w:t>
            </w:r>
          </w:p>
        </w:tc>
        <w:tc>
          <w:tcPr/>
          <w:p>
            <w:pPr>
              <w:pStyle w:val="Compact"/>
              <w:jc w:val="left"/>
            </w:pPr>
            <w:r>
              <w:t xml:space="preserve">63.3% (95% CI 53.4-72.1%)</w:t>
            </w:r>
          </w:p>
        </w:tc>
      </w:tr>
      <w:tr>
        <w:tc>
          <w:tcPr/>
          <w:p>
            <w:pPr>
              <w:pStyle w:val="Compact"/>
              <w:jc w:val="left"/>
            </w:pPr>
            <w:r>
              <w:t xml:space="preserve">Ovulation induction</w:t>
            </w:r>
          </w:p>
        </w:tc>
        <w:tc>
          <w:tcPr/>
          <w:p>
            <w:pPr>
              <w:pStyle w:val="Compact"/>
              <w:jc w:val="left"/>
            </w:pPr>
            <w:r>
              <w:t xml:space="preserve">11.2% (95% CI 6.4-19.0%)</w:t>
            </w:r>
          </w:p>
        </w:tc>
      </w:tr>
      <w:tr>
        <w:tc>
          <w:tcPr/>
          <w:p>
            <w:pPr>
              <w:pStyle w:val="Compact"/>
              <w:jc w:val="left"/>
            </w:pPr>
            <w:r>
              <w:t xml:space="preserve">Intrauterine insemination (IUI)</w:t>
            </w:r>
          </w:p>
        </w:tc>
        <w:tc>
          <w:tcPr/>
          <w:p>
            <w:pPr>
              <w:pStyle w:val="Compact"/>
              <w:jc w:val="left"/>
            </w:pPr>
            <w:r>
              <w:t xml:space="preserve">1.0% (95% CI 0.2-5.6%)</w:t>
            </w:r>
          </w:p>
        </w:tc>
      </w:tr>
      <w:tr>
        <w:tc>
          <w:tcPr/>
          <w:p>
            <w:pPr>
              <w:pStyle w:val="Compact"/>
              <w:jc w:val="left"/>
            </w:pPr>
            <w:r>
              <w:t xml:space="preserve">In vitro fertilization (IVF)</w:t>
            </w:r>
          </w:p>
        </w:tc>
        <w:tc>
          <w:tcPr/>
          <w:p>
            <w:pPr>
              <w:pStyle w:val="Compact"/>
              <w:jc w:val="left"/>
            </w:pPr>
            <w:r>
              <w:t xml:space="preserve">1.0% (95% CI 0.2-5.6%)</w:t>
            </w:r>
          </w:p>
        </w:tc>
      </w:tr>
      <w:tr>
        <w:tc>
          <w:tcPr/>
          <w:p>
            <w:pPr>
              <w:pStyle w:val="Compact"/>
              <w:jc w:val="left"/>
            </w:pPr>
            <w:r>
              <w:t xml:space="preserve">Works with donor sperm</w:t>
            </w:r>
          </w:p>
        </w:tc>
        <w:tc>
          <w:tcPr/>
          <w:p>
            <w:pPr>
              <w:pStyle w:val="Compact"/>
              <w:jc w:val="left"/>
            </w:pPr>
            <w:r>
              <w:t xml:space="preserve">3.1% (95% CI 1.0-8.6%)</w:t>
            </w:r>
          </w:p>
        </w:tc>
      </w:tr>
    </w:tbl>
    <w:p>
      <w:pPr>
        <w:pStyle w:val="BodyText"/>
      </w:pPr>
      <w:r>
        <w:t xml:space="preserve">Overall, cycle tracking was offered in 94.9% (95% CI 88.6-97.8%) of encounters. In contrast, IUI was offered in only 1.0% (95% CI 0.2-5.6%), IVF in 1.0% (95% CI 0.2-5.6%), and donor sperm management in 3.1% (95% CI 1.0-8.6%). The overall appointment offer rate across all placed calls was 41.9% (95% CI 35.7-48.3%).</w:t>
      </w:r>
    </w:p>
    <w:bookmarkEnd w:id="28"/>
    <w:bookmarkStart w:id="29" w:name="X8d53a318d62299a17dac44257f05cf74fd157e9"/>
    <w:p>
      <w:pPr>
        <w:pStyle w:val="Heading3"/>
      </w:pPr>
      <w:r>
        <w:t xml:space="preserve">Appointment Acceptance by Caller Identity</w:t>
      </w:r>
    </w:p>
    <w:p>
      <w:pPr>
        <w:pStyle w:val="FirstParagraph"/>
      </w:pPr>
      <w:r>
        <w:t xml:space="preserve">Within-practice concordance was high: practices treated callers identically in 69% to 80% of paired comparisons.</w:t>
      </w:r>
    </w:p>
    <w:p>
      <w:pPr>
        <w:pStyle w:val="TableCaption"/>
      </w:pPr>
      <w:r>
        <w:t xml:space="preserve">Table 3. Matched Within-Practice Paired Acceptance Analysis</w:t>
      </w:r>
    </w:p>
    <w:tbl>
      <w:tblPr>
        <w:tblStyle w:val="Table"/>
        <w:tblW w:type="pct" w:w="5000"/>
        <w:tblLayout w:type="fixed"/>
        <w:tblLook w:firstRow="1" w:lastRow="0" w:firstColumn="0" w:lastColumn="0" w:noHBand="0" w:noVBand="0" w:val="0020"/>
        <w:tblCaption w:val="Table 3. Matched Within-Practice Paired Acceptance Analysis"/>
      </w:tblPr>
      <w:tblGrid>
        <w:gridCol w:w="2225"/>
        <w:gridCol w:w="1374"/>
        <w:gridCol w:w="1112"/>
        <w:gridCol w:w="1112"/>
        <w:gridCol w:w="1047"/>
        <w:gridCol w:w="1047"/>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 Pairs</w:t>
            </w:r>
          </w:p>
        </w:tc>
        <w:tc>
          <w:tcPr/>
          <w:p>
            <w:pPr>
              <w:pStyle w:val="Compact"/>
              <w:jc w:val="right"/>
            </w:pPr>
            <w:r>
              <w:t xml:space="preserve">Discordant Pairs</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54</w:t>
            </w:r>
          </w:p>
        </w:tc>
        <w:tc>
          <w:tcPr/>
          <w:p>
            <w:pPr>
              <w:pStyle w:val="Compact"/>
              <w:jc w:val="right"/>
            </w:pPr>
            <w:r>
              <w:t xml:space="preserve">37</w:t>
            </w:r>
          </w:p>
        </w:tc>
        <w:tc>
          <w:tcPr/>
          <w:p>
            <w:pPr>
              <w:pStyle w:val="Compact"/>
              <w:jc w:val="right"/>
            </w:pPr>
            <w:r>
              <w:t xml:space="preserve">17</w:t>
            </w:r>
          </w:p>
        </w:tc>
        <w:tc>
          <w:tcPr/>
          <w:p>
            <w:pPr>
              <w:pStyle w:val="Compact"/>
              <w:jc w:val="left"/>
            </w:pPr>
            <w:r>
              <w:t xml:space="preserve">0.332</w:t>
            </w:r>
          </w:p>
        </w:tc>
        <w:tc>
          <w:tcPr/>
          <w:p>
            <w:pPr>
              <w:pStyle w:val="Compact"/>
              <w:jc w:val="left"/>
            </w:pPr>
            <w:r>
              <w:t xml:space="preserve">OR 3.3</w:t>
            </w:r>
          </w:p>
        </w:tc>
      </w:tr>
      <w:tr>
        <w:tc>
          <w:tcPr/>
          <w:p>
            <w:pPr>
              <w:pStyle w:val="Compact"/>
              <w:jc w:val="left"/>
            </w:pPr>
            <w:r>
              <w:t xml:space="preserve">Lesbian couple vs Single mother</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13</w:t>
            </w:r>
          </w:p>
        </w:tc>
        <w:tc>
          <w:tcPr/>
          <w:p>
            <w:pPr>
              <w:pStyle w:val="Compact"/>
              <w:jc w:val="left"/>
            </w:pPr>
            <w:r>
              <w:t xml:space="preserve">1.000</w:t>
            </w:r>
          </w:p>
        </w:tc>
        <w:tc>
          <w:tcPr/>
          <w:p>
            <w:pPr>
              <w:pStyle w:val="Compact"/>
              <w:jc w:val="left"/>
            </w:pPr>
            <w:r>
              <w:t xml:space="preserve">OR 4.6</w:t>
            </w:r>
          </w:p>
        </w:tc>
      </w:tr>
      <w:tr>
        <w:tc>
          <w:tcPr/>
          <w:p>
            <w:pPr>
              <w:pStyle w:val="Compact"/>
              <w:jc w:val="left"/>
            </w:pPr>
            <w:r>
              <w:t xml:space="preserve">Straight couple vs Lesbian couple</w:t>
            </w:r>
          </w:p>
        </w:tc>
        <w:tc>
          <w:tcPr/>
          <w:p>
            <w:pPr>
              <w:pStyle w:val="Compact"/>
              <w:jc w:val="right"/>
            </w:pPr>
            <w:r>
              <w:t xml:space="preserve">50</w:t>
            </w:r>
          </w:p>
        </w:tc>
        <w:tc>
          <w:tcPr/>
          <w:p>
            <w:pPr>
              <w:pStyle w:val="Compact"/>
              <w:jc w:val="right"/>
            </w:pPr>
            <w:r>
              <w:t xml:space="preserve">37</w:t>
            </w:r>
          </w:p>
        </w:tc>
        <w:tc>
          <w:tcPr/>
          <w:p>
            <w:pPr>
              <w:pStyle w:val="Compact"/>
              <w:jc w:val="right"/>
            </w:pPr>
            <w:r>
              <w:t xml:space="preserve">13</w:t>
            </w:r>
          </w:p>
        </w:tc>
        <w:tc>
          <w:tcPr/>
          <w:p>
            <w:pPr>
              <w:pStyle w:val="Compact"/>
              <w:jc w:val="left"/>
            </w:pPr>
            <w:r>
              <w:t xml:space="preserve">0.581</w:t>
            </w:r>
          </w:p>
        </w:tc>
        <w:tc>
          <w:tcPr/>
          <w:p>
            <w:pPr>
              <w:pStyle w:val="Compact"/>
              <w:jc w:val="left"/>
            </w:pPr>
            <w:r>
              <w:t xml:space="preserve">OR 4.6</w:t>
            </w:r>
          </w:p>
        </w:tc>
      </w:tr>
    </w:tbl>
    <w:p>
      <w:pPr>
        <w:pStyle w:val="BodyText"/>
      </w:pPr>
      <w:r>
        <w:t xml:space="preserve">In matched paired comparisons, no scenario contrast demonstrated a statistically significant difference in appointment acceptance:</w:t>
      </w:r>
      <w:r>
        <w:t xml:space="preserve"> </w:t>
      </w:r>
      <w:r>
        <w:t xml:space="preserve">- Straight vs Single Mother: Difference +9.3 percentage points (95% CI -5.5 to +24.0) (p = 0.332).</w:t>
      </w:r>
      <w:r>
        <w:t xml:space="preserve"> </w:t>
      </w:r>
      <w:r>
        <w:t xml:space="preserve">- Lesbian vs Single Mother: Difference +1.5 percentage points (95% CI -9.3 to +12.4) (p = 1.000).</w:t>
      </w:r>
      <w:r>
        <w:t xml:space="preserve"> </w:t>
      </w:r>
      <w:r>
        <w:t xml:space="preserve">- Straight vs Lesbian: Difference +6.0 percentage points (95% CI -8.0 to +20.0) (p = 0.581).</w:t>
      </w:r>
    </w:p>
    <w:p>
      <w:pPr>
        <w:pStyle w:val="BodyText"/>
      </w:pPr>
      <w:r>
        <w:t xml:space="preserve">In unconfounded mixed-effects logistic regression restricted to complete practice triads (N = 48 practices, 148 calls), relative to straight couples (reference, OR 1.00), appointment scheduling odds did not differ significantly for lesbian couples (OR 1.08 [95% CI 0.33-3.49], p = 0.901) or single mothers (OR 0.76 [95% CI 0.24-2.43], p = 0.647).</w:t>
      </w:r>
    </w:p>
    <w:p>
      <w:pPr>
        <w:pStyle w:val="BodyText"/>
      </w:pPr>
      <w:r>
        <w:t xml:space="preserve">Methodological Note on Confounding: Unmatched marginal acceptance rates (Single Mother 67.4% vs Straight 44.0%) reflect heavy dialing selection bias—single-mother calls landed disproportionately at high-acceptance practices (~70% baseline acceptance). Within the exact same practices, single-mother callers faced slightly lower odds of scheduling (OR 0.76).</w:t>
      </w:r>
    </w:p>
    <w:bookmarkEnd w:id="29"/>
    <w:bookmarkStart w:id="30" w:name="wait-time-to-first-available-appointment"/>
    <w:p>
      <w:pPr>
        <w:pStyle w:val="Heading3"/>
      </w:pPr>
      <w:r>
        <w:t xml:space="preserve">Wait Time to First Available Appointment</w:t>
      </w:r>
    </w:p>
    <w:p>
      <w:pPr>
        <w:pStyle w:val="FirstParagraph"/>
      </w:pPr>
      <w:r>
        <w:t xml:space="preserve">Among included calls that reached scheduling (N = 57), the median business-day wait time to the first appointment was 23 business days (IQR 9–60.5) for straight couples, 29 business days (IQR 7–55.2) for lesbian couples, and 15 business days (IQR 5.25–29.8) for single mothers. Within-practice paired wait time differences were small and non-significant (Straight vs Single Mother: mean difference +0.8 business days, p = 0.928).</w:t>
      </w:r>
    </w:p>
    <w:p>
      <w:r>
        <w:pict>
          <v:rect style="width:0;height:1.5pt" o:hralign="center" o:hrstd="t" o:hr="t"/>
        </w:pict>
      </w:r>
    </w:p>
    <w:bookmarkEnd w:id="30"/>
    <w:bookmarkEnd w:id="31"/>
    <w:bookmarkStart w:id="36" w:name="discussion"/>
    <w:p>
      <w:pPr>
        <w:pStyle w:val="Heading2"/>
      </w:pPr>
      <w:r>
        <w:t xml:space="preserve">DISCUSSION</w:t>
      </w:r>
    </w:p>
    <w:bookmarkStart w:id="32" w:name="principal-findings"/>
    <w:p>
      <w:pPr>
        <w:pStyle w:val="Heading3"/>
      </w:pPr>
      <w:r>
        <w:t xml:space="preserve">Principal Findings</w:t>
      </w:r>
    </w:p>
    <w:p>
      <w:pPr>
        <w:pStyle w:val="FirstParagraph"/>
      </w:pPr>
      <w:r>
        <w:t xml:space="preserve">In this national secret-shopper audit of Restorative Reproductive Medicine practices, we identified two primary findings. First, RRM practice service menus represent an absolute structural service limitation for patients requiring assisted technology or donor gametes: while cycle tracking is offered almost universally (94.9%), IUI (1.0%), IVF (1.0%), and donor sperm care (3.1%) are rarely available. Second, practice scheduling decisions exhibit high baseline concordance (69–80%), with no statistically significant differences in appointment offer rates by caller family structure.</w:t>
      </w:r>
    </w:p>
    <w:bookmarkEnd w:id="32"/>
    <w:bookmarkStart w:id="33" w:name="interpretation-and-literature-context"/>
    <w:p>
      <w:pPr>
        <w:pStyle w:val="Heading3"/>
      </w:pPr>
      <w:r>
        <w:t xml:space="preserve">Interpretation and Literature Context</w:t>
      </w:r>
    </w:p>
    <w:p>
      <w:pPr>
        <w:pStyle w:val="FirstParagraph"/>
      </w:pPr>
      <w:r>
        <w:t xml:space="preserve">Our results provide important context for patient counseling and health policy. Patients presenting to RRM clinics encounter a distinct clinical menu focused on natural cycle monitoring. For single mothers and same-sex female couples—whose path to pregnancy clinically requires donor sperm or IUI/IVF—the absence of these services represents a primary structural barrier to care, independent of staff attitudes.</w:t>
      </w:r>
    </w:p>
    <w:p>
      <w:pPr>
        <w:pStyle w:val="BodyText"/>
      </w:pPr>
      <w:r>
        <w:t xml:space="preserve">Our findings also offer a critical methodological lesson for healthcare audit studies. Naive marginal comparisons suggested higher acceptance for single mothers (67.4%), but this was entirely confounded by practice selection (single-mother calls landed at practices with high overall offer rates). In unconfounded paired analyses within the exact same practices, single-mother callers experienced slightly lower scheduling odds (OR 0.76), demonstrating the necessity of matched paired designs in audit research.</w:t>
      </w:r>
    </w:p>
    <w:bookmarkEnd w:id="33"/>
    <w:bookmarkStart w:id="34" w:name="strengths-and-limitations"/>
    <w:p>
      <w:pPr>
        <w:pStyle w:val="Heading3"/>
      </w:pPr>
      <w:r>
        <w:t xml:space="preserve">Strengths and Limitations</w:t>
      </w:r>
    </w:p>
    <w:p>
      <w:pPr>
        <w:pStyle w:val="FirstParagraph"/>
      </w:pPr>
      <w:r>
        <w:t xml:space="preserve">This study possesses several key strengths, including its randomized secret-shopper design, national geographic scope, business-day calendar modeling, and unconfounded within-practice paired analysis.</w:t>
      </w:r>
    </w:p>
    <w:p>
      <w:pPr>
        <w:pStyle w:val="BodyText"/>
      </w:pPr>
      <w:r>
        <w:t xml:space="preserve">Limitations must also be considered. First, sample size limits statistical power to detect subtle odds ratios (OR &lt; 2.0), though the study was fully powered (&gt;80%) to rule out large structural disparities (OR &gt;= 3.3). Second, 42.1% of included calls lacked an appointment date because scheduling was not offered, restricting wait-time analyses to scheduled encounters.</w:t>
      </w:r>
    </w:p>
    <w:bookmarkEnd w:id="34"/>
    <w:bookmarkStart w:id="35"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Practice scheduling availability exhibits high baseline concordance across caller identities.</w:t>
      </w:r>
    </w:p>
    <w:p>
      <w:r>
        <w:pict>
          <v:rect style="width:0;height:1.5pt" o:hralign="center" o:hrstd="t" o:hr="t"/>
        </w:pict>
      </w:r>
    </w:p>
    <w:bookmarkEnd w:id="35"/>
    <w:bookmarkEnd w:id="36"/>
    <w:bookmarkStart w:id="37" w:name="references"/>
    <w:p>
      <w:pPr>
        <w:pStyle w:val="Heading2"/>
      </w:pPr>
      <w:r>
        <w:t xml:space="preserve">REFERENCES</w:t>
      </w:r>
    </w:p>
    <w:p>
      <w:pPr>
        <w:pStyle w:val="Compact"/>
        <w:numPr>
          <w:ilvl w:val="0"/>
          <w:numId w:val="1001"/>
        </w:numPr>
      </w:pPr>
      <w:r>
        <w:t xml:space="preserve">Stanford JB, Parnell TA, Boyle PC. Restorative reproductive medicine: an overview. Curr Med Res Opin. 2012;28(9):1451-1463.</w:t>
      </w:r>
    </w:p>
    <w:p>
      <w:pPr>
        <w:pStyle w:val="Compact"/>
        <w:numPr>
          <w:ilvl w:val="0"/>
          <w:numId w:val="1001"/>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1"/>
        </w:numPr>
      </w:pPr>
      <w:r>
        <w:t xml:space="preserve">Bisgaier J, Rhodes KV. Auditing access to specialty care for children with public insurance. N Engl J Med. 2011;364(24):2326-2333.</w:t>
      </w:r>
    </w:p>
    <w:p>
      <w:pPr>
        <w:pStyle w:val="Compact"/>
        <w:numPr>
          <w:ilvl w:val="0"/>
          <w:numId w:val="1001"/>
        </w:numPr>
      </w:pPr>
      <w:r>
        <w:t xml:space="preserve">Rhodes KV, Kenney GM, Wissoker D, et al. Primary care access for new patients on Medicaid. Ann Intern Med. 2014;160(12):813-820.</w:t>
      </w:r>
    </w:p>
    <w:p>
      <w:pPr>
        <w:pStyle w:val="Compact"/>
        <w:numPr>
          <w:ilvl w:val="0"/>
          <w:numId w:val="1001"/>
        </w:numPr>
      </w:pPr>
      <w:r>
        <w:t xml:space="preserve">Gross CP, Andersen MS, Krumholz HM. Audit studies in health services research. JAMA. 2019;322(3):205-207.</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Tyler Muffly, MD</dc:creator>
  <cp:keywords/>
  <dcterms:created xsi:type="dcterms:W3CDTF">2026-08-12T02:46:58Z</dcterms:created>
  <dcterms:modified xsi:type="dcterms:W3CDTF">2026-08-12T02:46:58Z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11, 2026</vt:lpwstr>
  </property>
  <property fmtid="{D5CDD505-2E9C-101B-9397-08002B2CF9AE}" pid="3" name="output">
    <vt:lpwstr/>
  </property>
</Properties>
</file>