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September 05,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105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9"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to examine whether appointment access differs by caller family structure.</w:t>
      </w:r>
    </w:p>
    <w:p>
      <w:pPr>
        <w:pStyle w:val="BodyText"/>
      </w:pPr>
      <w:r>
        <w:t xml:space="preserve">METHODS: In a national mystery-caller (secret shopper) audit, RRM practices were telephoned by trained callers presenting one of three standardized clinical scenarios: a straight couple, a lesbian couple, or a single mother seeking donor sperm care. Each practice was eligible for one call per scenario. Because the data-collection instrument contained no explicit</w:t>
      </w:r>
      <w:r>
        <w:t xml:space="preserve"> </w:t>
      </w:r>
      <w:r>
        <w:t xml:space="preserve">“was an appointment offered”</w:t>
      </w:r>
      <w:r>
        <w:t xml:space="preserve"> </w:t>
      </w:r>
      <w:r>
        <w:t xml:space="preserve">item, the offer outcome was derived: a call was scored as offered when a first-available appointment date was recorded, and as not offered when the practice stated it was not accepting new patients; a sensitivity definition additionally counted a concrete scheduling timeframe as an offer. Reaching a live office and being offered an appointment were analyzed as separate cascade stages. Mixed-effects logistic regression with a practice random intercept was fitted to complete practice triads; within-practice matched contrasts used exact McNemar tests with minimum detectable effect (MDE) specifications.</w:t>
      </w:r>
    </w:p>
    <w:p>
      <w:pPr>
        <w:pStyle w:val="BodyText"/>
      </w:pPr>
      <w:r>
        <w:t xml:space="preserve">RESULTS: 234 calls were placed to 105 practices. A live office was reached on 46.2% (95% CI 39.9-52.6%; 108/234) of calls; 100 calls were eligible for the offer analysis and 48 practices completed all three scenarios. Among calls reaching staff (N = 98), cycle tracking was offered by 94.9% (95% CI 88.6-97.8%; 93/98), ovulation induction by 11.2% (95% CI 6.4-19.0%; 11/98), intrauterine insemination (IUI) by 1.0% (95% CI 0.2-5.6%; 1/98), in vitro fertilization (IVF) by 1.0% (95% CI 0.2-5.6%; 1/98), and donor sperm care by 3.1% (95% CI 1.0-8.6%; 3/98). Appointment-offer rates were 75.7% for straight couples, 42.4% for lesbian couples, and 50.0% for single mothers. In complete-triad mixed-effects logistic regression, relative to straight couples, the odds of an appointment offer were OR 0.04 (0.01-0.28) for lesbian couples (p = 0.001) and OR 0.09 (0.01-0.65) for single mothers (p = 0.016). Under the broader offer definition these attenuated to OR 0.31 (0.08-1.25) and OR 0.29 (0.06-1.27) respectively. Caller identity was strongly associated with scenario (Cramér’s V = 0.66), so scenario and caller effects are not separately identifiable.</w:t>
      </w:r>
    </w:p>
    <w:p>
      <w:pPr>
        <w:pStyle w:val="BodyText"/>
      </w:pPr>
      <w:r>
        <w:t xml:space="preserve">CONCLUSION: RRM practices uniformly provide cycle tracking but rarely provide IUI, IVF, or donor sperm care, a structural service limitation for single mothers and same-sex couples that does not depend on staff attitudes. Apparent differences in appointment offers by caller identity were sensitive to the outcome definition and confounded with caller assignment, and should be regarded as hypothesis-generating.</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objectives: (1) to define the scope of reproductive services offered by RRM practices, and (2) to explore whether practice willingness to schedule an appointment differs by caller family structure (straight couple, lesbian couple, single mother using donor sperm).</w:t>
      </w:r>
    </w:p>
    <w:p>
      <w:r>
        <w:pict>
          <v:rect style="width:0;height:1.5pt" o:hralign="center" o:hrstd="t" o:hr="t"/>
        </w:pict>
      </w:r>
    </w:p>
    <w:bookmarkEnd w:id="10"/>
    <w:bookmarkStart w:id="15" w:name="sources-and-methods"/>
    <w:p>
      <w:pPr>
        <w:pStyle w:val="Heading2"/>
      </w:pPr>
      <w:r>
        <w:t xml:space="preserve">SOURCES AND METHODS</w:t>
      </w:r>
    </w:p>
    <w:bookmarkStart w:id="11"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11"/>
    <w:bookmarkStart w:id="12"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12"/>
    <w:bookmarkStart w:id="13"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offered (primary, strict)</w:t>
      </w:r>
      <w:r>
        <w:t xml:space="preserve">: among offer-eligible calls, a first-available appointment date was recorded. A stated</w:t>
      </w:r>
      <w:r>
        <w:t xml:space="preserve"> </w:t>
      </w:r>
      <w:r>
        <w:t xml:space="preserve">“not accepting new patients”</w:t>
      </w:r>
      <w:r>
        <w:t xml:space="preserve"> </w:t>
      </w:r>
      <w:r>
        <w:t xml:space="preserve">was scored as not offered.</w:t>
      </w:r>
    </w:p>
    <w:p>
      <w:pPr>
        <w:pStyle w:val="Compact"/>
        <w:numPr>
          <w:ilvl w:val="0"/>
          <w:numId w:val="1002"/>
        </w:numPr>
      </w:pPr>
      <w:r>
        <w:rPr>
          <w:b/>
          <w:bCs/>
        </w:rPr>
        <w:t xml:space="preserve">Appointment offered (sensitivity, broad)</w:t>
      </w:r>
      <w:r>
        <w:t xml:space="preserve">: as above, but a concrete scheduling timeframe reported by staff without a specific date was also counted as an offer.</w:t>
      </w:r>
    </w:p>
    <w:p>
      <w:pPr>
        <w:pStyle w:val="FirstParagraph"/>
      </w:pPr>
      <w:r>
        <w:t xml:space="preserve">The data-collection instrument did not contain an explicit item asking whether staff agreed to schedule the caller. The offer outcome is therefore a derived proxy, and this is the study’s principal measurement limitation (see Limitations). Wait time was the number of business days (Monday–Friday, excluding US federal holidays) between the call and the first available appointment, with same-day appointments retained as a wait of zero.</w:t>
      </w:r>
    </w:p>
    <w:bookmarkEnd w:id="13"/>
    <w:bookmarkStart w:id="14"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14"/>
    <w:bookmarkEnd w:id="15"/>
    <w:bookmarkStart w:id="24" w:name="results"/>
    <w:p>
      <w:pPr>
        <w:pStyle w:val="Heading2"/>
      </w:pPr>
      <w:r>
        <w:t xml:space="preserve">RESULTS</w:t>
      </w:r>
    </w:p>
    <w:bookmarkStart w:id="19"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1. STROBE flow diagram. Reaching a live office and being offered an appointment are separate stages with separate denominators." title="" id="17" name="Picture"/>
            <a:graphic>
              <a:graphicData uri="http://schemas.openxmlformats.org/drawingml/2006/picture">
                <pic:pic>
                  <pic:nvPicPr>
                    <pic:cNvPr descr="mysterycall_outputs/figures/fig0_strobe_flow.png" id="18" name="Picture"/>
                    <pic:cNvPicPr>
                      <a:picLocks noChangeArrowheads="1" noChangeAspect="1"/>
                    </pic:cNvPicPr>
                  </pic:nvPicPr>
                  <pic:blipFill>
                    <a:blip r:embed="rId16"/>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1. STROBE flow diagram. Reaching a live office and being offered an appointment are separate stages with separate denominators.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19"/>
    <w:bookmarkStart w:id="20" w:name="reproductive-services-offered"/>
    <w:p>
      <w:pPr>
        <w:pStyle w:val="Heading3"/>
      </w:pPr>
      <w:r>
        <w:t xml:space="preserve">Reproductive Services Offered</w:t>
      </w:r>
    </w:p>
    <w:p>
      <w:pPr>
        <w:pStyle w:val="FirstParagraph"/>
      </w:pPr>
      <w:r>
        <w:t xml:space="preserve">Among calls that reached staff and completed the service interview (N = 98), RRM practices almost uniformly offered natural cycle tracking but rarely provided ART or donor gamete services (Table 2).</w:t>
      </w:r>
    </w:p>
    <w:p>
      <w:pPr>
        <w:pStyle w:val="TableCaption"/>
      </w:pPr>
      <w:r>
        <w:t xml:space="preserve">Table 2. Reproductive healthcare services offered by RRM practices (N = 98 calls reaching staff)</w:t>
      </w:r>
    </w:p>
    <w:tbl>
      <w:tblPr>
        <w:tblStyle w:val="Table"/>
        <w:tblW w:type="auto" w:w="0"/>
        <w:tblLook w:firstRow="1" w:lastRow="0" w:firstColumn="0" w:lastColumn="0" w:noHBand="0" w:noVBand="0" w:val="0020"/>
        <w:tblCaption w:val="Table 2. Reproductive healthcar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in 94.9% (95% CI 88.6-97.8%; 93/98) of encounters. In contrast, IUI was offered in 1.0% (95% CI 0.2-5.6%; 1/98), IVF in 1.0% (95% CI 0.2-5.6%; 1/98), and donor sperm management in 3.1% (95% CI 1.0-8.6%; 3/98). The IUI and IVF counts each reflect a single practice and should be read as an upper bound on availability rather than a stable rate estimate.</w:t>
      </w:r>
    </w:p>
    <w:bookmarkEnd w:id="20"/>
    <w:bookmarkStart w:id="21" w:name="appointment-offers-by-caller-identity"/>
    <w:p>
      <w:pPr>
        <w:pStyle w:val="Heading3"/>
      </w:pPr>
      <w:r>
        <w:t xml:space="preserve">Appointment Offers by Caller Identity</w:t>
      </w:r>
    </w:p>
    <w:p>
      <w:pPr>
        <w:pStyle w:val="FirstParagraph"/>
      </w:pPr>
      <w:r>
        <w:t xml:space="preserve">Appointment-offer rates among offer-eligible calls were 75.7% for straight couples, 42.4% for lesbian couples, and 50.0% for single mothers (Table 1).</w:t>
      </w:r>
    </w:p>
    <w:p>
      <w:pPr>
        <w:pStyle w:val="BodyText"/>
      </w:pPr>
      <w:r>
        <w:t xml:space="preserve">In complete-triad mixed-effects logistic regression (N = 48 practices), relative to straight-couple callers, the odds of an appointment offer were OR 0.04 (0.01-0.28) for lesbian couples (p = 0.001) and OR 0.09 (0.01-0.65) for single mothers (p = 0.016). The confidence intervals span orders of magnitude, reflecting near-separation at this sample size; direction is interpretable, magnitude is not.</w:t>
      </w:r>
    </w:p>
    <w:p>
      <w:pPr>
        <w:pStyle w:val="BodyText"/>
      </w:pPr>
      <w:r>
        <w:t xml:space="preserve">Under the broad offer definition, which additionally credits a stated scheduling timeframe, the same contrasts attenuated to OR 0.31 (0.08-1.25) and OR 0.29 (0.06-1.27). The dependence of the estimate on the outcome definition is material and is discussed below.</w:t>
      </w:r>
    </w:p>
    <w:p>
      <w:pPr>
        <w:pStyle w:val="TableCaption"/>
      </w:pPr>
      <w:r>
        <w:t xml:space="preserve">Table 3. Within-practice matched paired appointment-offer analysis. Only discordant practices contribute information.</w:t>
      </w:r>
    </w:p>
    <w:tbl>
      <w:tblPr>
        <w:tblStyle w:val="Table"/>
        <w:tblW w:type="pct" w:w="5000"/>
        <w:tblLayout w:type="fixed"/>
        <w:tblLook w:firstRow="1" w:lastRow="0" w:firstColumn="0" w:lastColumn="0" w:noHBand="0" w:noVBand="0" w:val="0020"/>
        <w:tblCaption w:val="Table 3. Within-practice matched paired appointment-offer analysis.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21</w:t>
            </w:r>
          </w:p>
        </w:tc>
        <w:tc>
          <w:tcPr/>
          <w:p>
            <w:pPr>
              <w:pStyle w:val="Compact"/>
              <w:jc w:val="right"/>
            </w:pPr>
            <w:r>
              <w:t xml:space="preserve">19</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21</w:t>
            </w:r>
          </w:p>
        </w:tc>
        <w:tc>
          <w:tcPr/>
          <w:p>
            <w:pPr>
              <w:pStyle w:val="Compact"/>
              <w:jc w:val="right"/>
            </w:pPr>
            <w:r>
              <w:t xml:space="preserve">13</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offer rate were: Straight vs Single Mother +31.2 percentage points (95% CI +2.7 to +59.8; n = 16 practices); Lesbian vs Single Mother -9.5 percentage points (95% CI -22.1 to +3.0; n = 21 practices); Straight vs Lesbian +38.1 percentage points (95% CI +17.3 to +58.9; n = 21 practices). Practices treated callers identically in 69%-77% of paired reachability comparisons.</w:t>
      </w:r>
    </w:p>
    <w:bookmarkEnd w:id="21"/>
    <w:bookmarkStart w:id="22" w:name="caller-assignment"/>
    <w:p>
      <w:pPr>
        <w:pStyle w:val="Heading3"/>
      </w:pPr>
      <w:r>
        <w:t xml:space="preserve">Caller Assignment</w:t>
      </w:r>
    </w:p>
    <w:p>
      <w:pPr>
        <w:pStyle w:val="FirstParagraph"/>
      </w:pPr>
      <w:r>
        <w:t xml:space="preserve">Scenarios were not randomized across callers (Table 4). Caller identity was strongly associated with scenario (Cramér’s V = 0.66), and per-caller offer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Table 4. Concentration of each scenario arm in a single caller.</w:t>
      </w:r>
    </w:p>
    <w:tbl>
      <w:tblPr>
        <w:tblStyle w:val="Table"/>
        <w:tblW w:type="pct" w:w="5000"/>
        <w:tblLayout w:type="fixed"/>
        <w:tblLook w:firstRow="1" w:lastRow="0" w:firstColumn="0" w:lastColumn="0" w:noHBand="0" w:noVBand="0" w:val="0020"/>
        <w:tblCaption w:val="Table 4.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Caller D</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Caller C</w:t>
            </w:r>
          </w:p>
        </w:tc>
        <w:tc>
          <w:tcPr/>
          <w:p>
            <w:pPr>
              <w:pStyle w:val="Compact"/>
              <w:jc w:val="left"/>
            </w:pPr>
            <w:r>
              <w:t xml:space="preserve">38 (51.4%)</w:t>
            </w:r>
          </w:p>
        </w:tc>
      </w:tr>
    </w:tbl>
    <w:bookmarkEnd w:id="22"/>
    <w:bookmarkStart w:id="23"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0.48-1.43) for lesbian couples and 0.82 (95% CI 0.47-1.43)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23"/>
    <w:bookmarkEnd w:id="24"/>
    <w:bookmarkStart w:id="31" w:name="discussion"/>
    <w:p>
      <w:pPr>
        <w:pStyle w:val="Heading2"/>
      </w:pPr>
      <w:r>
        <w:t xml:space="preserve">DISCUSSION</w:t>
      </w:r>
    </w:p>
    <w:bookmarkStart w:id="25" w:name="principal-findings"/>
    <w:p>
      <w:pPr>
        <w:pStyle w:val="Heading3"/>
      </w:pPr>
      <w:r>
        <w:t xml:space="preserve">Principal Findings</w:t>
      </w:r>
    </w:p>
    <w:p>
      <w:pPr>
        <w:pStyle w:val="FirstParagraph"/>
      </w:pPr>
      <w:r>
        <w:t xml:space="preserve">This national secret-shopper audit produced one well-powered finding and one hypothesis-generating signal.</w:t>
      </w:r>
    </w:p>
    <w:p>
      <w:pPr>
        <w:pStyle w:val="BodyText"/>
      </w:pPr>
      <w:r>
        <w:t xml:space="preserve">The well-powered finding is structural. RRM practice service menus almost universally include cycle tracking (94.9% (95% CI 88.6-97.8%; 93/98)) while rarely including IUI (1.0% (95% CI 0.2-5.6%; 1/98)), IVF (1.0% (95% CI 0.2-5.6%; 1/98)), or donor sperm care (3.1% (95% CI 1.0-8.6%; 3/98)). For single mothers and same-sex female couples, whose path to pregnancy clinically requires donor sperm or IUI/IVF, the absence of these services is a barrier to care that operates independently of any staff attitude or scheduling decision.[9-12] This result rests on directly observed service responses, not on a derived outcome, and is unaffected by how calls were assigned to callers.</w:t>
      </w:r>
    </w:p>
    <w:p>
      <w:pPr>
        <w:pStyle w:val="BodyText"/>
      </w:pPr>
      <w:r>
        <w:t xml:space="preserve">The hypothesis-generating signal is that appointment-offer rates differed across caller scenarios in the observed direction of disadvantage for lesbian couples and single mothers. We do not present this as an established effect, for the reasons below.</w:t>
      </w:r>
    </w:p>
    <w:bookmarkEnd w:id="25"/>
    <w:bookmarkStart w:id="26" w:name="Xecf657d030bd5450b06596884444b25f28afab5"/>
    <w:p>
      <w:pPr>
        <w:pStyle w:val="Heading3"/>
      </w:pPr>
      <w:r>
        <w:t xml:space="preserve">Why the Offer Difference Is Not Yet a Finding</w:t>
      </w:r>
    </w:p>
    <w:p>
      <w:pPr>
        <w:pStyle w:val="FirstParagraph"/>
      </w:pPr>
      <w:r>
        <w:t xml:space="preserve">Three features of the design prevent a causal reading.</w:t>
      </w:r>
    </w:p>
    <w:p>
      <w:pPr>
        <w:pStyle w:val="BodyText"/>
      </w:pPr>
      <w:r>
        <w:t xml:space="preserve">First, the outcome is a proxy. The instrument recorded no explicit</w:t>
      </w:r>
      <w:r>
        <w:t xml:space="preserve"> </w:t>
      </w:r>
      <w:r>
        <w:t xml:space="preserve">“did the practice agree to schedule you?”</w:t>
      </w:r>
      <w:r>
        <w:t xml:space="preserve"> </w:t>
      </w:r>
      <w:r>
        <w:t xml:space="preserve">item, so an offer had to be inferred from whether an appointment date was written down. A call in which staff offered an appointment that the caller did not date is scored as a refusal. When the definition is broadened to credit a concrete scheduling timeframe, the contrasts attenuate substantially (OR 0.04 (0.01-0.28) to OR 0.31 (0.08-1.25) for lesbian couples). An effect that moves this much with the coding rule is not yet separable from a documentation artifact.</w:t>
      </w:r>
    </w:p>
    <w:p>
      <w:pPr>
        <w:pStyle w:val="BodyText"/>
      </w:pPr>
      <w:r>
        <w:t xml:space="preserve">Second, caller and scenario are confounded. Callers were not randomized across scenarios; each arm was dominated by a small number of callers (Table 4; Cramér’s V = 0.66), and per-caller offer rates ranged widely. Because the paired within-practice design compares scenarios that were dialed by different people, matching removes practice-level confounding but not caller-level confounding. In a model adjusting for caller, the scenario standard errors inflate to the point of non-identifiability, which is itself the evidence that the two cannot be separated in these data.</w:t>
      </w:r>
    </w:p>
    <w:p>
      <w:pPr>
        <w:pStyle w:val="BodyText"/>
      </w:pPr>
      <w:r>
        <w:t xml:space="preserve">Third, the matched analysis is underpowered. Discordant practices number 7, 2, 8 across the three contrasts, giving minimum detectable effects of OR 8.1 to OR 9.0 at 80% power. Plausible audit-study effects are well below this floor.</w:t>
      </w:r>
    </w:p>
    <w:bookmarkEnd w:id="26"/>
    <w:bookmarkStart w:id="27" w:name="X4eb1280e53c4cda37e7fca3aeb4a1b6bed0e432"/>
    <w:p>
      <w:pPr>
        <w:pStyle w:val="Heading3"/>
      </w:pPr>
      <w:r>
        <w:t xml:space="preserve">Methodological Implications for Audit Studies</w:t>
      </w:r>
    </w:p>
    <w:p>
      <w:pPr>
        <w:pStyle w:val="FirstParagraph"/>
      </w:pPr>
      <w:r>
        <w:t xml:space="preserve">Two design lessons generalize.[3,7] Reaching a live office and being offered an appointment are distinct constructs with different denominators; collapsing them into a single</w:t>
      </w:r>
      <w:r>
        <w:t xml:space="preserve"> </w:t>
      </w:r>
      <w:r>
        <w:t xml:space="preserve">“acceptance”</w:t>
      </w:r>
      <w:r>
        <w:t xml:space="preserve"> </w:t>
      </w:r>
      <w:r>
        <w:t xml:space="preserve">variable makes the analytic inclusion criterion and the outcome the same measurement, which forces acceptance to 100% within the analytic sample and discards stated refusals — the only unambiguous negative outcomes. Reporting the cascade stage by stage avoids this. Separately, an audit design that assigns caller identity non-randomly across the very conditions it means to contrast cannot recover the contrast, regardless of how sophisticated the within-unit matching is; caller assignment should be randomized or blocked at design time.</w:t>
      </w:r>
    </w:p>
    <w:bookmarkEnd w:id="27"/>
    <w:bookmarkStart w:id="28" w:name="strengths-and-limitations"/>
    <w:p>
      <w:pPr>
        <w:pStyle w:val="Heading3"/>
      </w:pPr>
      <w:r>
        <w:t xml:space="preserve">Strengths and Limitations</w:t>
      </w:r>
    </w:p>
    <w:p>
      <w:pPr>
        <w:pStyle w:val="FirstParagraph"/>
      </w:pPr>
      <w:r>
        <w:t xml:space="preserve">Strengths include the national scope, the within-practice design, business-day calendar modeling, and explicit cascade reporting with stage-specific denominators.</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offer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28"/>
    <w:bookmarkStart w:id="29" w:name="recommendations-for-the-next-wave"/>
    <w:p>
      <w:pPr>
        <w:pStyle w:val="Heading3"/>
      </w:pPr>
      <w:r>
        <w:t xml:space="preserve">Recommendations for the Next Wave</w:t>
      </w:r>
    </w:p>
    <w:p>
      <w:pPr>
        <w:pStyle w:val="FirstParagraph"/>
      </w:pPr>
      <w:r>
        <w:t xml:space="preserve">Adding an explicit appointment-offer item to the data-collection instrument,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already in the instrument are the only directly measured discrimination item; their coding is currently ambiguous and should be adjudicated against the codebook before use.</w:t>
      </w:r>
    </w:p>
    <w:bookmarkEnd w:id="29"/>
    <w:bookmarkStart w:id="30"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30"/>
    <w:bookmarkEnd w:id="31"/>
    <w:bookmarkStart w:id="32"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2026-09-05T01:33:10Z</dcterms:created>
  <dcterms:modified xsi:type="dcterms:W3CDTF">2026-09-05T01:33:10Z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