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5" w:name="sources-and-methods"/>
    <w:p>
      <w:pPr>
        <w:pStyle w:val="Heading2"/>
      </w:pPr>
      <w:r>
        <w:t xml:space="preserve">SOURCES AND METHODS</w:t>
      </w:r>
    </w:p>
    <w:bookmarkStart w:id="22"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22"/>
    <w:bookmarkStart w:id="23"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23"/>
    <w:bookmarkStart w:id="24"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are reported alongside every paired contrast and were OR 30.9 to OR 35.4; one of the three contrasts has no attainable minimum detectable effect, the discordant count being too small for the exact test to reject at any effect size. These are computed from the exact rejection region of the binomial test rather than from a normal approximation, which at this many discordant pairs overstates power roughly twofold.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4"/>
    <w:bookmarkEnd w:id="25"/>
    <w:bookmarkStart w:id="40" w:name="results"/>
    <w:p>
      <w:pPr>
        <w:pStyle w:val="Heading2"/>
      </w:pPr>
      <w:r>
        <w:t xml:space="preserve">RESULTS</w:t>
      </w:r>
    </w:p>
    <w:bookmarkStart w:id="29"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27" name="Picture"/>
            <a:graphic>
              <a:graphicData uri="http://schemas.openxmlformats.org/drawingml/2006/picture">
                <pic:pic>
                  <pic:nvPicPr>
                    <pic:cNvPr descr="labubu_mysterycall_manuscript_files/mysterycall_outputs/figures/fig5_service_forest.png" id="28" name="Picture"/>
                    <pic:cNvPicPr>
                      <a:picLocks noChangeArrowheads="1" noChangeAspect="1"/>
                    </pic:cNvPicPr>
                  </pic:nvPicPr>
                  <pic:blipFill>
                    <a:blip r:embed="rId26"/>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30.9 to OR 35.4;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30.9</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None attainable</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35.4</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7"/>
    <w:bookmarkStart w:id="38"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38"/>
    <w:bookmarkStart w:id="39"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9"/>
    <w:bookmarkEnd w:id="40"/>
    <w:bookmarkStart w:id="47" w:name="discussion"/>
    <w:p>
      <w:pPr>
        <w:pStyle w:val="Heading2"/>
      </w:pPr>
      <w:r>
        <w:t xml:space="preserve">DISCUSSION</w:t>
      </w:r>
    </w:p>
    <w:bookmarkStart w:id="41"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1"/>
    <w:bookmarkStart w:id="42"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30.9 to OR 35.4. Audit-study effects of interest are far below that floor. For the Lesbian couple versus Single mother contrast in particular, the number of discordant practices is small enough that the exact test cannot return a significant result at any effect size. It is more informative to state what the data exclude than what they fail to detect. The paired differences in inferred availability were +31 percentage points (95% CI -7 to +43) for straight couple versus single mother, -9 percentage points (95% CI -9 to +6) for lesbian couple versus single mother, and +42 percentage points (95% CI +11 to +42) for straight couple versus lesbian couple. The upper limit of each interval is the largest disadvantage compatible with these data, and in every case it is wide enough to contain effects that would matter clinically.</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 The magnitude of the caller contribution can be stated directly: in a variance-components model the proportion of outcome variance lying between callers rather than within them was 0.29 for reaching a live office, 0.31 for inferred appointment availability, and 0.36 for the business-day wait. Roughly a third of the variation in each outcome tracks who placed the call, which is the same order of magnitude as any scenario effect the study could detect.</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2"/>
    <w:bookmarkStart w:id="43"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43"/>
    <w:bookmarkStart w:id="44"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are detectable (OR 30.9 to OR 35.4; one of the three contrasts has no attainable minimum detectable effect, the discordant count being too small for the exact test to reject at any effect size).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44"/>
    <w:bookmarkStart w:id="45"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45"/>
    <w:bookmarkStart w:id="46"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6"/>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48"/>
    <w:bookmarkStart w:id="49"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Table S7.</w:t>
      </w:r>
      <w:r>
        <w:t xml:space="preserve"> </w:t>
      </w:r>
      <w:r>
        <w:t xml:space="preserve">Proportion of outcome variance attributable to the caller, as variance-component intraclass correlation coefficients.</w:t>
      </w:r>
    </w:p>
    <w:p>
      <w:pPr>
        <w:pStyle w:val="BodyText"/>
      </w:pPr>
      <w:r>
        <w:rPr>
          <w:b/>
          <w:bCs/>
        </w:rPr>
        <w:t xml:space="preserve">Appendix Table S8.</w:t>
      </w:r>
      <w:r>
        <w:t xml:space="preserve"> </w:t>
      </w:r>
      <w:r>
        <w:t xml:space="preserve">Paired differences in inferred appointment availability with the range of effects the data are compatible with.</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2026-09-05T17:06:24Z</dcterms:created>
  <dcterms:modified xsi:type="dcterms:W3CDTF">2026-09-05T17:06:24Z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