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never offer intrauterine insemination, in vitro fertilization, or donor sperm care, the services required to conceive without a male partner.</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8"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IUI, IVF, and whether the practice works with donor sperm. These are directly reported by staff in response to a standardized question,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w:t>
      </w:r>
    </w:p>
    <w:bookmarkEnd w:id="24"/>
    <w:bookmarkStart w:id="25"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5"/>
    <w:bookmarkStart w:id="26"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6"/>
    <w:bookmarkStart w:id="27"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7"/>
    <w:bookmarkEnd w:id="28"/>
    <w:bookmarkStart w:id="40" w:name="results"/>
    <w:p>
      <w:pPr>
        <w:pStyle w:val="Heading2"/>
      </w:pPr>
      <w:r>
        <w:t xml:space="preserve">RESULTS</w:t>
      </w:r>
    </w:p>
    <w:bookmarkStart w:id="29" w:name="X7c6f754733434d60a95bc7e273f19daed862ccc"/>
    <w:p>
      <w:pPr>
        <w:pStyle w:val="Heading3"/>
      </w:pPr>
      <w:r>
        <w:t xml:space="preserve">Reproductive Services Offered —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(Table 1).</w:t>
      </w:r>
    </w:p>
    <w:p>
      <w:pPr>
        <w:pStyle w:val="TableCaption"/>
      </w:pPr>
      <w:r>
        <w:t xml:space="preserve">Table 1. Reproductive services offered by RRM practices (N = 98 calls reaching staff).</w:t>
      </w:r>
    </w:p>
    <w:tbl>
      <w:tblPr>
        <w:tblStyle w:val="Table"/>
        <w:tblW w:type="auto" w:w="0"/>
        <w:tblLook w:firstRow="1" w:lastRow="0" w:firstColumn="0" w:lastColumn="0" w:noHBand="0" w:noVBand="0" w:val="0020"/>
        <w:tblCaption w:val="Table 1. Reproductiv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by 94.9% (95% CI 88.6-97.8%; 93/98) and hormonal laboratory monitoring by 63.3% (95% CI 53.4-72.1%; 62/98). Ovulation induction was offered by 11.2% (95% CI 6.4-19.0%; 11/98). IUI and IVF were each offered by 1.0% (95% CI 0.2-5.6%; 1/98) — a single practice in each case —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6"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CaptionedFigure"/>
      </w:pPr>
      <w:r>
        <w:drawing>
          <wp:inline>
            <wp:extent cx="5334000" cy="2933700"/>
            <wp:effectExtent b="0" l="0" r="0" t="0"/>
            <wp:docPr descr="Figure 2. STROBE flow by caller scenario. The three arms enter the cascade at comparable widths and leave at very different ones." title="" id="34" name="Picture"/>
            <a:graphic>
              <a:graphicData uri="http://schemas.openxmlformats.org/drawingml/2006/picture">
                <pic:pic>
                  <pic:nvPicPr>
                    <pic:cNvPr descr="labubu_mysterycall_manuscript_files/mysterycall_outputs/figures/fig0b_strobe_flow_by_scenario.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2. STROBE flow by caller scenario. The three arms enter the cascade at comparable widths and leave at very different ones.</w:t>
      </w:r>
    </w:p>
    <w:p>
      <w:pPr>
        <w:pStyle w:val="TableCaption"/>
      </w:pPr>
      <w:r>
        <w:t xml:space="preserve">Table 2. Access cascade by caller scenario. Each stage is nested within the preceding one.</w:t>
      </w:r>
    </w:p>
    <w:tbl>
      <w:tblPr>
        <w:tblStyle w:val="Table"/>
        <w:tblW w:type="pct" w:w="5000"/>
        <w:tblLayout w:type="fixed"/>
        <w:tblLook w:firstRow="1" w:lastRow="0" w:firstColumn="0" w:lastColumn="0" w:noHBand="0" w:noVBand="0" w:val="0020"/>
        <w:tblCaption w:val="Table 2.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6"/>
    <w:bookmarkStart w:id="37"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8.1 to OR 9.0;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3.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3.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7"/>
    <w:bookmarkStart w:id="38"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Appendix Table S1. Concentration of each scenario arm in a single caller.</w:t>
      </w:r>
    </w:p>
    <w:tbl>
      <w:tblPr>
        <w:tblStyle w:val="Table"/>
        <w:tblW w:type="pct" w:w="5000"/>
        <w:tblLayout w:type="fixed"/>
        <w:tblLook w:firstRow="1" w:lastRow="0" w:firstColumn="0" w:lastColumn="0" w:noHBand="0" w:noVBand="0" w:val="0020"/>
        <w:tblCaption w:val="Appendix Table S1.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8"/>
    <w:bookmarkStart w:id="39"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9"/>
    <w:bookmarkEnd w:id="40"/>
    <w:bookmarkStart w:id="47" w:name="discussion"/>
    <w:p>
      <w:pPr>
        <w:pStyle w:val="Heading2"/>
      </w:pPr>
      <w:r>
        <w:t xml:space="preserve">DISCUSSION</w:t>
      </w:r>
    </w:p>
    <w:bookmarkStart w:id="41"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1"/>
    <w:bookmarkStart w:id="42"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 most practices treated callers alike — leaving 7, 2, 8 discordant practices across the three contrasts, with minimum detectable effects of OR 8.1 to OR 9.0.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 Lesbian couple versus Single mother, in which three callers placed calls under both —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2"/>
    <w:bookmarkStart w:id="43"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monitoring.[8,9] For patients whose path to pregnancy requires donor gametes or ART, the absence of those services is a primary structural barrier to care, independent of staff attitudes.[9-12] Our estimates place that absence at approximately one practice in a hundred for IUI and IVF.</w:t>
      </w:r>
    </w:p>
    <w:bookmarkEnd w:id="43"/>
    <w:bookmarkStart w:id="44"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4"/>
    <w:bookmarkStart w:id="45"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5"/>
    <w:bookmarkStart w:id="46"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6"/>
    <w:bookmarkEnd w:id="47"/>
    <w:bookmarkStart w:id="48"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2026-09-05T12:16:00Z</dcterms:created>
  <dcterms:modified xsi:type="dcterms:W3CDTF">2026-09-05T12:16:00Z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