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rPr>
          <w:b/>
          <w:bCs/>
        </w:rPr>
        <w:t xml:space="preserve">Relation to prior designs.</w:t>
      </w:r>
      <w:r>
        <w:t xml:space="preserve"> </w:t>
      </w:r>
      <w:r>
        <w:t xml:space="preserve">The closest published approach is the IntoValue</w:t>
      </w:r>
      <w:r>
        <w:t xml:space="preserve"> </w:t>
      </w:r>
      <w:r>
        <w:t xml:space="preserve">programme, which followed registered clinical trials to their results</w:t>
      </w:r>
      <w:r>
        <w:t xml:space="preserve"> </w:t>
      </w:r>
      <w:r>
        <w:t xml:space="preserve">publications and identified publications for 68.4% of trials (Wieschowski and</w:t>
      </w:r>
      <w:r>
        <w:t xml:space="preserve"> </w:t>
      </w:r>
      <w:r>
        <w:t xml:space="preserve">colleagues; data and analysis code at github.com/maia-sh/intovalue-data and</w:t>
      </w:r>
      <w:r>
        <w:t xml:space="preserve"> </w:t>
      </w:r>
      <w:r>
        <w:t xml:space="preserve">github.com/quest-bih/IntoValue2). That design can anchor its matching on a</w:t>
      </w:r>
      <w:r>
        <w:t xml:space="preserve"> </w:t>
      </w:r>
      <w:r>
        <w:t xml:space="preserve">persistent identifier: a registered trial carries a trial registration number,</w:t>
      </w:r>
      <w:r>
        <w:t xml:space="preserve"> </w:t>
      </w:r>
      <w:r>
        <w:t xml:space="preserve">and IntoValue was able to report how often that number appears in the</w:t>
      </w:r>
      <w:r>
        <w:t xml:space="preserve"> </w:t>
      </w:r>
      <w:r>
        <w:t xml:space="preserve">publication itself (38% in abstracts, 60% in full text), turning the link</w:t>
      </w:r>
      <w:r>
        <w:t xml:space="preserve"> </w:t>
      </w:r>
      <w:r>
        <w:t xml:space="preserve">between record and paper into a checkable fact.</w:t>
      </w:r>
    </w:p>
    <w:p>
      <w:pPr>
        <w:pStyle w:val="BodyText"/>
      </w:pPr>
      <w:r>
        <w:t xml:space="preserve">No such identifier exists here. A congress abstract published in a journal</w:t>
      </w:r>
      <w:r>
        <w:t xml:space="preserve"> </w:t>
      </w:r>
      <w:r>
        <w:t xml:space="preserve">supplement carries a DOI for the supplement item, but that identifier does not</w:t>
      </w:r>
      <w:r>
        <w:t xml:space="preserve"> </w:t>
      </w:r>
      <w:r>
        <w:t xml:space="preserve">propagate into the subsequent full publication, and the AAGL programme assigns</w:t>
      </w:r>
      <w:r>
        <w:t xml:space="preserve"> </w:t>
      </w:r>
      <w:r>
        <w:t xml:space="preserve">no persistent study identifier that both documents share. Abstract and article</w:t>
      </w:r>
      <w:r>
        <w:t xml:space="preserve"> </w:t>
      </w:r>
      <w:r>
        <w:t xml:space="preserve">are therefore linked only by their content: title, authors, institution,</w:t>
      </w:r>
      <w:r>
        <w:t xml:space="preserve"> </w:t>
      </w:r>
      <w:r>
        <w:t xml:space="preserve">journal and date. That is why this study uses a weighted multi-component</w:t>
      </w:r>
      <w:r>
        <w:t xml:space="preserve"> </w:t>
      </w:r>
      <w:r>
        <w:t xml:space="preserve">similarity score with a Cochrane-aligned classification and human adjudication</w:t>
      </w:r>
      <w:r>
        <w:t xml:space="preserve"> </w:t>
      </w:r>
      <w:r>
        <w:t xml:space="preserve">of the ambiguous band, rather than an identifier join. It is a heavier</w:t>
      </w:r>
      <w:r>
        <w:t xml:space="preserve"> </w:t>
      </w:r>
      <w:r>
        <w:t xml:space="preserve">procedure than IntoValue’s, and it is heavier because the identifier that would</w:t>
      </w:r>
      <w:r>
        <w:t xml:space="preserve"> </w:t>
      </w:r>
      <w:r>
        <w:t xml:space="preserve">make it lighter does not exist for conference abstracts.</w:t>
      </w:r>
    </w:p>
    <w:p>
      <w:pPr>
        <w:pStyle w:val="BodyText"/>
      </w:pPr>
      <w:r>
        <w:t xml:space="preserve">The consequence is that matching is a measurement with error rather than a</w:t>
      </w:r>
      <w:r>
        <w:t xml:space="preserve"> </w:t>
      </w:r>
      <w:r>
        <w:t xml:space="preserve">lookup, and it is reported as such: classification tiers, adjudication</w:t>
      </w:r>
      <w:r>
        <w:t xml:space="preserve"> </w:t>
      </w:r>
      <w:r>
        <w:t xml:space="preserve">decisions and the sensitivity of the headline rate to the matching threshold</w:t>
      </w:r>
      <w:r>
        <w:t xml:space="preserve"> </w:t>
      </w:r>
      <w:r>
        <w:t xml:space="preserve">are all reported below and in the supplementary materials.</w:t>
      </w:r>
    </w:p>
    <w:p>
      <w:pPr>
        <w:pStyle w:val="BodyText"/>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 defined throughout as the</w:t>
      </w:r>
      <w:r>
        <w:t xml:space="preserve"> </w:t>
      </w:r>
      <w:r>
        <w:rPr>
          <w:b/>
          <w:bCs/>
        </w:rPr>
        <w:t xml:space="preserve">print issue date</w:t>
      </w:r>
      <w:r>
        <w:t xml:space="preserve"> </w:t>
      </w:r>
      <w:r>
        <w:t xml:space="preserve">recorded in PubMed (</w:t>
      </w:r>
      <w:r>
        <w:rPr>
          <w:rStyle w:val="VerbatimChar"/>
        </w:rPr>
        <w:t xml:space="preserve">JournalIssue/PubDate</w:t>
      </w:r>
      <w:r>
        <w:t xml:space="preserve">). Articles released online ahead of print were dated to their print issue rather than to their electronic release, and issue dates given only to the month were resolved to the first of that month. The same date determines whether a publication preceded its congress and is therefore ineligible to count as a conference-to-publication conversion.</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31.1% (2022),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170 of 170), the median time from conference presentation to full publication was 13.6 months (IQR 5.7-22.4).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(p=0.043), attributable to author count; every other covariate satisfied proportional hazards. The author count effect was therefore refitted with a log-time interaction, under which the hazard ratio rose from 1.00 (95% CI 0.83-1.21) at 3 months to 1.51 (95% CI 1.24-1.83) at 24 months, so the single hazard ratio reported for it in the main model is an average over follow-up rather than a constant. Significant predictors of publication velocity were randomized design (HR 2.17, 95% CI 1.45-3.25, p&lt;0.001); academic affiliation (HR 0.65, 95% CI 0.46-0.91, p=0.013); author count (HR 1.25, 95% CI 1.09-1.44, p=0.002). The remaining covariates – US-based affiliation, inferred male first author, multicenter conduct – were not significant. In logistic regression, US-based affiliation was not significantly associated with the odds of publication (OR 1.54, 95% CI 0.91-2.7, p=0.115).</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(88.5%),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2026-09-05T16:09:17Z</dcterms:created>
  <dcterms:modified xsi:type="dcterms:W3CDTF">2026-09-05T16:09:17Z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