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9"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9"/>
    <w:bookmarkStart w:id="20" w:name="materials-and-methods"/>
    <w:p>
      <w:pPr>
        <w:pStyle w:val="Heading2"/>
      </w:pPr>
      <w:r>
        <w:t xml:space="preserve">Materials and Methods</w:t>
      </w:r>
    </w:p>
    <w:bookmarkStart w:id="10"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10"/>
    <w:bookmarkStart w:id="11"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11"/>
    <w:bookmarkStart w:id="12"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community,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12"/>
    <w:bookmarkStart w:id="13"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13"/>
    <w:bookmarkStart w:id="14"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14"/>
    <w:bookmarkStart w:id="15"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15"/>
    <w:bookmarkStart w:id="16"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16"/>
    <w:bookmarkStart w:id="17"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w:t>
      </w:r>
    </w:p>
    <w:bookmarkEnd w:id="17"/>
    <w:bookmarkStart w:id="19"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18">
        <w:r>
          <w:rPr>
            <w:rStyle w:val="Hyperlink"/>
          </w:rPr>
          <w:t xml:space="preserve">https://github.com/mufflyt/abstract_lifetime</w:t>
        </w:r>
      </w:hyperlink>
      <w:r>
        <w:t xml:space="preserve">.</w:t>
      </w:r>
    </w:p>
    <w:bookmarkEnd w:id="19"/>
    <w:bookmarkEnd w:id="20"/>
    <w:bookmarkStart w:id="28" w:name="results"/>
    <w:p>
      <w:pPr>
        <w:pStyle w:val="Heading2"/>
      </w:pPr>
      <w:r>
        <w:t xml:space="preserve">Results</w:t>
      </w:r>
    </w:p>
    <w:bookmarkStart w:id="21"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(112, 10.1%), randomized controlled trial (71, 6.4%), and prospective cohort (52, 4.7%).</w:t>
      </w:r>
    </w:p>
    <w:p>
      <w:pPr>
        <w:pStyle w:val="BodyText"/>
      </w:pPr>
      <w:r>
        <w:t xml:space="preserve">Of the 1106 abstracts, 276 (25%) reported numeric results (p-values, odds ratios, or effect sizes), 23 (2.1%) utilized national administrative databases (NSQIP, NIS, SEER, NCDB, or equivalent), 43 (3.9%) disclosed industry involvement, 11 (1%) reported a trial registration number, and 11 (1%) included an IRB or ethics committee statement.</w:t>
      </w:r>
    </w:p>
    <w:p>
      <w:pPr>
        <w:pStyle w:val="BodyText"/>
      </w:pPr>
      <w:r>
        <w:t xml:space="preserve">Among 0 first authors with gender data (0% coverage), 0 (NaN%) were female and 0 (NaN%) were male. The majority of presentations originated from academic medical centers (662, 92.3%), with community hospitals (26), research institutes (15), military/VA facilities (9), and private practices (5) comprising the remainder.</w:t>
      </w:r>
    </w:p>
    <w:bookmarkEnd w:id="21"/>
    <w:bookmarkStart w:id="22"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75 abstracts (6.8%) were classified as definite matches and 229 (20.7%) as probable matches. In sensitivity analysis, the combined definite-plus-probable publication rate was 27.7%, consistent with the Cochrane pooled estimate of 37.3% (Scherer et al., 2018). An additional 35 abstracts (3.2%) were excluded as pre-conference publications. The matching algorithm demonstrated 100% sensitivity and 69.4% specificity against a manually verified gold standard of 50 abstracts.</w:t>
      </w:r>
    </w:p>
    <w:p>
      <w:pPr>
        <w:pStyle w:val="BodyText"/>
      </w:pPr>
      <w:r>
        <w:t xml:space="preserve">Publication rates varied by congress year, ranging from 1.2% (2017) to 33.3% (2023), with a trend toward higher rates in more recent years where follow-up may be incomplete.</w:t>
      </w:r>
    </w:p>
    <w:bookmarkEnd w:id="22"/>
    <w:bookmarkStart w:id="23" w:name="time-to-publication"/>
    <w:p>
      <w:pPr>
        <w:pStyle w:val="Heading3"/>
      </w:pPr>
      <w:r>
        <w:t xml:space="preserve">Time to Publication</w:t>
      </w:r>
    </w:p>
    <w:p>
      <w:pPr>
        <w:pStyle w:val="FirstParagraph"/>
      </w:pPr>
      <w:r>
        <w:t xml:space="preserve">Among definite matches, the median time from conference presentation to full publication was 10.8 months (IQR 3.8-16.7). Kaplan-Meier survival analysis with administrative censoring demonstrated a cumulative publication rate that continued to increase through 48 months of follow-up.</w:t>
      </w:r>
    </w:p>
    <w:bookmarkEnd w:id="23"/>
    <w:bookmarkStart w:id="24" w:name="predictors-of-publication"/>
    <w:p>
      <w:pPr>
        <w:pStyle w:val="Heading3"/>
      </w:pPr>
      <w:r>
        <w:t xml:space="preserve">Predictors of Publication</w:t>
      </w:r>
    </w:p>
    <w:p>
      <w:pPr>
        <w:pStyle w:val="FirstParagraph"/>
      </w:pPr>
      <w:r>
        <w:t xml:space="preserve">In multivariable Cox proportional hazards analysis (proportional hazards assumption met, global p=0.193), US-based affiliation was the only significant predictor of publication velocity (HR 2.65, 95% CI 1.37-5.11, p=0.004). In logistic regression, US-based affiliation was similarly associated with higher odds of publication (OR 3.06, 95% CI 1.56-6.32, p=0.002). Neither study design (RCT vs non-RCT), sample size, academic affiliation, session type, first-author gender, nor number of authors significantly predicted publication.</w:t>
      </w:r>
    </w:p>
    <w:bookmarkEnd w:id="24"/>
    <w:bookmarkStart w:id="25" w:name="publication-bias"/>
    <w:p>
      <w:pPr>
        <w:pStyle w:val="Heading3"/>
      </w:pPr>
      <w:r>
        <w:t xml:space="preserve">Publication Bias</w:t>
      </w:r>
    </w:p>
    <w:p>
      <w:pPr>
        <w:pStyle w:val="FirstParagraph"/>
      </w:pPr>
      <w:r>
        <w:t xml:space="preserve">Among abstracts with classifiable result direction, positive results were published at 21.1% compared to 27.3% for negative results (OR 0.71, p&gt;0.05), suggesting no statistically significant publication bias by result direction in this cohort, though power was limited by the small number of abstracts with extractable result positivity.</w:t>
      </w:r>
    </w:p>
    <w:bookmarkEnd w:id="25"/>
    <w:bookmarkStart w:id="26" w:name="subspecialty-variation"/>
    <w:p>
      <w:pPr>
        <w:pStyle w:val="Heading3"/>
      </w:pPr>
      <w:r>
        <w:t xml:space="preserve">Subspecialty Variation</w:t>
      </w:r>
    </w:p>
    <w:p>
      <w:pPr>
        <w:pStyle w:val="FirstParagraph"/>
      </w:pPr>
      <w:r>
        <w:t xml:space="preserve">Publication rates varied by subspecialty division: general OB/GYN (25.2%), female pelvic medicine and reconstructive surgery (23.8%), and minimally invasive gynecologic surgery (18.8%) demonstrated the highest rates. Published abstracts accrued a median of citations.</w:t>
      </w:r>
    </w:p>
    <w:bookmarkEnd w:id="26"/>
    <w:bookmarkStart w:id="27" w:name="abstract-to-publication-fidelity"/>
    <w:p>
      <w:pPr>
        <w:pStyle w:val="Heading3"/>
      </w:pPr>
      <w:r>
        <w:t xml:space="preserve">Abstract-to-Publication Fidelity</w:t>
      </w:r>
    </w:p>
    <w:p>
      <w:pPr>
        <w:pStyle w:val="FirstParagraph"/>
      </w:pPr>
      <w:r>
        <w:t xml:space="preserve">Among matched abstract-publication pairs, 76% had substantial title changes (Jaccard similarity &lt;0.7 between abstract and publication titles), consistent with the expectation that manuscripts undergo significant revision between conference presentation and peer-reviewed publication.</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2026-04-18T00:23:06Z</dcterms:created>
  <dcterms:modified xsi:type="dcterms:W3CDTF">2026-04-18T00:23:06Z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