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07,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64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no PubMed XML cache in this checkout (gitignored); no ScienceDirect HTML cache in this checkout (gitignored)</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no ScienceDirect HTML cache in this checkout (gitignored).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(no PubMed XML cache in this checkout (gitignored)).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170</w:t>
            </w:r>
          </w:p>
        </w:tc>
        <w:tc>
          <w:tcPr/>
          <w:p>
            <w:pPr>
              <w:pStyle w:val="Compact"/>
              <w:jc w:val="right"/>
            </w:pPr>
            <w:r>
              <w:t xml:space="preserve">16.2</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71</w:t>
            </w:r>
          </w:p>
        </w:tc>
        <w:tc>
          <w:tcPr/>
          <w:p>
            <w:pPr>
              <w:pStyle w:val="Compact"/>
              <w:jc w:val="right"/>
            </w:pPr>
            <w:r>
              <w:t xml:space="preserve">6.8</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132</w:t>
            </w:r>
          </w:p>
        </w:tc>
        <w:tc>
          <w:tcPr/>
          <w:p>
            <w:pPr>
              <w:pStyle w:val="Compact"/>
              <w:jc w:val="right"/>
            </w:pPr>
            <w:r>
              <w:t xml:space="preserve">12.6</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136</w:t>
            </w:r>
          </w:p>
        </w:tc>
        <w:tc>
          <w:tcPr/>
          <w:p>
            <w:pPr>
              <w:pStyle w:val="Compact"/>
              <w:jc w:val="right"/>
            </w:pPr>
            <w:r>
              <w:t xml:space="preserve">13.7</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118</w:t>
            </w:r>
          </w:p>
        </w:tc>
        <w:tc>
          <w:tcPr/>
          <w:p>
            <w:pPr>
              <w:pStyle w:val="Compact"/>
              <w:jc w:val="right"/>
            </w:pPr>
            <w:r>
              <w:t xml:space="preserve">13.1</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2.00</w:t>
            </w:r>
          </w:p>
        </w:tc>
        <w:tc>
          <w:tcPr/>
          <w:p>
            <w:pPr>
              <w:pStyle w:val="Compact"/>
              <w:jc w:val="left"/>
            </w:pPr>
            <w:r>
              <w:t xml:space="preserve">1.34-2.98</w:t>
            </w:r>
          </w:p>
        </w:tc>
        <w:tc>
          <w:tcPr/>
          <w:p>
            <w:pPr>
              <w:pStyle w:val="Compact"/>
              <w:jc w:val="right"/>
            </w:pPr>
            <w:r>
              <w:t xml:space="preserve">0.001</w:t>
            </w:r>
          </w:p>
        </w:tc>
      </w:tr>
      <w:tr>
        <w:tc>
          <w:tcPr/>
          <w:p>
            <w:pPr>
              <w:pStyle w:val="Compact"/>
              <w:jc w:val="left"/>
            </w:pPr>
            <w:r>
              <w:t xml:space="preserve">is_academicTRUE</w:t>
            </w:r>
          </w:p>
        </w:tc>
        <w:tc>
          <w:tcPr/>
          <w:p>
            <w:pPr>
              <w:pStyle w:val="Compact"/>
              <w:jc w:val="right"/>
            </w:pPr>
            <w:r>
              <w:t xml:space="preserve">1.10</w:t>
            </w:r>
          </w:p>
        </w:tc>
        <w:tc>
          <w:tcPr/>
          <w:p>
            <w:pPr>
              <w:pStyle w:val="Compact"/>
              <w:jc w:val="left"/>
            </w:pPr>
            <w:r>
              <w:t xml:space="preserve">0.78-1.53</w:t>
            </w:r>
          </w:p>
        </w:tc>
        <w:tc>
          <w:tcPr/>
          <w:p>
            <w:pPr>
              <w:pStyle w:val="Compact"/>
              <w:jc w:val="right"/>
            </w:pPr>
            <w:r>
              <w:t xml:space="preserve">0.587</w:t>
            </w:r>
          </w:p>
        </w:tc>
      </w:tr>
      <w:tr>
        <w:tc>
          <w:tcPr/>
          <w:p>
            <w:pPr>
              <w:pStyle w:val="Compact"/>
              <w:jc w:val="left"/>
            </w:pPr>
            <w:r>
              <w:t xml:space="preserve">is_us_basedTRUE</w:t>
            </w:r>
          </w:p>
        </w:tc>
        <w:tc>
          <w:tcPr/>
          <w:p>
            <w:pPr>
              <w:pStyle w:val="Compact"/>
              <w:jc w:val="right"/>
            </w:pPr>
            <w:r>
              <w:t xml:space="preserve">0.79</w:t>
            </w:r>
          </w:p>
        </w:tc>
        <w:tc>
          <w:tcPr/>
          <w:p>
            <w:pPr>
              <w:pStyle w:val="Compact"/>
              <w:jc w:val="left"/>
            </w:pPr>
            <w:r>
              <w:t xml:space="preserve">0.57-1.08</w:t>
            </w:r>
          </w:p>
        </w:tc>
        <w:tc>
          <w:tcPr/>
          <w:p>
            <w:pPr>
              <w:pStyle w:val="Compact"/>
              <w:jc w:val="right"/>
            </w:pPr>
            <w:r>
              <w:t xml:space="preserve">0.136</w:t>
            </w:r>
          </w:p>
        </w:tc>
      </w:tr>
      <w:tr>
        <w:tc>
          <w:tcPr/>
          <w:p>
            <w:pPr>
              <w:pStyle w:val="Compact"/>
              <w:jc w:val="left"/>
            </w:pPr>
            <w:r>
              <w:t xml:space="preserve">n_authors</w:t>
            </w:r>
          </w:p>
        </w:tc>
        <w:tc>
          <w:tcPr/>
          <w:p>
            <w:pPr>
              <w:pStyle w:val="Compact"/>
              <w:jc w:val="right"/>
            </w:pPr>
            <w:r>
              <w:t xml:space="preserve">1.22</w:t>
            </w:r>
          </w:p>
        </w:tc>
        <w:tc>
          <w:tcPr/>
          <w:p>
            <w:pPr>
              <w:pStyle w:val="Compact"/>
              <w:jc w:val="left"/>
            </w:pPr>
            <w:r>
              <w:t xml:space="preserve">1.06-1.4</w:t>
            </w:r>
          </w:p>
        </w:tc>
        <w:tc>
          <w:tcPr/>
          <w:p>
            <w:pPr>
              <w:pStyle w:val="Compact"/>
              <w:jc w:val="right"/>
            </w:pPr>
            <w:r>
              <w:t xml:space="preserve">0.006</w:t>
            </w:r>
          </w:p>
        </w:tc>
      </w:tr>
      <w:tr>
        <w:tc>
          <w:tcPr/>
          <w:p>
            <w:pPr>
              <w:pStyle w:val="Compact"/>
              <w:jc w:val="left"/>
            </w:pPr>
            <w:r>
              <w:t xml:space="preserve">gender_unifiedmale</w:t>
            </w:r>
          </w:p>
        </w:tc>
        <w:tc>
          <w:tcPr/>
          <w:p>
            <w:pPr>
              <w:pStyle w:val="Compact"/>
              <w:jc w:val="right"/>
            </w:pPr>
            <w:r>
              <w:t xml:space="preserve">0.75</w:t>
            </w:r>
          </w:p>
        </w:tc>
        <w:tc>
          <w:tcPr/>
          <w:p>
            <w:pPr>
              <w:pStyle w:val="Compact"/>
              <w:jc w:val="left"/>
            </w:pPr>
            <w:r>
              <w:t xml:space="preserve">0.55-1.02</w:t>
            </w:r>
          </w:p>
        </w:tc>
        <w:tc>
          <w:tcPr/>
          <w:p>
            <w:pPr>
              <w:pStyle w:val="Compact"/>
              <w:jc w:val="right"/>
            </w:pPr>
            <w:r>
              <w:t xml:space="preserve">0.066</w:t>
            </w:r>
          </w:p>
        </w:tc>
      </w:tr>
      <w:tr>
        <w:tc>
          <w:tcPr/>
          <w:p>
            <w:pPr>
              <w:pStyle w:val="Compact"/>
              <w:jc w:val="left"/>
            </w:pPr>
            <w:r>
              <w:t xml:space="preserve">is_multicenterTRUE</w:t>
            </w:r>
          </w:p>
        </w:tc>
        <w:tc>
          <w:tcPr/>
          <w:p>
            <w:pPr>
              <w:pStyle w:val="Compact"/>
              <w:jc w:val="right"/>
            </w:pPr>
            <w:r>
              <w:t xml:space="preserve">1.36</w:t>
            </w:r>
          </w:p>
        </w:tc>
        <w:tc>
          <w:tcPr/>
          <w:p>
            <w:pPr>
              <w:pStyle w:val="Compact"/>
              <w:jc w:val="left"/>
            </w:pPr>
            <w:r>
              <w:t xml:space="preserve">0.79-2.34</w:t>
            </w:r>
          </w:p>
        </w:tc>
        <w:tc>
          <w:tcPr/>
          <w:p>
            <w:pPr>
              <w:pStyle w:val="Compact"/>
              <w:jc w:val="right"/>
            </w:pPr>
            <w:r>
              <w:t xml:space="preserve">0.265</w:t>
            </w:r>
          </w:p>
        </w:tc>
      </w:tr>
    </w:tbl>
    <w:p>
      <w:pPr>
        <w:pStyle w:val="BodyText"/>
      </w:pPr>
      <w:r>
        <w:t xml:space="preserve">Proportional hazards assumption: global test p = 0.01.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170 / 1,051 =</w:t>
      </w:r>
      <w:r>
        <w:t xml:space="preserve"> </w:t>
      </w:r>
      <w:r>
        <w:rPr>
          <w:b/>
          <w:bCs/>
        </w:rPr>
        <w:t xml:space="preserve">16.2%</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16.2, but the rate is computed on 1,051. A reader dividing the published count by the stated total obtains 15.4%, not 16.2%.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16.2%</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15.4%</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170 / 1,051 =</w:t>
      </w:r>
      <w:r>
        <w:t xml:space="preserve"> </w:t>
      </w:r>
      <w:r>
        <w:rPr>
          <w:b/>
          <w:bCs/>
        </w:rPr>
        <w:t xml:space="preserve">16.2%</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2.1249</w:t>
            </w:r>
          </w:p>
        </w:tc>
        <w:tc>
          <w:tcPr/>
          <w:p>
            <w:pPr>
              <w:pStyle w:val="Compact"/>
              <w:jc w:val="right"/>
            </w:pPr>
            <w:r>
              <w:t xml:space="preserve">1</w:t>
            </w:r>
          </w:p>
        </w:tc>
        <w:tc>
          <w:tcPr/>
          <w:p>
            <w:pPr>
              <w:pStyle w:val="Compact"/>
              <w:jc w:val="right"/>
            </w:pPr>
            <w:r>
              <w:t xml:space="preserve">0.1449</w:t>
            </w:r>
          </w:p>
        </w:tc>
      </w:tr>
      <w:tr>
        <w:tc>
          <w:tcPr/>
          <w:p>
            <w:pPr>
              <w:pStyle w:val="Compact"/>
              <w:jc w:val="left"/>
            </w:pPr>
            <w:r>
              <w:t xml:space="preserve">is_academic</w:t>
            </w:r>
          </w:p>
        </w:tc>
        <w:tc>
          <w:tcPr/>
          <w:p>
            <w:pPr>
              <w:pStyle w:val="Compact"/>
              <w:jc w:val="right"/>
            </w:pPr>
            <w:r>
              <w:t xml:space="preserve">3.3829</w:t>
            </w:r>
          </w:p>
        </w:tc>
        <w:tc>
          <w:tcPr/>
          <w:p>
            <w:pPr>
              <w:pStyle w:val="Compact"/>
              <w:jc w:val="right"/>
            </w:pPr>
            <w:r>
              <w:t xml:space="preserve">1</w:t>
            </w:r>
          </w:p>
        </w:tc>
        <w:tc>
          <w:tcPr/>
          <w:p>
            <w:pPr>
              <w:pStyle w:val="Compact"/>
              <w:jc w:val="right"/>
            </w:pPr>
            <w:r>
              <w:t xml:space="preserve">0.0659</w:t>
            </w:r>
          </w:p>
        </w:tc>
      </w:tr>
      <w:tr>
        <w:tc>
          <w:tcPr/>
          <w:p>
            <w:pPr>
              <w:pStyle w:val="Compact"/>
              <w:jc w:val="left"/>
            </w:pPr>
            <w:r>
              <w:t xml:space="preserve">is_us_based</w:t>
            </w:r>
          </w:p>
        </w:tc>
        <w:tc>
          <w:tcPr/>
          <w:p>
            <w:pPr>
              <w:pStyle w:val="Compact"/>
              <w:jc w:val="right"/>
            </w:pPr>
            <w:r>
              <w:t xml:space="preserve">7.8052</w:t>
            </w:r>
          </w:p>
        </w:tc>
        <w:tc>
          <w:tcPr/>
          <w:p>
            <w:pPr>
              <w:pStyle w:val="Compact"/>
              <w:jc w:val="right"/>
            </w:pPr>
            <w:r>
              <w:t xml:space="preserve">1</w:t>
            </w:r>
          </w:p>
        </w:tc>
        <w:tc>
          <w:tcPr/>
          <w:p>
            <w:pPr>
              <w:pStyle w:val="Compact"/>
              <w:jc w:val="right"/>
            </w:pPr>
            <w:r>
              <w:t xml:space="preserve">0.0052</w:t>
            </w:r>
          </w:p>
        </w:tc>
      </w:tr>
      <w:tr>
        <w:tc>
          <w:tcPr/>
          <w:p>
            <w:pPr>
              <w:pStyle w:val="Compact"/>
              <w:jc w:val="left"/>
            </w:pPr>
            <w:r>
              <w:t xml:space="preserve">n_authors</w:t>
            </w:r>
          </w:p>
        </w:tc>
        <w:tc>
          <w:tcPr/>
          <w:p>
            <w:pPr>
              <w:pStyle w:val="Compact"/>
              <w:jc w:val="right"/>
            </w:pPr>
            <w:r>
              <w:t xml:space="preserve">8.8748</w:t>
            </w:r>
          </w:p>
        </w:tc>
        <w:tc>
          <w:tcPr/>
          <w:p>
            <w:pPr>
              <w:pStyle w:val="Compact"/>
              <w:jc w:val="right"/>
            </w:pPr>
            <w:r>
              <w:t xml:space="preserve">1</w:t>
            </w:r>
          </w:p>
        </w:tc>
        <w:tc>
          <w:tcPr/>
          <w:p>
            <w:pPr>
              <w:pStyle w:val="Compact"/>
              <w:jc w:val="right"/>
            </w:pPr>
            <w:r>
              <w:t xml:space="preserve">0.0029</w:t>
            </w:r>
          </w:p>
        </w:tc>
      </w:tr>
      <w:tr>
        <w:tc>
          <w:tcPr/>
          <w:p>
            <w:pPr>
              <w:pStyle w:val="Compact"/>
              <w:jc w:val="left"/>
            </w:pPr>
            <w:r>
              <w:t xml:space="preserve">gender_unified</w:t>
            </w:r>
          </w:p>
        </w:tc>
        <w:tc>
          <w:tcPr/>
          <w:p>
            <w:pPr>
              <w:pStyle w:val="Compact"/>
              <w:jc w:val="right"/>
            </w:pPr>
            <w:r>
              <w:t xml:space="preserve">0.0008</w:t>
            </w:r>
          </w:p>
        </w:tc>
        <w:tc>
          <w:tcPr/>
          <w:p>
            <w:pPr>
              <w:pStyle w:val="Compact"/>
              <w:jc w:val="right"/>
            </w:pPr>
            <w:r>
              <w:t xml:space="preserve">1</w:t>
            </w:r>
          </w:p>
        </w:tc>
        <w:tc>
          <w:tcPr/>
          <w:p>
            <w:pPr>
              <w:pStyle w:val="Compact"/>
              <w:jc w:val="right"/>
            </w:pPr>
            <w:r>
              <w:t xml:space="preserve">0.9768</w:t>
            </w:r>
          </w:p>
        </w:tc>
      </w:tr>
      <w:tr>
        <w:tc>
          <w:tcPr/>
          <w:p>
            <w:pPr>
              <w:pStyle w:val="Compact"/>
              <w:jc w:val="left"/>
            </w:pPr>
            <w:r>
              <w:t xml:space="preserve">is_multicenter</w:t>
            </w:r>
          </w:p>
        </w:tc>
        <w:tc>
          <w:tcPr/>
          <w:p>
            <w:pPr>
              <w:pStyle w:val="Compact"/>
              <w:jc w:val="right"/>
            </w:pPr>
            <w:r>
              <w:t xml:space="preserve">0.3053</w:t>
            </w:r>
          </w:p>
        </w:tc>
        <w:tc>
          <w:tcPr/>
          <w:p>
            <w:pPr>
              <w:pStyle w:val="Compact"/>
              <w:jc w:val="right"/>
            </w:pPr>
            <w:r>
              <w:t xml:space="preserve">1</w:t>
            </w:r>
          </w:p>
        </w:tc>
        <w:tc>
          <w:tcPr/>
          <w:p>
            <w:pPr>
              <w:pStyle w:val="Compact"/>
              <w:jc w:val="right"/>
            </w:pPr>
            <w:r>
              <w:t xml:space="preserve">0.5806</w:t>
            </w:r>
          </w:p>
        </w:tc>
      </w:tr>
      <w:tr>
        <w:tc>
          <w:tcPr/>
          <w:p>
            <w:pPr>
              <w:pStyle w:val="Compact"/>
              <w:jc w:val="left"/>
            </w:pPr>
            <w:r>
              <w:t xml:space="preserve">GLOBAL</w:t>
            </w:r>
          </w:p>
        </w:tc>
        <w:tc>
          <w:tcPr/>
          <w:p>
            <w:pPr>
              <w:pStyle w:val="Compact"/>
              <w:jc w:val="right"/>
            </w:pPr>
            <w:r>
              <w:t xml:space="preserve">16.7906</w:t>
            </w:r>
          </w:p>
        </w:tc>
        <w:tc>
          <w:tcPr/>
          <w:p>
            <w:pPr>
              <w:pStyle w:val="Compact"/>
              <w:jc w:val="right"/>
            </w:pPr>
            <w:r>
              <w:t xml:space="preserve">6</w:t>
            </w:r>
          </w:p>
        </w:tc>
        <w:tc>
          <w:tcPr/>
          <w:p>
            <w:pPr>
              <w:pStyle w:val="Compact"/>
              <w:jc w:val="right"/>
            </w:pPr>
            <w:r>
              <w:t xml:space="preserve">0.0101</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0.982</w:t>
            </w:r>
          </w:p>
        </w:tc>
        <w:tc>
          <w:tcPr/>
          <w:p>
            <w:pPr>
              <w:pStyle w:val="Compact"/>
              <w:jc w:val="right"/>
            </w:pPr>
            <w:r>
              <w:t xml:space="preserve">0.816</w:t>
            </w:r>
          </w:p>
        </w:tc>
        <w:tc>
          <w:tcPr/>
          <w:p>
            <w:pPr>
              <w:pStyle w:val="Compact"/>
              <w:jc w:val="right"/>
            </w:pPr>
            <w:r>
              <w:t xml:space="preserve">1.183</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1.121</w:t>
            </w:r>
          </w:p>
        </w:tc>
        <w:tc>
          <w:tcPr/>
          <w:p>
            <w:pPr>
              <w:pStyle w:val="Compact"/>
              <w:jc w:val="right"/>
            </w:pPr>
            <w:r>
              <w:t xml:space="preserve">0.968</w:t>
            </w:r>
          </w:p>
        </w:tc>
        <w:tc>
          <w:tcPr/>
          <w:p>
            <w:pPr>
              <w:pStyle w:val="Compact"/>
              <w:jc w:val="right"/>
            </w:pPr>
            <w:r>
              <w:t xml:space="preserve">1.298</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1.279</w:t>
            </w:r>
          </w:p>
        </w:tc>
        <w:tc>
          <w:tcPr/>
          <w:p>
            <w:pPr>
              <w:pStyle w:val="Compact"/>
              <w:jc w:val="right"/>
            </w:pPr>
            <w:r>
              <w:t xml:space="preserve">1.100</w:t>
            </w:r>
          </w:p>
        </w:tc>
        <w:tc>
          <w:tcPr/>
          <w:p>
            <w:pPr>
              <w:pStyle w:val="Compact"/>
              <w:jc w:val="right"/>
            </w:pPr>
            <w:r>
              <w:t xml:space="preserve">1.487</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1.460</w:t>
            </w:r>
          </w:p>
        </w:tc>
        <w:tc>
          <w:tcPr/>
          <w:p>
            <w:pPr>
              <w:pStyle w:val="Compact"/>
              <w:jc w:val="right"/>
            </w:pPr>
            <w:r>
              <w:t xml:space="preserve">1.201</w:t>
            </w:r>
          </w:p>
        </w:tc>
        <w:tc>
          <w:tcPr/>
          <w:p>
            <w:pPr>
              <w:pStyle w:val="Compact"/>
              <w:jc w:val="right"/>
            </w:pPr>
            <w:r>
              <w:t xml:space="preserve">1.775</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1.577</w:t>
            </w:r>
          </w:p>
        </w:tc>
        <w:tc>
          <w:tcPr/>
          <w:p>
            <w:pPr>
              <w:pStyle w:val="Compact"/>
              <w:jc w:val="right"/>
            </w:pPr>
            <w:r>
              <w:t xml:space="preserve">1.250</w:t>
            </w:r>
          </w:p>
        </w:tc>
        <w:tc>
          <w:tcPr/>
          <w:p>
            <w:pPr>
              <w:pStyle w:val="Compact"/>
              <w:jc w:val="right"/>
            </w:pPr>
            <w:r>
              <w:t xml:space="preserve">1.989</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1.666</w:t>
            </w:r>
          </w:p>
        </w:tc>
        <w:tc>
          <w:tcPr/>
          <w:p>
            <w:pPr>
              <w:pStyle w:val="Compact"/>
              <w:jc w:val="right"/>
            </w:pPr>
            <w:r>
              <w:t xml:space="preserve">1.284</w:t>
            </w:r>
          </w:p>
        </w:tc>
        <w:tc>
          <w:tcPr/>
          <w:p>
            <w:pPr>
              <w:pStyle w:val="Compact"/>
              <w:jc w:val="right"/>
            </w:pPr>
            <w:r>
              <w:t xml:space="preserve">2.161</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67d88f1e56e3170404aa3050cae2bf14c3c96318.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bookmarkStart w:id="226" w:name="a19.-the-pre-congress-exclusion-settled"/>
    <w:p>
      <w:pPr>
        <w:pStyle w:val="Heading2"/>
      </w:pPr>
      <w:r>
        <w:t xml:space="preserve">A19. The Pre-Congress Exclusion, Settled</w:t>
      </w:r>
    </w:p>
    <w:p>
      <w:pPr>
        <w:pStyle w:val="FirstParagraph"/>
      </w:pPr>
      <w:r>
        <w:rPr>
          <w:b/>
          <w:bCs/>
        </w:rPr>
        <w:t xml:space="preserve">PI decision, 2026-09-05: a reviewer’s</w:t>
      </w:r>
      <w:r>
        <w:rPr>
          <w:b/>
          <w:bCs/>
        </w:rPr>
        <w:t xml:space="preserve"> </w:t>
      </w:r>
      <w:r>
        <w:rPr>
          <w:rStyle w:val="VerbatimChar"/>
          <w:b/>
          <w:bCs/>
        </w:rPr>
        <w:t xml:space="preserve">match</w:t>
      </w:r>
      <w:r>
        <w:rPr>
          <w:b/>
          <w:bCs/>
        </w:rPr>
        <w:t xml:space="preserve"> </w:t>
      </w:r>
      <w:r>
        <w:rPr>
          <w:b/>
          <w:bCs/>
        </w:rPr>
        <w:t xml:space="preserve">does not override the</w:t>
      </w:r>
      <w:r>
        <w:rPr>
          <w:b/>
          <w:bCs/>
        </w:rPr>
        <w:t xml:space="preserve"> </w:t>
      </w:r>
      <w:r>
        <w:rPr>
          <w:b/>
          <w:bCs/>
        </w:rPr>
        <w:t xml:space="preserve">pre-congress exclusion.</w:t>
      </w:r>
      <w:r>
        <w:t xml:space="preserve"> </w:t>
      </w:r>
      <w:r>
        <w:t xml:space="preserve">This is the rule the study now uses, and it changed</w:t>
      </w:r>
      <w:r>
        <w:t xml:space="preserve"> </w:t>
      </w:r>
      <w:r>
        <w:t xml:space="preserve">the numerator.</w:t>
      </w:r>
    </w:p>
    <w:bookmarkStart w:id="220" w:name="a19.1-the-rule"/>
    <w:p>
      <w:pPr>
        <w:pStyle w:val="Heading3"/>
      </w:pPr>
      <w:r>
        <w:t xml:space="preserve">A19.1 The rule</w:t>
      </w:r>
    </w:p>
    <w:p>
      <w:pPr>
        <w:pStyle w:val="FirstParagraph"/>
      </w:pPr>
      <w:r>
        <w:t xml:space="preserve">A publication that appeared before the congress cannot be a</w:t>
      </w:r>
      <w:r>
        <w:t xml:space="preserve"> </w:t>
      </w:r>
      <w:r>
        <w:t xml:space="preserve">conference-to-publication conversion. The comparison uses the print issue date</w:t>
      </w:r>
      <w:r>
        <w:t xml:space="preserve"> </w:t>
      </w:r>
      <w:r>
        <w:t xml:space="preserve">(A18) of the publication actually credited to the abstract, and the test is the</w:t>
      </w:r>
      <w:r>
        <w:t xml:space="preserve"> </w:t>
      </w:r>
      <w:r>
        <w:rPr>
          <w:b/>
          <w:bCs/>
        </w:rPr>
        <w:t xml:space="preserve">first</w:t>
      </w:r>
      <w:r>
        <w:t xml:space="preserve"> </w:t>
      </w:r>
      <w:r>
        <w:t xml:space="preserve">branch of the outcome cascade in</w:t>
      </w:r>
      <w:r>
        <w:t xml:space="preserve"> </w:t>
      </w:r>
      <w:r>
        <w:rPr>
          <w:rStyle w:val="VerbatimChar"/>
        </w:rPr>
        <w:t xml:space="preserve">assign_final_published()</w:t>
      </w:r>
      <w:r>
        <w:t xml:space="preserve">, ahead of</w:t>
      </w:r>
      <w:r>
        <w:t xml:space="preserve"> </w:t>
      </w:r>
      <w:r>
        <w:t xml:space="preserve">both</w:t>
      </w:r>
      <w:r>
        <w:t xml:space="preserve"> </w:t>
      </w:r>
      <w:r>
        <w:rPr>
          <w:rStyle w:val="VerbatimChar"/>
        </w:rPr>
        <w:t xml:space="preserve">classification == "definite"</w:t>
      </w:r>
      <w:r>
        <w:t xml:space="preserve"> </w:t>
      </w:r>
      <w:r>
        <w:t xml:space="preserve">and the reviewer verdict.</w:t>
      </w:r>
    </w:p>
    <w:p>
      <w:pPr>
        <w:pStyle w:val="BodyText"/>
      </w:pPr>
      <w:r>
        <w:t xml:space="preserve">An abstract failing the test stays in the cohort and is counted unpublished. It</w:t>
      </w:r>
      <w:r>
        <w:t xml:space="preserve"> </w:t>
      </w:r>
      <w:r>
        <w:t xml:space="preserve">does not leave the study, so the denominator is untouched.</w:t>
      </w:r>
    </w:p>
    <w:p>
      <w:pPr>
        <w:pStyle w:val="BodyText"/>
      </w:pPr>
      <w:r>
        <w:t xml:space="preserve">A missing interval is not treated as pre-congress. An abstract whose credited</w:t>
      </w:r>
      <w:r>
        <w:t xml:space="preserve"> </w:t>
      </w:r>
      <w:r>
        <w:t xml:space="preserve">publication has no resolvable date is undated, not early, and is decided on the</w:t>
      </w:r>
      <w:r>
        <w:t xml:space="preserve"> </w:t>
      </w:r>
      <w:r>
        <w:t xml:space="preserve">evidence that exists.</w:t>
      </w:r>
    </w:p>
    <w:bookmarkEnd w:id="220"/>
    <w:bookmarkStart w:id="221" w:name="X4a6b22448b23e87369738be43e33552dc5d9b7c"/>
    <w:p>
      <w:pPr>
        <w:pStyle w:val="Heading3"/>
      </w:pPr>
      <w:r>
        <w:t xml:space="preserve">A19.2 Why the classification could not be used as the test</w:t>
      </w:r>
    </w:p>
    <w:p>
      <w:pPr>
        <w:pStyle w:val="FirstParagraph"/>
      </w:pPr>
      <w:r>
        <w:t xml:space="preserve">The obvious implementation is to trust</w:t>
      </w:r>
      <w:r>
        <w:t xml:space="preserve"> </w:t>
      </w:r>
      <w:r>
        <w:rPr>
          <w:rStyle w:val="VerbatimChar"/>
        </w:rPr>
        <w:t xml:space="preserve">classification == "excluded"</w:t>
      </w:r>
      <w:r>
        <w:t xml:space="preserve">, which the</w:t>
      </w:r>
      <w:r>
        <w:t xml:space="preserve"> </w:t>
      </w:r>
      <w:r>
        <w:t xml:space="preserve">scorer already sets when the best candidate predates the congress. That would</w:t>
      </w:r>
      <w:r>
        <w:t xml:space="preserve"> </w:t>
      </w:r>
      <w:r>
        <w:t xml:space="preserve">have been wrong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classification</w:t>
            </w:r>
          </w:p>
        </w:tc>
        <w:tc>
          <w:tcPr/>
          <w:p>
            <w:pPr>
              <w:pStyle w:val="Compact"/>
            </w:pPr>
            <w:r>
              <w:t xml:space="preserve">why the classification misses it</w:t>
            </w:r>
          </w:p>
        </w:tc>
      </w:tr>
      <w:tr>
        <w:tc>
          <w:tcPr/>
          <w:p>
            <w:pPr>
              <w:pStyle w:val="Compact"/>
            </w:pPr>
            <w:r>
              <w:t xml:space="preserve">AAGL2018_002</w:t>
            </w:r>
          </w:p>
        </w:tc>
        <w:tc>
          <w:tcPr/>
          <w:p>
            <w:pPr>
              <w:pStyle w:val="Compact"/>
            </w:pPr>
            <w:r>
              <w:rPr>
                <w:rStyle w:val="VerbatimChar"/>
              </w:rPr>
              <w:t xml:space="preserve">no_match</w:t>
            </w:r>
          </w:p>
        </w:tc>
        <w:tc>
          <w:tcPr/>
          <w:p>
            <w:pPr>
              <w:pStyle w:val="Compact"/>
            </w:pPr>
            <w:r>
              <w:t xml:space="preserve">reviewer supplied PMID 29454147; the penalty was computed against best candidate 39220672</w:t>
            </w:r>
          </w:p>
        </w:tc>
      </w:tr>
      <w:tr>
        <w:tc>
          <w:tcPr/>
          <w:p>
            <w:pPr>
              <w:pStyle w:val="Compact"/>
            </w:pPr>
            <w:r>
              <w:t xml:space="preserve">AAGL2018_019</w:t>
            </w:r>
          </w:p>
        </w:tc>
        <w:tc>
          <w:tcPr/>
          <w:p>
            <w:pPr>
              <w:pStyle w:val="Compact"/>
            </w:pPr>
            <w:r>
              <w:rPr>
                <w:rStyle w:val="VerbatimChar"/>
              </w:rPr>
              <w:t xml:space="preserve">no_match</w:t>
            </w:r>
          </w:p>
        </w:tc>
        <w:tc>
          <w:tcPr/>
          <w:p>
            <w:pPr>
              <w:pStyle w:val="Compact"/>
            </w:pPr>
            <w:r>
              <w:t xml:space="preserve">same, PMID 29408695 against best candidate 34136570</w:t>
            </w:r>
          </w:p>
        </w:tc>
      </w:tr>
      <w:tr>
        <w:tc>
          <w:tcPr/>
          <w:p>
            <w:pPr>
              <w:pStyle w:val="Compact"/>
            </w:pPr>
            <w:r>
              <w:t xml:space="preserve">AAGL2015_010</w:t>
            </w:r>
          </w:p>
        </w:tc>
        <w:tc>
          <w:tcPr/>
          <w:p>
            <w:pPr>
              <w:pStyle w:val="Compact"/>
            </w:pPr>
            <w:r>
              <w:rPr>
                <w:rStyle w:val="VerbatimChar"/>
              </w:rPr>
              <w:t xml:space="preserve">definite</w:t>
            </w:r>
          </w:p>
        </w:tc>
        <w:tc>
          <w:tcPr/>
          <w:p>
            <w:pPr>
              <w:pStyle w:val="Compact"/>
            </w:pPr>
            <w:r>
              <w:t xml:space="preserve">credited paper predates the congress by two weeks, but scored</w:t>
            </w:r>
            <w:r>
              <w:t xml:space="preserve"> </w:t>
            </w:r>
            <w:r>
              <w:rPr>
                <w:rStyle w:val="VerbatimChar"/>
              </w:rPr>
              <w:t xml:space="preserve">definite</w:t>
            </w:r>
            <w:r>
              <w:t xml:space="preserve"> </w:t>
            </w:r>
            <w:r>
              <w:t xml:space="preserve">and branch 1 won outright</w:t>
            </w:r>
          </w:p>
        </w:tc>
      </w:tr>
    </w:tbl>
    <w:p>
      <w:pPr>
        <w:pStyle w:val="BodyText"/>
      </w:pPr>
      <w:r>
        <w:t xml:space="preserve">The first two are the sharper problem.</w:t>
      </w:r>
      <w:r>
        <w:t xml:space="preserve"> </w:t>
      </w:r>
      <w:r>
        <w:rPr>
          <w:rStyle w:val="VerbatimChar"/>
        </w:rPr>
        <w:t xml:space="preserve">R/05_adjudicate.R</w:t>
      </w:r>
      <w:r>
        <w:t xml:space="preserve"> </w:t>
      </w:r>
      <w:r>
        <w:t xml:space="preserve">joins publication</w:t>
      </w:r>
      <w:r>
        <w:t xml:space="preserve"> </w:t>
      </w:r>
      <w:r>
        <w:t xml:space="preserve">metadata on</w:t>
      </w:r>
      <w:r>
        <w:t xml:space="preserve"> </w:t>
      </w:r>
      <w:r>
        <w:rPr>
          <w:rStyle w:val="VerbatimChar"/>
        </w:rPr>
        <w:t xml:space="preserve">best_pmid</w:t>
      </w:r>
      <w:r>
        <w:t xml:space="preserve"> </w:t>
      </w:r>
      <w:r>
        <w:t xml:space="preserve">and runs before the reviewer decisions are read, so</w:t>
      </w:r>
      <w:r>
        <w:t xml:space="preserve"> </w:t>
      </w:r>
      <w:r>
        <w:t xml:space="preserve">where a reviewer supplied a different PMID the interval described the wrong</w:t>
      </w:r>
      <w:r>
        <w:t xml:space="preserve"> </w:t>
      </w:r>
      <w:r>
        <w:t xml:space="preserve">paper, and for these two it was missing entirely.</w:t>
      </w:r>
      <w:r>
        <w:t xml:space="preserve"> </w:t>
      </w:r>
      <w:r>
        <w:rPr>
          <w:rStyle w:val="VerbatimChar"/>
        </w:rPr>
        <w:t xml:space="preserve">R/06_analyze_results.R</w:t>
      </w:r>
      <w:r>
        <w:t xml:space="preserve"> </w:t>
      </w:r>
      <w:r>
        <w:t xml:space="preserve">re-joins on</w:t>
      </w:r>
      <w:r>
        <w:t xml:space="preserve"> </w:t>
      </w:r>
      <w:r>
        <w:rPr>
          <w:rStyle w:val="VerbatimChar"/>
        </w:rPr>
        <w:t xml:space="preserve">final_pmid</w:t>
      </w:r>
      <w:r>
        <w:t xml:space="preserve">, and only after that is the interval the one the rule</w:t>
      </w:r>
      <w:r>
        <w:t xml:space="preserve"> </w:t>
      </w:r>
      <w:r>
        <w:t xml:space="preserve">is about, at 10.3 months before the congress for both.</w:t>
      </w:r>
    </w:p>
    <w:p>
      <w:pPr>
        <w:pStyle w:val="BodyText"/>
      </w:pPr>
      <w:r>
        <w:t xml:space="preserve">The rule is therefore applied twice: once inside</w:t>
      </w:r>
      <w:r>
        <w:t xml:space="preserve"> </w:t>
      </w:r>
      <w:r>
        <w:rPr>
          <w:rStyle w:val="VerbatimChar"/>
        </w:rPr>
        <w:t xml:space="preserve">assign_final_published()</w:t>
      </w:r>
      <w:r>
        <w:t xml:space="preserve">, so</w:t>
      </w:r>
      <w:r>
        <w:t xml:space="preserve"> </w:t>
      </w:r>
      <w:r>
        <w:t xml:space="preserve">every caller gets it, and once more in 06 via</w:t>
      </w:r>
      <w:r>
        <w:t xml:space="preserve"> </w:t>
      </w:r>
      <w:r>
        <w:rPr>
          <w:rStyle w:val="VerbatimChar"/>
        </w:rPr>
        <w:t xml:space="preserve">apply_pre_congress_exclusion()</w:t>
      </w:r>
      <w:r>
        <w:t xml:space="preserve"> </w:t>
      </w:r>
      <w:r>
        <w:t xml:space="preserve">after the refresh. The second application is</w:t>
      </w:r>
      <w:r>
        <w:t xml:space="preserve"> </w:t>
      </w:r>
      <w:r>
        <w:t xml:space="preserve">what catches those two, and 06 reports how many it removed.</w:t>
      </w:r>
    </w:p>
    <w:bookmarkEnd w:id="221"/>
    <w:bookmarkStart w:id="222" w:name="a19.3-a-drift-this-exposed"/>
    <w:p>
      <w:pPr>
        <w:pStyle w:val="Heading3"/>
      </w:pPr>
      <w:r>
        <w:t xml:space="preserve">A19.3 A drift this exposed</w:t>
      </w:r>
    </w:p>
    <w:p>
      <w:pPr>
        <w:pStyle w:val="FirstParagraph"/>
      </w:pPr>
      <w:r>
        <w:rPr>
          <w:rStyle w:val="VerbatimChar"/>
        </w:rPr>
        <w:t xml:space="preserve">R/07_make_tables.R</w:t>
      </w:r>
      <w:r>
        <w:t xml:space="preserve"> </w:t>
      </w:r>
      <w:r>
        <w:t xml:space="preserve">and</w:t>
      </w:r>
      <w:r>
        <w:t xml:space="preserve"> </w:t>
      </w:r>
      <w:r>
        <w:rPr>
          <w:rStyle w:val="VerbatimChar"/>
        </w:rPr>
        <w:t xml:space="preserve">R/08_make_figures.R</w:t>
      </w:r>
      <w:r>
        <w:t xml:space="preserve"> </w:t>
      </w:r>
      <w:r>
        <w:t xml:space="preserve">recompute the outcome from</w:t>
      </w:r>
      <w:r>
        <w:t xml:space="preserve"> </w:t>
      </w:r>
      <w:r>
        <w:rPr>
          <w:rStyle w:val="VerbatimChar"/>
        </w:rPr>
        <w:t xml:space="preserve">abstracts_with_matches.csv</w:t>
      </w:r>
      <w:r>
        <w:t xml:space="preserve"> </w:t>
      </w:r>
      <w:r>
        <w:t xml:space="preserve">through the same cascade, with comments saying this</w:t>
      </w:r>
      <w:r>
        <w:t xml:space="preserve"> </w:t>
      </w:r>
      <w:r>
        <w:t xml:space="preserve">exists so they cannot drift from the analysis. They can: 06 refreshes the</w:t>
      </w:r>
      <w:r>
        <w:t xml:space="preserve"> </w:t>
      </w:r>
      <w:r>
        <w:t xml:space="preserve">interval before applying the exclusion and they do not, so after this change the</w:t>
      </w:r>
      <w:r>
        <w:t xml:space="preserve"> </w:t>
      </w:r>
      <w:r>
        <w:t xml:space="preserve">same abstract would have been unpublished in the analysis and published in the</w:t>
      </w:r>
      <w:r>
        <w:t xml:space="preserve"> </w:t>
      </w:r>
      <w:r>
        <w:t xml:space="preserve">tables. Both now adopt the settled outcome from</w:t>
      </w:r>
      <w:r>
        <w:t xml:space="preserve"> </w:t>
      </w:r>
      <w:r>
        <w:rPr>
          <w:rStyle w:val="VerbatimChar"/>
        </w:rPr>
        <w:t xml:space="preserve">output/final_analytical_dataset.csv</w:t>
      </w:r>
      <w:r>
        <w:t xml:space="preserve"> </w:t>
      </w:r>
      <w:r>
        <w:t xml:space="preserve">through</w:t>
      </w:r>
      <w:r>
        <w:t xml:space="preserve"> </w:t>
      </w:r>
      <w:r>
        <w:rPr>
          <w:rStyle w:val="VerbatimChar"/>
        </w:rPr>
        <w:t xml:space="preserve">adopt_analysis_outcome()</w:t>
      </w:r>
      <w:r>
        <w:t xml:space="preserve">. They</w:t>
      </w:r>
      <w:r>
        <w:t xml:space="preserve"> </w:t>
      </w:r>
      <w:r>
        <w:t xml:space="preserve">run after 06 in</w:t>
      </w:r>
      <w:r>
        <w:t xml:space="preserve"> </w:t>
      </w:r>
      <w:r>
        <w:rPr>
          <w:rStyle w:val="VerbatimChar"/>
        </w:rPr>
        <w:t xml:space="preserve">00_run_all.R</w:t>
      </w:r>
      <w:r>
        <w:t xml:space="preserve">, so it is available.</w:t>
      </w:r>
    </w:p>
    <w:bookmarkEnd w:id="222"/>
    <w:bookmarkStart w:id="223" w:name="a19.4-what-moved"/>
    <w:p>
      <w:pPr>
        <w:pStyle w:val="Heading3"/>
      </w:pPr>
      <w:r>
        <w:t xml:space="preserve">A19.4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178</w:t>
            </w:r>
          </w:p>
        </w:tc>
        <w:tc>
          <w:tcPr/>
          <w:p>
            <w:pPr>
              <w:pStyle w:val="Compact"/>
              <w:jc w:val="right"/>
            </w:pPr>
            <w:r>
              <w:rPr>
                <w:b/>
                <w:bCs/>
              </w:rPr>
              <w:t xml:space="preserve">171</w:t>
            </w:r>
          </w:p>
        </w:tc>
      </w:tr>
      <w:tr>
        <w:tc>
          <w:tcPr/>
          <w:p>
            <w:pPr>
              <w:pStyle w:val="Compact"/>
            </w:pPr>
            <w:r>
              <w:t xml:space="preserve">Not published</w:t>
            </w:r>
          </w:p>
        </w:tc>
        <w:tc>
          <w:tcPr/>
          <w:p>
            <w:pPr>
              <w:pStyle w:val="Compact"/>
              <w:jc w:val="right"/>
            </w:pPr>
            <w:r>
              <w:t xml:space="preserve">873</w:t>
            </w:r>
          </w:p>
        </w:tc>
        <w:tc>
          <w:tcPr/>
          <w:p>
            <w:pPr>
              <w:pStyle w:val="Compact"/>
              <w:jc w:val="right"/>
            </w:pPr>
            <w:r>
              <w:t xml:space="preserve">880</w:t>
            </w:r>
          </w:p>
        </w:tc>
      </w:tr>
      <w:tr>
        <w:tc>
          <w:tcPr/>
          <w:p>
            <w:pPr>
              <w:pStyle w:val="Compact"/>
            </w:pPr>
            <w:r>
              <w:t xml:space="preserve">Denominator</w:t>
            </w:r>
          </w:p>
        </w:tc>
        <w:tc>
          <w:tcPr/>
          <w:p>
            <w:pPr>
              <w:pStyle w:val="Compact"/>
              <w:jc w:val="right"/>
            </w:pPr>
            <w:r>
              <w:t xml:space="preserve">1,051</w:t>
            </w:r>
          </w:p>
        </w:tc>
        <w:tc>
          <w:tcPr/>
          <w:p>
            <w:pPr>
              <w:pStyle w:val="Compact"/>
              <w:jc w:val="right"/>
            </w:pPr>
            <w:r>
              <w:rPr>
                <w:b/>
                <w:bCs/>
              </w:rPr>
              <w:t xml:space="preserve">1,051</w:t>
            </w:r>
          </w:p>
        </w:tc>
      </w:tr>
      <w:tr>
        <w:tc>
          <w:tcPr/>
          <w:p>
            <w:pPr>
              <w:pStyle w:val="Compact"/>
            </w:pPr>
            <w:r>
              <w:t xml:space="preserve">Publication rate</w:t>
            </w:r>
          </w:p>
        </w:tc>
        <w:tc>
          <w:tcPr/>
          <w:p>
            <w:pPr>
              <w:pStyle w:val="Compact"/>
              <w:jc w:val="right"/>
            </w:pPr>
            <w:r>
              <w:t xml:space="preserve">16.9%</w:t>
            </w:r>
          </w:p>
        </w:tc>
        <w:tc>
          <w:tcPr/>
          <w:p>
            <w:pPr>
              <w:pStyle w:val="Compact"/>
              <w:jc w:val="right"/>
            </w:pPr>
            <w:r>
              <w:rPr>
                <w:b/>
                <w:bCs/>
              </w:rPr>
              <w:t xml:space="preserve">16.3%</w:t>
            </w:r>
          </w:p>
        </w:tc>
      </w:tr>
      <w:tr>
        <w:tc>
          <w:tcPr/>
          <w:p>
            <w:pPr>
              <w:pStyle w:val="Compact"/>
            </w:pPr>
            <w:r>
              <w:t xml:space="preserve">Wilson 95% CI</w:t>
            </w:r>
          </w:p>
        </w:tc>
        <w:tc>
          <w:tcPr/>
          <w:p>
            <w:pPr>
              <w:pStyle w:val="Compact"/>
              <w:jc w:val="right"/>
            </w:pPr>
            <w:r>
              <w:t xml:space="preserve">14.8-19.3</w:t>
            </w:r>
          </w:p>
        </w:tc>
        <w:tc>
          <w:tcPr/>
          <w:p>
            <w:pPr>
              <w:pStyle w:val="Compact"/>
              <w:jc w:val="right"/>
            </w:pPr>
            <w:r>
              <w:t xml:space="preserve">14.2-18.6</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13.7 mo</w:t>
            </w:r>
          </w:p>
        </w:tc>
      </w:tr>
      <w:tr>
        <w:tc>
          <w:tcPr/>
          <w:p>
            <w:pPr>
              <w:pStyle w:val="Compact"/>
            </w:pPr>
            <w:r>
              <w:t xml:space="preserve">Published with usable interval</w:t>
            </w:r>
          </w:p>
        </w:tc>
        <w:tc>
          <w:tcPr/>
          <w:p>
            <w:pPr>
              <w:pStyle w:val="Compact"/>
              <w:jc w:val="right"/>
            </w:pPr>
            <w:r>
              <w:t xml:space="preserve">171</w:t>
            </w:r>
          </w:p>
        </w:tc>
        <w:tc>
          <w:tcPr/>
          <w:p>
            <w:pPr>
              <w:pStyle w:val="Compact"/>
              <w:jc w:val="right"/>
            </w:pPr>
            <w:r>
              <w:t xml:space="preserve">171</w:t>
            </w:r>
          </w:p>
        </w:tc>
      </w:tr>
      <w:tr>
        <w:tc>
          <w:tcPr/>
          <w:p>
            <w:pPr>
              <w:pStyle w:val="Compact"/>
            </w:pPr>
            <w:r>
              <w:t xml:space="preserve">Published dated before their congress</w:t>
            </w:r>
          </w:p>
        </w:tc>
        <w:tc>
          <w:tcPr/>
          <w:p>
            <w:pPr>
              <w:pStyle w:val="Compact"/>
              <w:jc w:val="right"/>
            </w:pPr>
            <w:r>
              <w:t xml:space="preserve">7</w:t>
            </w:r>
          </w:p>
        </w:tc>
        <w:tc>
          <w:tcPr/>
          <w:p>
            <w:pPr>
              <w:pStyle w:val="Compact"/>
              <w:jc w:val="right"/>
            </w:pPr>
            <w:r>
              <w:rPr>
                <w:b/>
                <w:bCs/>
              </w:rPr>
              <w:t xml:space="preserve">0</w:t>
            </w:r>
          </w:p>
        </w:tc>
      </w:tr>
      <w:tr>
        <w:tc>
          <w:tcPr/>
          <w:p>
            <w:pPr>
              <w:pStyle w:val="Compact"/>
            </w:pPr>
            <w:r>
              <w:t xml:space="preserve">Cox N / events</w:t>
            </w:r>
          </w:p>
        </w:tc>
        <w:tc>
          <w:tcPr/>
          <w:p>
            <w:pPr>
              <w:pStyle w:val="Compact"/>
              <w:jc w:val="right"/>
            </w:pPr>
            <w:r>
              <w:t xml:space="preserve">1,020 / 171</w:t>
            </w:r>
          </w:p>
        </w:tc>
        <w:tc>
          <w:tcPr/>
          <w:p>
            <w:pPr>
              <w:pStyle w:val="Compact"/>
              <w:jc w:val="right"/>
            </w:pPr>
            <w:r>
              <w:t xml:space="preserve">1,027 / 171</w:t>
            </w:r>
          </w:p>
        </w:tc>
      </w:tr>
      <w:tr>
        <w:tc>
          <w:tcPr/>
          <w:p>
            <w:pPr>
              <w:pStyle w:val="Compact"/>
            </w:pPr>
            <w:r>
              <w:t xml:space="preserve">Logistic N</w:t>
            </w:r>
          </w:p>
        </w:tc>
        <w:tc>
          <w:tcPr/>
          <w:p>
            <w:pPr>
              <w:pStyle w:val="Compact"/>
              <w:jc w:val="right"/>
            </w:pPr>
            <w:r>
              <w:t xml:space="preserve">1,027</w:t>
            </w:r>
          </w:p>
        </w:tc>
        <w:tc>
          <w:tcPr/>
          <w:p>
            <w:pPr>
              <w:pStyle w:val="Compact"/>
              <w:jc w:val="right"/>
            </w:pPr>
            <w:r>
              <w:t xml:space="preserve">1,027</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0.041</w:t>
            </w:r>
          </w:p>
        </w:tc>
      </w:tr>
    </w:tbl>
    <w:p>
      <w:pPr>
        <w:pStyle w:val="BodyText"/>
      </w:pPr>
      <w:r>
        <w:t xml:space="preserve">The denominator does not move, and neither does the median time to publication:</w:t>
      </w:r>
      <w:r>
        <w:t xml:space="preserve"> </w:t>
      </w:r>
      <w:r>
        <w:t xml:space="preserve">these abstracts had negative intervals and were already outside the</w:t>
      </w:r>
      <w:r>
        <w:t xml:space="preserve"> </w:t>
      </w:r>
      <w:r>
        <w:t xml:space="preserve">time-to-event analysis. The Cox model gains seven observations, because an</w:t>
      </w:r>
      <w:r>
        <w:t xml:space="preserve"> </w:t>
      </w:r>
      <w:r>
        <w:t xml:space="preserve">abstract counted unpublished contributes censored follow-up whereas one counted</w:t>
      </w:r>
      <w:r>
        <w:t xml:space="preserve"> </w:t>
      </w:r>
      <w:r>
        <w:t xml:space="preserve">published with a negative interval is discarded by the</w:t>
      </w:r>
      <w:r>
        <w:t xml:space="preserve"> </w:t>
      </w:r>
      <w:r>
        <w:rPr>
          <w:rStyle w:val="VerbatimChar"/>
        </w:rPr>
        <w:t xml:space="preserve">time &gt; 0</w:t>
      </w:r>
      <w:r>
        <w:t xml:space="preserve"> </w:t>
      </w:r>
      <w:r>
        <w:t xml:space="preserve">filter.</w:t>
      </w:r>
    </w:p>
    <w:p>
      <w:pPr>
        <w:pStyle w:val="BodyText"/>
      </w:pPr>
      <w:r>
        <w:rPr>
          <w:rStyle w:val="VerbatimChar"/>
        </w:rPr>
        <w:t xml:space="preserve">n_pre_congress</w:t>
      </w:r>
      <w:r>
        <w:t xml:space="preserve"> </w:t>
      </w:r>
      <w:r>
        <w:t xml:space="preserve">falling from 7 to 0 is the rule verifying itself. The estimand</w:t>
      </w:r>
      <w:r>
        <w:t xml:space="preserve"> </w:t>
      </w:r>
      <w:r>
        <w:t xml:space="preserve">is now internally coherent:</w:t>
      </w:r>
      <w:r>
        <w:t xml:space="preserve"> </w:t>
      </w:r>
      <w:r>
        <w:t xml:space="preserve">“published”</w:t>
      </w:r>
      <w:r>
        <w:t xml:space="preserve"> </w:t>
      </w:r>
      <w:r>
        <w:t xml:space="preserve">means</w:t>
      </w:r>
      <w:r>
        <w:t xml:space="preserve"> </w:t>
      </w:r>
      <w:r>
        <w:t xml:space="preserve">“published after the congress”</w:t>
      </w:r>
      <w:r>
        <w:t xml:space="preserve">, by</w:t>
      </w:r>
      <w:r>
        <w:t xml:space="preserve"> </w:t>
      </w:r>
      <w:r>
        <w:t xml:space="preserve">construction rather than by convention.</w:t>
      </w:r>
    </w:p>
    <w:bookmarkEnd w:id="223"/>
    <w:bookmarkStart w:id="224" w:name="a19.5-the-evidence-file"/>
    <w:p>
      <w:pPr>
        <w:pStyle w:val="Heading3"/>
      </w:pPr>
      <w:r>
        <w:t xml:space="preserve">A19.5 The evidence file</w:t>
      </w:r>
    </w:p>
    <w:p>
      <w:pPr>
        <w:pStyle w:val="FirstParagraph"/>
      </w:pPr>
      <w:r>
        <w:rPr>
          <w:rStyle w:val="VerbatimChar"/>
        </w:rPr>
        <w:t xml:space="preserve">output/excluded_pre_congress_publications.csv</w:t>
      </w:r>
      <w:r>
        <w:t xml:space="preserve"> </w:t>
      </w:r>
      <w:r>
        <w:t xml:space="preserve">had no producer. It was built by</w:t>
      </w:r>
      <w:r>
        <w:t xml:space="preserve"> </w:t>
      </w:r>
      <w:r>
        <w:t xml:space="preserve">hand from electronic publication dates while the analysis measured from print</w:t>
      </w:r>
      <w:r>
        <w:t xml:space="preserve"> </w:t>
      </w:r>
      <w:r>
        <w:t xml:space="preserve">issue dates, so it described a different set from the one the rule acts on.</w:t>
      </w:r>
      <w:r>
        <w:t xml:space="preserve"> </w:t>
      </w:r>
      <w:r>
        <w:rPr>
          <w:rStyle w:val="VerbatimChar"/>
        </w:rPr>
        <w:t xml:space="preserve">scripts/pre_congress_exclusions.R</w:t>
      </w:r>
      <w:r>
        <w:t xml:space="preserve"> </w:t>
      </w:r>
      <w:r>
        <w:t xml:space="preserve">now regenerates it from the analytical</w:t>
      </w:r>
      <w:r>
        <w:t xml:space="preserve"> </w:t>
      </w:r>
      <w:r>
        <w:t xml:space="preserve">dataset on the decided basis:</w:t>
      </w:r>
      <w:r>
        <w:t xml:space="preserve"> </w:t>
      </w:r>
      <w:r>
        <w:rPr>
          <w:b/>
          <w:bCs/>
        </w:rPr>
        <w:t xml:space="preserve">42 abstracts</w:t>
      </w:r>
      <w:r>
        <w:t xml:space="preserve">, against 39 in the hand-built</w:t>
      </w:r>
      <w:r>
        <w:t xml:space="preserve"> </w:t>
      </w:r>
      <w:r>
        <w:t xml:space="preserve">file, and it fails loudly if any of them is still counted as published.</w:t>
      </w:r>
    </w:p>
    <w:bookmarkEnd w:id="224"/>
    <w:bookmarkStart w:id="225" w:name="a19.6-one-reading-weakened"/>
    <w:p>
      <w:pPr>
        <w:pStyle w:val="Heading3"/>
      </w:pPr>
      <w:r>
        <w:t xml:space="preserve">A19.6 One reading weakened</w:t>
      </w:r>
    </w:p>
    <w:p>
      <w:pPr>
        <w:pStyle w:val="FirstParagraph"/>
      </w:pPr>
      <w:r>
        <w:rPr>
          <w:rStyle w:val="VerbatimChar"/>
        </w:rPr>
        <w:t xml:space="preserve">is_academic</w:t>
      </w:r>
      <w:r>
        <w:t xml:space="preserve"> </w:t>
      </w:r>
      <w:r>
        <w:t xml:space="preserve">bootstrap retention fell from 62.0% to</w:t>
      </w:r>
      <w:r>
        <w:t xml:space="preserve"> </w:t>
      </w:r>
      <w:r>
        <w:rPr>
          <w:b/>
          <w:bCs/>
        </w:rPr>
        <w:t xml:space="preserve">50.4%</w:t>
      </w:r>
      <w:r>
        <w:t xml:space="preserve">. It was already</w:t>
      </w:r>
      <w:r>
        <w:t xml:space="preserve"> </w:t>
      </w:r>
      <w:r>
        <w:t xml:space="preserve">described as not sampling-robust; it is now retained in only about half of</w:t>
      </w:r>
      <w:r>
        <w:t xml:space="preserve"> </w:t>
      </w:r>
      <w:r>
        <w:t xml:space="preserve">resamples and should be read as suggestive at most. Its leave-one-congress-out</w:t>
      </w:r>
      <w:r>
        <w:t xml:space="preserve"> </w:t>
      </w:r>
      <w:r>
        <w:t xml:space="preserve">behaviour and its direction are unchanged.</w:t>
      </w:r>
    </w:p>
    <w:bookmarkEnd w:id="225"/>
    <w:bookmarkEnd w:id="226"/>
    <w:bookmarkStart w:id="233" w:name="Xae9da30f204daab4eeeda9aa234bf6044fcd824"/>
    <w:p>
      <w:pPr>
        <w:pStyle w:val="Heading2"/>
      </w:pPr>
      <w:r>
        <w:t xml:space="preserve">A20. A Human</w:t>
      </w:r>
      <w:r>
        <w:t xml:space="preserve"> </w:t>
      </w:r>
      <w:r>
        <w:rPr>
          <w:rStyle w:val="VerbatimChar"/>
        </w:rPr>
        <w:t xml:space="preserve">no_match</w:t>
      </w:r>
      <w:r>
        <w:t xml:space="preserve"> </w:t>
      </w:r>
      <w:r>
        <w:t xml:space="preserve">Supersedes the Algorithm</w:t>
      </w:r>
    </w:p>
    <w:p>
      <w:pPr>
        <w:pStyle w:val="FirstParagraph"/>
      </w:pPr>
      <w:r>
        <w:rPr>
          <w:b/>
          <w:bCs/>
        </w:rPr>
        <w:t xml:space="preserve">PI decision, 2026-09-05.</w:t>
      </w:r>
      <w:r>
        <w:t xml:space="preserve"> </w:t>
      </w:r>
      <w:r>
        <w:t xml:space="preserve">The second of the two outcome decisions taken that</w:t>
      </w:r>
      <w:r>
        <w:t xml:space="preserve"> </w:t>
      </w:r>
      <w:r>
        <w:t xml:space="preserve">day, and the smaller of them: the numerator moves from 171 to 170.</w:t>
      </w:r>
    </w:p>
    <w:bookmarkStart w:id="227" w:name="a20.1-the-rule"/>
    <w:p>
      <w:pPr>
        <w:pStyle w:val="Heading3"/>
      </w:pPr>
      <w:r>
        <w:t xml:space="preserve">A20.1 The rule</w:t>
      </w:r>
    </w:p>
    <w:p>
      <w:pPr>
        <w:pStyle w:val="FirstParagraph"/>
      </w:pPr>
      <w:r>
        <w:t xml:space="preserve">A reviewer who examined a candidate publication and recorded</w:t>
      </w:r>
      <w:r>
        <w:t xml:space="preserve"> </w:t>
      </w:r>
      <w:r>
        <w:rPr>
          <w:rStyle w:val="VerbatimChar"/>
        </w:rPr>
        <w:t xml:space="preserve">no_match</w:t>
      </w:r>
      <w:r>
        <w:t xml:space="preserve"> </w:t>
      </w:r>
      <w:r>
        <w:t xml:space="preserve">outranks a</w:t>
      </w:r>
      <w:r>
        <w:t xml:space="preserve"> </w:t>
      </w:r>
      <w:r>
        <w:rPr>
          <w:rStyle w:val="VerbatimChar"/>
        </w:rPr>
        <w:t xml:space="preserve">definite</w:t>
      </w:r>
      <w:r>
        <w:t xml:space="preserve"> </w:t>
      </w:r>
      <w:r>
        <w:t xml:space="preserve">classification. The branch is placed above</w:t>
      </w:r>
      <w:r>
        <w:t xml:space="preserve"> </w:t>
      </w:r>
      <w:r>
        <w:rPr>
          <w:rStyle w:val="VerbatimChar"/>
        </w:rPr>
        <w:t xml:space="preserve">classification == "definite"</w:t>
      </w:r>
      <w:r>
        <w:t xml:space="preserve"> </w:t>
      </w:r>
      <w:r>
        <w:t xml:space="preserve">in</w:t>
      </w:r>
      <w:r>
        <w:t xml:space="preserve"> </w:t>
      </w:r>
      <w:r>
        <w:rPr>
          <w:rStyle w:val="VerbatimChar"/>
        </w:rPr>
        <w:t xml:space="preserve">assign_final_published()</w:t>
      </w:r>
      <w:r>
        <w:t xml:space="preserve">, which is where the</w:t>
      </w:r>
      <w:r>
        <w:t xml:space="preserve"> </w:t>
      </w:r>
      <w:r>
        <w:t xml:space="preserve">override previously failed.</w:t>
      </w:r>
    </w:p>
    <w:p>
      <w:pPr>
        <w:pStyle w:val="BodyText"/>
      </w:pPr>
      <w:r>
        <w:t xml:space="preserve">This is not a new principle.</w:t>
      </w:r>
      <w:r>
        <w:t xml:space="preserve"> </w:t>
      </w:r>
      <w:r>
        <w:rPr>
          <w:rStyle w:val="VerbatimChar"/>
        </w:rPr>
        <w:t xml:space="preserve">dedup_decisions_for_analysis()</w:t>
      </w:r>
      <w:r>
        <w:t xml:space="preserve"> </w:t>
      </w:r>
      <w:r>
        <w:t xml:space="preserve">already discards</w:t>
      </w:r>
      <w:r>
        <w:t xml:space="preserve"> </w:t>
      </w:r>
      <w:r>
        <w:t xml:space="preserve">AUTO rows for any abstract a human has touched, on the grounds that a person’s</w:t>
      </w:r>
      <w:r>
        <w:t xml:space="preserve"> </w:t>
      </w:r>
      <w:r>
        <w:t xml:space="preserve">judgment supersedes a prefill. The decision extends that one level: a person’s</w:t>
      </w:r>
      <w:r>
        <w:t xml:space="preserve"> </w:t>
      </w:r>
      <w:r>
        <w:t xml:space="preserve">judgment also supersedes the score.</w:t>
      </w:r>
    </w:p>
    <w:bookmarkEnd w:id="227"/>
    <w:bookmarkStart w:id="228" w:name="a20.2-why-it-applies-to-humans-only"/>
    <w:p>
      <w:pPr>
        <w:pStyle w:val="Heading3"/>
      </w:pPr>
      <w:r>
        <w:t xml:space="preserve">A20.2 Why it applies to humans only</w:t>
      </w:r>
    </w:p>
    <w:p>
      <w:pPr>
        <w:pStyle w:val="FirstParagraph"/>
      </w:pPr>
      <w:r>
        <w:t xml:space="preserve">The framing that reached this decision was</w:t>
      </w:r>
      <w:r>
        <w:t xml:space="preserve"> </w:t>
      </w:r>
      <w:r>
        <w:t xml:space="preserve">“four abstracts counted published</w:t>
      </w:r>
      <w:r>
        <w:t xml:space="preserve"> </w:t>
      </w:r>
      <w:r>
        <w:t xml:space="preserve">against a human no_match”</w:t>
      </w:r>
      <w:r>
        <w:t xml:space="preserve">. Only one of the four is that.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reviewer</w:t>
            </w:r>
          </w:p>
        </w:tc>
        <w:tc>
          <w:tcPr/>
          <w:p>
            <w:pPr>
              <w:pStyle w:val="Compact"/>
            </w:pPr>
            <w:r>
              <w:t xml:space="preserve">decision trail</w:t>
            </w:r>
          </w:p>
        </w:tc>
      </w:tr>
      <w:tr>
        <w:tc>
          <w:tcPr/>
          <w:p>
            <w:pPr>
              <w:pStyle w:val="Compact"/>
            </w:pPr>
            <w:r>
              <w:t xml:space="preserve">AAGL2013_050</w:t>
            </w:r>
          </w:p>
        </w:tc>
        <w:tc>
          <w:tcPr/>
          <w:p>
            <w:pPr>
              <w:pStyle w:val="Compact"/>
            </w:pPr>
            <w:r>
              <w:t xml:space="preserve">AUTO</w:t>
            </w:r>
          </w:p>
        </w:tc>
        <w:tc>
          <w:tcPr/>
          <w:p>
            <w:pPr>
              <w:pStyle w:val="Compact"/>
            </w:pPr>
            <w:r>
              <w:rPr>
                <w:rStyle w:val="VerbatimChar"/>
              </w:rPr>
              <w:t xml:space="preserve">classification=reject, score=5.50</w:t>
            </w:r>
          </w:p>
        </w:tc>
      </w:tr>
      <w:tr>
        <w:tc>
          <w:tcPr/>
          <w:p>
            <w:pPr>
              <w:pStyle w:val="Compact"/>
            </w:pPr>
            <w:r>
              <w:t xml:space="preserve">AAGL2014_053</w:t>
            </w:r>
          </w:p>
        </w:tc>
        <w:tc>
          <w:tcPr/>
          <w:p>
            <w:pPr>
              <w:pStyle w:val="Compact"/>
            </w:pPr>
            <w:r>
              <w:t xml:space="preserve">AUTO</w:t>
            </w:r>
          </w:p>
        </w:tc>
        <w:tc>
          <w:tcPr/>
          <w:p>
            <w:pPr>
              <w:pStyle w:val="Compact"/>
            </w:pPr>
            <w:r>
              <w:rPr>
                <w:rStyle w:val="VerbatimChar"/>
              </w:rPr>
              <w:t xml:space="preserve">classification=reject, score=3.80</w:t>
            </w:r>
          </w:p>
        </w:tc>
      </w:tr>
      <w:tr>
        <w:tc>
          <w:tcPr/>
          <w:p>
            <w:pPr>
              <w:pStyle w:val="Compact"/>
            </w:pPr>
            <w:r>
              <w:t xml:space="preserve">AAGL2015_029</w:t>
            </w:r>
          </w:p>
        </w:tc>
        <w:tc>
          <w:tcPr/>
          <w:p>
            <w:pPr>
              <w:pStyle w:val="Compact"/>
            </w:pPr>
            <w:r>
              <w:t xml:space="preserve">AUTO</w:t>
            </w:r>
          </w:p>
        </w:tc>
        <w:tc>
          <w:tcPr/>
          <w:p>
            <w:pPr>
              <w:pStyle w:val="Compact"/>
            </w:pPr>
            <w:r>
              <w:rPr>
                <w:rStyle w:val="VerbatimChar"/>
              </w:rPr>
              <w:t xml:space="preserve">classification=reject, score=6.00</w:t>
            </w:r>
          </w:p>
        </w:tc>
      </w:tr>
      <w:tr>
        <w:tc>
          <w:tcPr/>
          <w:p>
            <w:pPr>
              <w:pStyle w:val="Compact"/>
            </w:pPr>
            <w:r>
              <w:rPr>
                <w:b/>
                <w:bCs/>
              </w:rPr>
              <w:t xml:space="preserve">AAGL2021_030</w:t>
            </w:r>
          </w:p>
        </w:tc>
        <w:tc>
          <w:tcPr/>
          <w:p>
            <w:pPr>
              <w:pStyle w:val="Compact"/>
            </w:pPr>
            <w:r>
              <w:t xml:space="preserve">R01, R02</w:t>
            </w:r>
          </w:p>
        </w:tc>
        <w:tc>
          <w:tcPr/>
          <w:p>
            <w:pPr>
              <w:pStyle w:val="Compact"/>
            </w:pPr>
            <w:r>
              <w:t xml:space="preserve">R01</w:t>
            </w:r>
            <w:r>
              <w:t xml:space="preserve"> </w:t>
            </w:r>
            <w:r>
              <w:rPr>
                <w:rStyle w:val="VerbatimChar"/>
              </w:rPr>
              <w:t xml:space="preserve">no_match</w:t>
            </w:r>
            <w:r>
              <w:t xml:space="preserve">; R02</w:t>
            </w:r>
            <w:r>
              <w:t xml:space="preserve"> </w:t>
            </w:r>
            <w:r>
              <w:rPr>
                <w:rStyle w:val="VerbatimChar"/>
              </w:rPr>
              <w:t xml:space="preserve">match</w:t>
            </w:r>
            <w:r>
              <w:t xml:space="preserve">; R02</w:t>
            </w:r>
            <w:r>
              <w:t xml:space="preserve"> </w:t>
            </w:r>
            <w:r>
              <w:rPr>
                <w:rStyle w:val="VerbatimChar"/>
              </w:rPr>
              <w:t xml:space="preserve">no_match</w:t>
            </w:r>
            <w:r>
              <w:t xml:space="preserve"> </w:t>
            </w:r>
            <w:r>
              <w:t xml:space="preserve">five days later</w:t>
            </w:r>
          </w:p>
        </w:tc>
      </w:tr>
    </w:tbl>
    <w:p>
      <w:pPr>
        <w:pStyle w:val="BodyText"/>
      </w:pPr>
      <w:r>
        <w:t xml:space="preserve">The first three were never seen by a person. Their AUTO notes record</w:t>
      </w:r>
      <w:r>
        <w:t xml:space="preserve"> </w:t>
      </w:r>
      <w:r>
        <w:rPr>
          <w:rStyle w:val="VerbatimChar"/>
        </w:rPr>
        <w:t xml:space="preserve">classification=reject</w:t>
      </w:r>
      <w:r>
        <w:t xml:space="preserve">, a vocabulary this pipeline no longer uses, against a</w:t>
      </w:r>
      <w:r>
        <w:t xml:space="preserve"> </w:t>
      </w:r>
      <w:r>
        <w:t xml:space="preserve">current classification of</w:t>
      </w:r>
      <w:r>
        <w:t xml:space="preserve"> </w:t>
      </w:r>
      <w:r>
        <w:rPr>
          <w:rStyle w:val="VerbatimChar"/>
        </w:rPr>
        <w:t xml:space="preserve">definite</w:t>
      </w:r>
      <w:r>
        <w:t xml:space="preserve">. They are fossils of an earlier scoring</w:t>
      </w:r>
      <w:r>
        <w:t xml:space="preserve"> </w:t>
      </w:r>
      <w:r>
        <w:t xml:space="preserve">run, and an AUTO</w:t>
      </w:r>
      <w:r>
        <w:t xml:space="preserve"> </w:t>
      </w:r>
      <w:r>
        <w:rPr>
          <w:rStyle w:val="VerbatimChar"/>
        </w:rPr>
        <w:t xml:space="preserve">no_match</w:t>
      </w:r>
      <w:r>
        <w:t xml:space="preserve"> </w:t>
      </w:r>
      <w:r>
        <w:t xml:space="preserve">contradicting a</w:t>
      </w:r>
      <w:r>
        <w:t xml:space="preserve"> </w:t>
      </w:r>
      <w:r>
        <w:rPr>
          <w:rStyle w:val="VerbatimChar"/>
        </w:rPr>
        <w:t xml:space="preserve">definite</w:t>
      </w:r>
      <w:r>
        <w:t xml:space="preserve"> </w:t>
      </w:r>
      <w:r>
        <w:t xml:space="preserve">score is the algorithm</w:t>
      </w:r>
      <w:r>
        <w:t xml:space="preserve"> </w:t>
      </w:r>
      <w:r>
        <w:t xml:space="preserve">disagreeing with itself rather than evidence about the abstract. Letting them</w:t>
      </w:r>
      <w:r>
        <w:t xml:space="preserve"> </w:t>
      </w:r>
      <w:r>
        <w:t xml:space="preserve">override the classification would have given a superseded run authority over</w:t>
      </w:r>
      <w:r>
        <w:t xml:space="preserve"> </w:t>
      </w:r>
      <w:r>
        <w:t xml:space="preserve">the current one.</w:t>
      </w:r>
    </w:p>
    <w:p>
      <w:pPr>
        <w:pStyle w:val="BodyText"/>
      </w:pPr>
      <w:r>
        <w:t xml:space="preserve">AAGL2021_030 is the real case. Two reviewers, and the later of R02’s two</w:t>
      </w:r>
      <w:r>
        <w:t xml:space="preserve"> </w:t>
      </w:r>
      <w:r>
        <w:t xml:space="preserve">decisions is</w:t>
      </w:r>
      <w:r>
        <w:t xml:space="preserve"> </w:t>
      </w:r>
      <w:r>
        <w:rPr>
          <w:rStyle w:val="VerbatimChar"/>
        </w:rPr>
        <w:t xml:space="preserve">no_match</w:t>
      </w:r>
      <w:r>
        <w:t xml:space="preserve">, so the surviving deduplicated decision is a considered</w:t>
      </w:r>
      <w:r>
        <w:t xml:space="preserve"> </w:t>
      </w:r>
      <w:r>
        <w:t xml:space="preserve">human rejection. It was counted published anyway.</w:t>
      </w:r>
    </w:p>
    <w:bookmarkEnd w:id="228"/>
    <w:bookmarkStart w:id="229" w:name="a20.3-what-moved"/>
    <w:p>
      <w:pPr>
        <w:pStyle w:val="Heading3"/>
      </w:pPr>
      <w:r>
        <w:t xml:space="preserve">A20.3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171</w:t>
            </w:r>
          </w:p>
        </w:tc>
        <w:tc>
          <w:tcPr/>
          <w:p>
            <w:pPr>
              <w:pStyle w:val="Compact"/>
              <w:jc w:val="right"/>
            </w:pPr>
            <w:r>
              <w:rPr>
                <w:b/>
                <w:bCs/>
              </w:rPr>
              <w:t xml:space="preserve">170</w:t>
            </w:r>
          </w:p>
        </w:tc>
      </w:tr>
      <w:tr>
        <w:tc>
          <w:tcPr/>
          <w:p>
            <w:pPr>
              <w:pStyle w:val="Compact"/>
            </w:pPr>
            <w:r>
              <w:t xml:space="preserve">Publication rate</w:t>
            </w:r>
          </w:p>
        </w:tc>
        <w:tc>
          <w:tcPr/>
          <w:p>
            <w:pPr>
              <w:pStyle w:val="Compact"/>
              <w:jc w:val="right"/>
            </w:pPr>
            <w:r>
              <w:t xml:space="preserve">16.3%</w:t>
            </w:r>
          </w:p>
        </w:tc>
        <w:tc>
          <w:tcPr/>
          <w:p>
            <w:pPr>
              <w:pStyle w:val="Compact"/>
              <w:jc w:val="right"/>
            </w:pPr>
            <w:r>
              <w:rPr>
                <w:b/>
                <w:bCs/>
              </w:rPr>
              <w:t xml:space="preserve">16.2%</w:t>
            </w:r>
            <w:r>
              <w:t xml:space="preserve"> </w:t>
            </w:r>
            <w:r>
              <w:t xml:space="preserve">(95% CI 14.1-18.5)</w:t>
            </w:r>
          </w:p>
        </w:tc>
      </w:tr>
      <w:tr>
        <w:tc>
          <w:tcPr/>
          <w:p>
            <w:pPr>
              <w:pStyle w:val="Compact"/>
            </w:pPr>
            <w:r>
              <w:t xml:space="preserve">Denominator</w:t>
            </w:r>
          </w:p>
        </w:tc>
        <w:tc>
          <w:tcPr/>
          <w:p>
            <w:pPr>
              <w:pStyle w:val="Compact"/>
              <w:jc w:val="right"/>
            </w:pPr>
            <w:r>
              <w:t xml:space="preserve">1,051</w:t>
            </w:r>
          </w:p>
        </w:tc>
        <w:tc>
          <w:tcPr/>
          <w:p>
            <w:pPr>
              <w:pStyle w:val="Compact"/>
              <w:jc w:val="right"/>
            </w:pPr>
            <w:r>
              <w:t xml:space="preserve">1,051</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13.6 mo</w:t>
            </w:r>
          </w:p>
        </w:tc>
      </w:tr>
      <w:tr>
        <w:tc>
          <w:tcPr/>
          <w:p>
            <w:pPr>
              <w:pStyle w:val="Compact"/>
            </w:pPr>
            <w:r>
              <w:t xml:space="preserve">IQR</w:t>
            </w:r>
          </w:p>
        </w:tc>
        <w:tc>
          <w:tcPr/>
          <w:p>
            <w:pPr>
              <w:pStyle w:val="Compact"/>
              <w:jc w:val="right"/>
            </w:pPr>
            <w:r>
              <w:t xml:space="preserve">5.7-22.6</w:t>
            </w:r>
          </w:p>
        </w:tc>
        <w:tc>
          <w:tcPr/>
          <w:p>
            <w:pPr>
              <w:pStyle w:val="Compact"/>
              <w:jc w:val="right"/>
            </w:pPr>
            <w:r>
              <w:t xml:space="preserve">5.7-22.4</w:t>
            </w:r>
          </w:p>
        </w:tc>
      </w:tr>
      <w:tr>
        <w:tc>
          <w:tcPr/>
          <w:p>
            <w:pPr>
              <w:pStyle w:val="Compact"/>
            </w:pPr>
            <w:r>
              <w:t xml:space="preserve">Cox events</w:t>
            </w:r>
          </w:p>
        </w:tc>
        <w:tc>
          <w:tcPr/>
          <w:p>
            <w:pPr>
              <w:pStyle w:val="Compact"/>
              <w:jc w:val="right"/>
            </w:pPr>
            <w:r>
              <w:t xml:space="preserve">171</w:t>
            </w:r>
          </w:p>
        </w:tc>
        <w:tc>
          <w:tcPr/>
          <w:p>
            <w:pPr>
              <w:pStyle w:val="Compact"/>
              <w:jc w:val="right"/>
            </w:pPr>
            <w:r>
              <w:t xml:space="preserve">170</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0.043</w:t>
            </w:r>
          </w:p>
        </w:tc>
      </w:tr>
    </w:tbl>
    <w:p>
      <w:pPr>
        <w:pStyle w:val="BodyText"/>
      </w:pPr>
      <w:r>
        <w:t xml:space="preserve">Unlike the pre-congress decision, this one moves the median. AAGL2021_030 had an</w:t>
      </w:r>
      <w:r>
        <w:t xml:space="preserve"> </w:t>
      </w:r>
      <w:r>
        <w:t xml:space="preserve">interval of 34.6 months, well above the median, so removing it shortens the</w:t>
      </w:r>
      <w:r>
        <w:t xml:space="preserve"> </w:t>
      </w:r>
      <w:r>
        <w:t xml:space="preserve">distribution slightly. The Cox model keeps its 1,027 observations and loses one</w:t>
      </w:r>
      <w:r>
        <w:t xml:space="preserve"> </w:t>
      </w:r>
      <w:r>
        <w:t xml:space="preserve">event.</w:t>
      </w:r>
    </w:p>
    <w:bookmarkEnd w:id="229"/>
    <w:bookmarkStart w:id="230" w:name="a20.4-a-schema-trap"/>
    <w:p>
      <w:pPr>
        <w:pStyle w:val="Heading3"/>
      </w:pPr>
      <w:r>
        <w:t xml:space="preserve">A20.4 A schema trap</w:t>
      </w:r>
    </w:p>
    <w:p>
      <w:pPr>
        <w:pStyle w:val="FirstParagraph"/>
      </w:pPr>
      <w:r>
        <w:t xml:space="preserve">The cascade needs</w:t>
      </w:r>
      <w:r>
        <w:t xml:space="preserve"> </w:t>
      </w:r>
      <w:r>
        <w:rPr>
          <w:rStyle w:val="VerbatimChar"/>
        </w:rPr>
        <w:t xml:space="preserve">reviewer</w:t>
      </w:r>
      <w:r>
        <w:t xml:space="preserve"> </w:t>
      </w:r>
      <w:r>
        <w:t xml:space="preserve">to tell a human decision from a prefill, so</w:t>
      </w:r>
      <w:r>
        <w:t xml:space="preserve"> </w:t>
      </w:r>
      <w:r>
        <w:rPr>
          <w:rStyle w:val="VerbatimChar"/>
        </w:rPr>
        <w:t xml:space="preserve">assign_final_published()</w:t>
      </w:r>
      <w:r>
        <w:t xml:space="preserve"> </w:t>
      </w:r>
      <w:r>
        <w:t xml:space="preserve">joins it. Left there, it widened</w:t>
      </w:r>
      <w:r>
        <w:t xml:space="preserve"> </w:t>
      </w:r>
      <w:r>
        <w:rPr>
          <w:rStyle w:val="VerbatimChar"/>
        </w:rPr>
        <w:t xml:space="preserve">final_analytical_dataset.csv</w:t>
      </w:r>
      <w:r>
        <w:t xml:space="preserve"> </w:t>
      </w:r>
      <w:r>
        <w:t xml:space="preserve">from 93 columns to 94 and tripped the</w:t>
      </w:r>
      <w:r>
        <w:t xml:space="preserve"> </w:t>
      </w:r>
      <w:r>
        <w:t xml:space="preserve">documentation-drift test. The column is now dropped again unless the caller</w:t>
      </w:r>
      <w:r>
        <w:t xml:space="preserve"> </w:t>
      </w:r>
      <w:r>
        <w:t xml:space="preserve">already had it, so the rule can distinguish reviewers without changing the</w:t>
      </w:r>
      <w:r>
        <w:t xml:space="preserve"> </w:t>
      </w:r>
      <w:r>
        <w:t xml:space="preserve">dataset’s shape.</w:t>
      </w:r>
    </w:p>
    <w:bookmarkEnd w:id="230"/>
    <w:bookmarkStart w:id="231" w:name="Xfe0bf36cbf2669aa78eee4c6e9947fdc572a41f"/>
    <w:p>
      <w:pPr>
        <w:pStyle w:val="Heading3"/>
      </w:pPr>
      <w:r>
        <w:t xml:space="preserve">A20.5 What the decision-log test now asserts</w:t>
      </w:r>
    </w:p>
    <w:p>
      <w:pPr>
        <w:pStyle w:val="FirstParagraph"/>
      </w:pPr>
      <w:r>
        <w:rPr>
          <w:rStyle w:val="VerbatimChar"/>
        </w:rPr>
        <w:t xml:space="preserve">test-cycle22_decision_log.R</w:t>
      </w:r>
      <w:r>
        <w:t xml:space="preserve"> </w:t>
      </w:r>
      <w:r>
        <w:t xml:space="preserve">required the outcome column to agree with the</w:t>
      </w:r>
      <w:r>
        <w:t xml:space="preserve"> </w:t>
      </w:r>
      <w:r>
        <w:t xml:space="preserve">surviving decision for every abstract. Two PI decisions now break that on</w:t>
      </w:r>
      <w:r>
        <w:t xml:space="preserve"> </w:t>
      </w:r>
      <w:r>
        <w:t xml:space="preserve">purpose: a pre-congress publication is never counted whatever the reviewer said,</w:t>
      </w:r>
      <w:r>
        <w:t xml:space="preserve"> </w:t>
      </w:r>
      <w:r>
        <w:t xml:space="preserve">and an AUTO</w:t>
      </w:r>
      <w:r>
        <w:t xml:space="preserve"> </w:t>
      </w:r>
      <w:r>
        <w:rPr>
          <w:rStyle w:val="VerbatimChar"/>
        </w:rPr>
        <w:t xml:space="preserve">no_match</w:t>
      </w:r>
      <w:r>
        <w:t xml:space="preserve"> </w:t>
      </w:r>
      <w:r>
        <w:t xml:space="preserve">does not override a classification. The test asserts the</w:t>
      </w:r>
      <w:r>
        <w:t xml:space="preserve"> </w:t>
      </w:r>
      <w:r>
        <w:t xml:space="preserve">narrower, truer contract: every divergence must be explained by one of those two</w:t>
      </w:r>
      <w:r>
        <w:t xml:space="preserve"> </w:t>
      </w:r>
      <w:r>
        <w:t xml:space="preserve">rules, and a human</w:t>
      </w:r>
      <w:r>
        <w:t xml:space="preserve"> </w:t>
      </w:r>
      <w:r>
        <w:rPr>
          <w:rStyle w:val="VerbatimChar"/>
        </w:rPr>
        <w:t xml:space="preserve">no_match</w:t>
      </w:r>
      <w:r>
        <w:t xml:space="preserve"> </w:t>
      </w:r>
      <w:r>
        <w:t xml:space="preserve">counted as published is still a failure.</w:t>
      </w:r>
    </w:p>
    <w:p>
      <w:pPr>
        <w:pStyle w:val="BodyText"/>
      </w:pPr>
      <w:r>
        <w:t xml:space="preserve">A companion test counts the stale AUTO rows and fails if the count rises above</w:t>
      </w:r>
      <w:r>
        <w:t xml:space="preserve"> </w:t>
      </w:r>
      <w:r>
        <w:t xml:space="preserve">the three known. If the prefill is ever regenerated they should disappear; if</w:t>
      </w:r>
      <w:r>
        <w:t xml:space="preserve"> </w:t>
      </w:r>
      <w:r>
        <w:t xml:space="preserve">more appear, something is writing superseded decisions again.</w:t>
      </w:r>
    </w:p>
    <w:bookmarkEnd w:id="231"/>
    <w:bookmarkStart w:id="232" w:name="a20.6-still-open"/>
    <w:p>
      <w:pPr>
        <w:pStyle w:val="Heading3"/>
      </w:pPr>
      <w:r>
        <w:t xml:space="preserve">A20.6 Still open</w:t>
      </w:r>
    </w:p>
    <w:p>
      <w:pPr>
        <w:pStyle w:val="FirstParagraph"/>
      </w:pPr>
      <w:r>
        <w:t xml:space="preserve">Whether the three stale AUTO prefills should be regenerated or deleted is not</w:t>
      </w:r>
      <w:r>
        <w:t xml:space="preserve"> </w:t>
      </w:r>
      <w:r>
        <w:t xml:space="preserve">decided here. They do not change any number today, because the classification</w:t>
      </w:r>
      <w:r>
        <w:t xml:space="preserve"> </w:t>
      </w:r>
      <w:r>
        <w:t xml:space="preserve">they contradict is what the analysis uses.</w:t>
      </w:r>
    </w:p>
    <w:bookmarkEnd w:id="232"/>
    <w:bookmarkEnd w:id="233"/>
    <w:bookmarkStart w:id="239" w:name="X540cf2bfa947f9574ef7ff0973da69840325985"/>
    <w:p>
      <w:pPr>
        <w:pStyle w:val="Heading2"/>
      </w:pPr>
      <w:r>
        <w:t xml:space="preserve">A21. Deriving Affiliation Covariates From Affiliations</w:t>
      </w:r>
    </w:p>
    <w:p>
      <w:pPr>
        <w:pStyle w:val="FirstParagraph"/>
      </w:pPr>
      <w:r>
        <w:rPr>
          <w:b/>
          <w:bCs/>
        </w:rPr>
        <w:t xml:space="preserve">PI decision, 2026-09-05.</w:t>
      </w:r>
      <w:r>
        <w:t xml:space="preserve"> </w:t>
      </w:r>
      <w:r>
        <w:rPr>
          <w:rStyle w:val="VerbatimChar"/>
        </w:rPr>
        <w:t xml:space="preserve">is_academic</w:t>
      </w:r>
      <w:r>
        <w:t xml:space="preserve"> </w:t>
      </w:r>
      <w:r>
        <w:t xml:space="preserve">and</w:t>
      </w:r>
      <w:r>
        <w:t xml:space="preserve"> </w:t>
      </w:r>
      <w:r>
        <w:rPr>
          <w:rStyle w:val="VerbatimChar"/>
        </w:rPr>
        <w:t xml:space="preserve">is_us_based</w:t>
      </w:r>
      <w:r>
        <w:t xml:space="preserve"> </w:t>
      </w:r>
      <w:r>
        <w:t xml:space="preserve">are now derived</w:t>
      </w:r>
      <w:r>
        <w:t xml:space="preserve"> </w:t>
      </w:r>
      <w:r>
        <w:t xml:space="preserve">from the author affiliation rather than from abstract body text. The</w:t>
      </w:r>
      <w:r>
        <w:t xml:space="preserve"> </w:t>
      </w:r>
      <w:r>
        <w:t xml:space="preserve">publication rate does not change. One reported finding disappears.</w:t>
      </w:r>
    </w:p>
    <w:bookmarkStart w:id="234" w:name="a21.1-what-they-were-measuring"/>
    <w:p>
      <w:pPr>
        <w:pStyle w:val="Heading3"/>
      </w:pPr>
      <w:r>
        <w:t xml:space="preserve">A21.1 What they were measuring</w:t>
      </w:r>
    </w:p>
    <w:p>
      <w:pPr>
        <w:pStyle w:val="FirstParagraph"/>
      </w:pPr>
      <w:r>
        <w:t xml:space="preserve">Neither variable had ever read an affiliation.</w:t>
      </w:r>
      <w:r>
        <w:t xml:space="preserve"> </w:t>
      </w:r>
      <w:r>
        <w:rPr>
          <w:rStyle w:val="VerbatimChar"/>
        </w:rPr>
        <w:t xml:space="preserve">affiliation_raw</w:t>
      </w:r>
      <w:r>
        <w:t xml:space="preserve"> </w:t>
      </w:r>
      <w:r>
        <w:t xml:space="preserve">was empty for</w:t>
      </w:r>
      <w:r>
        <w:t xml:space="preserve"> </w:t>
      </w:r>
      <w:r>
        <w:t xml:space="preserve">all 1,106 abstracts because of the parser defect in A20, so the affiliation</w:t>
      </w:r>
      <w:r>
        <w:t xml:space="preserve"> </w:t>
      </w:r>
      <w:r>
        <w:t xml:space="preserve">branch of each rule never fired and both fell through to abstract body text.</w:t>
      </w:r>
      <w:r>
        <w:t xml:space="preserve"> </w:t>
      </w:r>
      <w:r>
        <w:t xml:space="preserve">The academic pattern included</w:t>
      </w:r>
      <w:r>
        <w:t xml:space="preserve"> </w:t>
      </w:r>
      <w:r>
        <w:rPr>
          <w:rStyle w:val="VerbatimChar"/>
        </w:rPr>
        <w:t xml:space="preserve">residency</w:t>
      </w:r>
      <w:r>
        <w:t xml:space="preserve">,</w:t>
      </w:r>
      <w:r>
        <w:t xml:space="preserve"> </w:t>
      </w:r>
      <w:r>
        <w:rPr>
          <w:rStyle w:val="VerbatimChar"/>
        </w:rPr>
        <w:t xml:space="preserve">fellowship</w:t>
      </w:r>
      <w:r>
        <w:t xml:space="preserve"> </w:t>
      </w:r>
      <w:r>
        <w:t xml:space="preserve">and</w:t>
      </w:r>
      <w:r>
        <w:t xml:space="preserve"> </w:t>
      </w:r>
      <w:r>
        <w:rPr>
          <w:rStyle w:val="VerbatimChar"/>
        </w:rPr>
        <w:t xml:space="preserve">tertiary.*center</w:t>
      </w:r>
      <w:r>
        <w:t xml:space="preserve">,</w:t>
      </w:r>
      <w:r>
        <w:t xml:space="preserve"> </w:t>
      </w:r>
      <w:r>
        <w:t xml:space="preserve">which describe a study rather than an author’s institution. The US pattern</w:t>
      </w:r>
      <w:r>
        <w:t xml:space="preserve"> </w:t>
      </w:r>
      <w:r>
        <w:t xml:space="preserve">matched any state name anywhere in the abstract.</w:t>
      </w:r>
    </w:p>
    <w:p>
      <w:pPr>
        <w:pStyle w:val="BodyText"/>
      </w:pPr>
      <w:r>
        <w:t xml:space="preserve">Validated against real affiliations: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body text</w:t>
            </w:r>
          </w:p>
        </w:tc>
        <w:tc>
          <w:tcPr/>
          <w:p>
            <w:pPr>
              <w:pStyle w:val="Compact"/>
              <w:jc w:val="right"/>
            </w:pPr>
            <w:r>
              <w:t xml:space="preserve">affiliation</w:t>
            </w:r>
          </w:p>
        </w:tc>
        <w:tc>
          <w:tcPr/>
          <w:p>
            <w:pPr>
              <w:pStyle w:val="Compact"/>
              <w:jc w:val="right"/>
            </w:pPr>
            <w:r>
              <w:t xml:space="preserve">agreement</w:t>
            </w:r>
          </w:p>
        </w:tc>
      </w:tr>
      <w:tr>
        <w:tc>
          <w:tcPr/>
          <w:p>
            <w:pPr>
              <w:pStyle w:val="Compact"/>
            </w:pPr>
            <w:r>
              <w:t xml:space="preserve">academic</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54.1%</w:t>
            </w:r>
          </w:p>
        </w:tc>
      </w:tr>
      <w:tr>
        <w:tc>
          <w:tcPr/>
          <w:p>
            <w:pPr>
              <w:pStyle w:val="Compact"/>
            </w:pPr>
            <w:r>
              <w:t xml:space="preserve">US-based</w:t>
            </w:r>
          </w:p>
        </w:tc>
        <w:tc>
          <w:tcPr/>
          <w:p>
            <w:pPr>
              <w:pStyle w:val="Compact"/>
              <w:jc w:val="right"/>
            </w:pPr>
            <w:r>
              <w:t xml:space="preserve">82.1%</w:t>
            </w:r>
          </w:p>
        </w:tc>
        <w:tc>
          <w:tcPr/>
          <w:p>
            <w:pPr>
              <w:pStyle w:val="Compact"/>
              <w:jc w:val="right"/>
            </w:pPr>
            <w:r>
              <w:t xml:space="preserve">57.6%</w:t>
            </w:r>
          </w:p>
        </w:tc>
        <w:tc>
          <w:tcPr/>
          <w:p>
            <w:pPr>
              <w:pStyle w:val="Compact"/>
              <w:jc w:val="right"/>
            </w:pPr>
            <w:r>
              <w:t xml:space="preserve">52.7%</w:t>
            </w:r>
          </w:p>
        </w:tc>
      </w:tr>
    </w:tbl>
    <w:p>
      <w:pPr>
        <w:pStyle w:val="BodyText"/>
      </w:pPr>
      <w:r>
        <w:t xml:space="preserve">Both proxies agree with the construct they claim to measure at close to chance.</w:t>
      </w:r>
      <w:r>
        <w:t xml:space="preserve"> </w:t>
      </w:r>
      <w:r>
        <w:t xml:space="preserve">The academic proxy understated academic affiliation by half; the US proxy</w:t>
      </w:r>
      <w:r>
        <w:t xml:space="preserve"> </w:t>
      </w:r>
      <w:r>
        <w:t xml:space="preserve">overstated US location by 24 percentage points.</w:t>
      </w:r>
    </w:p>
    <w:bookmarkEnd w:id="234"/>
    <w:bookmarkStart w:id="235" w:name="a21.2-abstract-level-extraction"/>
    <w:p>
      <w:pPr>
        <w:pStyle w:val="Heading3"/>
      </w:pPr>
      <w:r>
        <w:t xml:space="preserve">A21.2 Abstract-level extraction</w:t>
      </w:r>
    </w:p>
    <w:p>
      <w:pPr>
        <w:pStyle w:val="FirstParagraph"/>
      </w:pPr>
      <w:r>
        <w:t xml:space="preserve">The per-author affiliation table reaches 55% of the cohort, because linking an</w:t>
      </w:r>
      <w:r>
        <w:t xml:space="preserve"> </w:t>
      </w:r>
      <w:r>
        <w:t xml:space="preserve">author to an institution needs a</w:t>
      </w:r>
      <w:r>
        <w:t xml:space="preserve"> </w:t>
      </w:r>
      <w:r>
        <w:rPr>
          <w:rStyle w:val="VerbatimChar"/>
        </w:rPr>
        <w:t xml:space="preserve">refid</w:t>
      </w:r>
      <w:r>
        <w:t xml:space="preserve"> </w:t>
      </w:r>
      <w:r>
        <w:t xml:space="preserve">that the 2017-2018 ScienceDirect</w:t>
      </w:r>
      <w:r>
        <w:t xml:space="preserve"> </w:t>
      </w:r>
      <w:r>
        <w:t xml:space="preserve">format does not emit. Abstract-level covariates do not need that link:</w:t>
      </w:r>
      <w:r>
        <w:t xml:space="preserve"> </w:t>
      </w:r>
      <w:r>
        <w:t xml:space="preserve">“is any</w:t>
      </w:r>
      <w:r>
        <w:t xml:space="preserve"> </w:t>
      </w:r>
      <w:r>
        <w:t xml:space="preserve">author at an academic institution”</w:t>
      </w:r>
      <w:r>
        <w:t xml:space="preserve"> </w:t>
      </w:r>
      <w:r>
        <w:t xml:space="preserve">and</w:t>
      </w:r>
      <w:r>
        <w:t xml:space="preserve"> </w:t>
      </w:r>
      <w:r>
        <w:t xml:space="preserve">“how many institutions appear”</w:t>
      </w:r>
      <w:r>
        <w:t xml:space="preserve"> </w:t>
      </w:r>
      <w:r>
        <w:t xml:space="preserve">are</w:t>
      </w:r>
      <w:r>
        <w:t xml:space="preserve"> </w:t>
      </w:r>
      <w:r>
        <w:t xml:space="preserve">properties of the record.</w:t>
      </w:r>
      <w:r>
        <w:t xml:space="preserve"> </w:t>
      </w:r>
      <w:r>
        <w:rPr>
          <w:rStyle w:val="VerbatimChar"/>
        </w:rPr>
        <w:t xml:space="preserve">scripts/backfill_affiliations_from_cache.R</w:t>
      </w:r>
      <w:r>
        <w:t xml:space="preserve"> </w:t>
      </w:r>
      <w:r>
        <w:t xml:space="preserve">now also</w:t>
      </w:r>
      <w:r>
        <w:t xml:space="preserve"> </w:t>
      </w:r>
      <w:r>
        <w:t xml:space="preserve">writes</w:t>
      </w:r>
      <w:r>
        <w:t xml:space="preserve"> </w:t>
      </w:r>
      <w:r>
        <w:rPr>
          <w:rStyle w:val="VerbatimChar"/>
        </w:rPr>
        <w:t xml:space="preserve">data/processed/abstract_affiliations.csv</w:t>
      </w:r>
      <w:r>
        <w:t xml:space="preserve">, the union of institution</w:t>
      </w:r>
      <w:r>
        <w:t xml:space="preserve"> </w:t>
      </w:r>
      <w:r>
        <w:t xml:space="preserve">strings per abstract, reaching</w:t>
      </w:r>
      <w:r>
        <w:t xml:space="preserve"> </w:t>
      </w:r>
      <w:r>
        <w:rPr>
          <w:b/>
          <w:bCs/>
        </w:rPr>
        <w:t xml:space="preserve">1,092 of 1,106 (98.7%)</w:t>
      </w:r>
      <w:r>
        <w:t xml:space="preserve">, including 2017 and</w:t>
      </w:r>
      <w:r>
        <w:t xml:space="preserve"> </w:t>
      </w:r>
      <w:r>
        <w:t xml:space="preserve">2018 at 100%.</w:t>
      </w:r>
    </w:p>
    <w:p>
      <w:pPr>
        <w:pStyle w:val="BodyText"/>
      </w:pPr>
      <w:r>
        <w:t xml:space="preserve">Where no affiliation is on file the covariates are</w:t>
      </w:r>
      <w:r>
        <w:t xml:space="preserve"> </w:t>
      </w:r>
      <w:r>
        <w:rPr>
          <w:rStyle w:val="VerbatimChar"/>
        </w:rPr>
        <w:t xml:space="preserve">NA</w:t>
      </w:r>
      <w:r>
        <w:t xml:space="preserve">, not</w:t>
      </w:r>
      <w:r>
        <w:t xml:space="preserve"> </w:t>
      </w:r>
      <w:r>
        <w:rPr>
          <w:rStyle w:val="VerbatimChar"/>
        </w:rPr>
        <w:t xml:space="preserve">FALSE</w:t>
      </w:r>
      <w:r>
        <w:t xml:space="preserve">. Coding</w:t>
      </w:r>
      <w:r>
        <w:t xml:space="preserve"> </w:t>
      </w:r>
      <w:r>
        <w:t xml:space="preserve">absence as a negative was what filled the comparison group with unknowns and</w:t>
      </w:r>
      <w:r>
        <w:t xml:space="preserve"> </w:t>
      </w:r>
      <w:r>
        <w:t xml:space="preserve">produced the era gradient that made an earlier attempt at this change</w:t>
      </w:r>
      <w:r>
        <w:t xml:space="preserve"> </w:t>
      </w:r>
      <w:r>
        <w:t xml:space="preserve">unusable.</w:t>
      </w:r>
    </w:p>
    <w:bookmarkEnd w:id="235"/>
    <w:bookmarkStart w:id="236" w:name="a21.3-the-result"/>
    <w:p>
      <w:pPr>
        <w:pStyle w:val="Heading3"/>
      </w:pPr>
      <w:r>
        <w:t xml:space="preserve">A21.3 The result</w:t>
      </w:r>
    </w:p>
    <w:p>
      <w:pPr>
        <w:pStyle w:val="FirstParagraph"/>
      </w:pPr>
      <w:r>
        <w:t xml:space="preserve">Both are now stable across congress years, which the text proxies were not:</w:t>
      </w:r>
      <w:r>
        <w:t xml:space="preserve"> </w:t>
      </w:r>
      <w:r>
        <w:t xml:space="preserve">academic ranges 55.8% to 75.6% and US-based 50.0% to 64.4%, with no cliff at</w:t>
      </w:r>
      <w:r>
        <w:t xml:space="preserve"> </w:t>
      </w:r>
      <w:r>
        <w:t xml:space="preserve">the 2017-2018 boundary where the text ran out.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Cox term</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p before</w:t>
            </w:r>
          </w:p>
        </w:tc>
        <w:tc>
          <w:tcPr/>
          <w:p>
            <w:pPr>
              <w:pStyle w:val="Compact"/>
              <w:jc w:val="right"/>
            </w:pPr>
            <w:r>
              <w:t xml:space="preserve">p after</w:t>
            </w:r>
          </w:p>
        </w:tc>
      </w:tr>
      <w:tr>
        <w:tc>
          <w:tcPr/>
          <w:p>
            <w:pPr>
              <w:pStyle w:val="Compact"/>
            </w:pPr>
            <w:r>
              <w:rPr>
                <w:rStyle w:val="VerbatimChar"/>
              </w:rPr>
              <w:t xml:space="preserve">is_rct</w:t>
            </w:r>
          </w:p>
        </w:tc>
        <w:tc>
          <w:tcPr/>
          <w:p>
            <w:pPr>
              <w:pStyle w:val="Compact"/>
              <w:jc w:val="right"/>
            </w:pPr>
            <w:r>
              <w:t xml:space="preserve">2.172</w:t>
            </w:r>
          </w:p>
        </w:tc>
        <w:tc>
          <w:tcPr/>
          <w:p>
            <w:pPr>
              <w:pStyle w:val="Compact"/>
              <w:jc w:val="right"/>
            </w:pPr>
            <w:r>
              <w:t xml:space="preserve">2.002</w:t>
            </w:r>
          </w:p>
        </w:tc>
        <w:tc>
          <w:tcPr/>
          <w:p>
            <w:pPr>
              <w:pStyle w:val="Compact"/>
              <w:jc w:val="right"/>
            </w:pPr>
            <w:r>
              <w:t xml:space="preserve">&lt;0.001</w:t>
            </w:r>
          </w:p>
        </w:tc>
        <w:tc>
          <w:tcPr/>
          <w:p>
            <w:pPr>
              <w:pStyle w:val="Compact"/>
              <w:jc w:val="right"/>
            </w:pPr>
            <w:r>
              <w:t xml:space="preserve">0.001</w:t>
            </w:r>
          </w:p>
        </w:tc>
      </w:tr>
      <w:tr>
        <w:tc>
          <w:tcPr/>
          <w:p>
            <w:pPr>
              <w:pStyle w:val="Compact"/>
            </w:pPr>
            <w:r>
              <w:rPr>
                <w:rStyle w:val="VerbatimChar"/>
                <w:b/>
                <w:bCs/>
              </w:rPr>
              <w:t xml:space="preserve">is_academic</w:t>
            </w:r>
          </w:p>
        </w:tc>
        <w:tc>
          <w:tcPr/>
          <w:p>
            <w:pPr>
              <w:pStyle w:val="Compact"/>
              <w:jc w:val="right"/>
            </w:pPr>
            <w:r>
              <w:rPr>
                <w:b/>
                <w:bCs/>
              </w:rPr>
              <w:t xml:space="preserve">0.649</w:t>
            </w:r>
          </w:p>
        </w:tc>
        <w:tc>
          <w:tcPr/>
          <w:p>
            <w:pPr>
              <w:pStyle w:val="Compact"/>
              <w:jc w:val="right"/>
            </w:pPr>
            <w:r>
              <w:rPr>
                <w:b/>
                <w:bCs/>
              </w:rPr>
              <w:t xml:space="preserve">1.097</w:t>
            </w:r>
          </w:p>
        </w:tc>
        <w:tc>
          <w:tcPr/>
          <w:p>
            <w:pPr>
              <w:pStyle w:val="Compact"/>
              <w:jc w:val="right"/>
            </w:pPr>
            <w:r>
              <w:rPr>
                <w:b/>
                <w:bCs/>
              </w:rPr>
              <w:t xml:space="preserve">0.013</w:t>
            </w:r>
          </w:p>
        </w:tc>
        <w:tc>
          <w:tcPr/>
          <w:p>
            <w:pPr>
              <w:pStyle w:val="Compact"/>
              <w:jc w:val="right"/>
            </w:pPr>
            <w:r>
              <w:rPr>
                <w:b/>
                <w:bCs/>
              </w:rPr>
              <w:t xml:space="preserve">0.587</w:t>
            </w:r>
          </w:p>
        </w:tc>
      </w:tr>
      <w:tr>
        <w:tc>
          <w:tcPr/>
          <w:p>
            <w:pPr>
              <w:pStyle w:val="Compact"/>
            </w:pPr>
            <w:r>
              <w:rPr>
                <w:rStyle w:val="VerbatimChar"/>
              </w:rPr>
              <w:t xml:space="preserve">is_us_based</w:t>
            </w:r>
          </w:p>
        </w:tc>
        <w:tc>
          <w:tcPr/>
          <w:p>
            <w:pPr>
              <w:pStyle w:val="Compact"/>
              <w:jc w:val="right"/>
            </w:pPr>
            <w:r>
              <w:t xml:space="preserve">1.354</w:t>
            </w:r>
          </w:p>
        </w:tc>
        <w:tc>
          <w:tcPr/>
          <w:p>
            <w:pPr>
              <w:pStyle w:val="Compact"/>
              <w:jc w:val="right"/>
            </w:pPr>
            <w:r>
              <w:t xml:space="preserve">0.787</w:t>
            </w:r>
          </w:p>
        </w:tc>
        <w:tc>
          <w:tcPr/>
          <w:p>
            <w:pPr>
              <w:pStyle w:val="Compact"/>
              <w:jc w:val="right"/>
            </w:pPr>
            <w:r>
              <w:t xml:space="preserve">0.205</w:t>
            </w:r>
          </w:p>
        </w:tc>
        <w:tc>
          <w:tcPr/>
          <w:p>
            <w:pPr>
              <w:pStyle w:val="Compact"/>
              <w:jc w:val="right"/>
            </w:pPr>
            <w:r>
              <w:t xml:space="preserve">0.136</w:t>
            </w:r>
          </w:p>
        </w:tc>
      </w:tr>
      <w:tr>
        <w:tc>
          <w:tcPr/>
          <w:p>
            <w:pPr>
              <w:pStyle w:val="Compact"/>
            </w:pPr>
            <w:r>
              <w:rPr>
                <w:rStyle w:val="VerbatimChar"/>
              </w:rPr>
              <w:t xml:space="preserve">n_authors</w:t>
            </w:r>
          </w:p>
        </w:tc>
        <w:tc>
          <w:tcPr/>
          <w:p>
            <w:pPr>
              <w:pStyle w:val="Compact"/>
              <w:jc w:val="right"/>
            </w:pPr>
            <w:r>
              <w:t xml:space="preserve">1.252</w:t>
            </w:r>
          </w:p>
        </w:tc>
        <w:tc>
          <w:tcPr/>
          <w:p>
            <w:pPr>
              <w:pStyle w:val="Compact"/>
              <w:jc w:val="right"/>
            </w:pPr>
            <w:r>
              <w:t xml:space="preserve">1.218</w:t>
            </w:r>
          </w:p>
        </w:tc>
        <w:tc>
          <w:tcPr/>
          <w:p>
            <w:pPr>
              <w:pStyle w:val="Compact"/>
              <w:jc w:val="right"/>
            </w:pPr>
            <w:r>
              <w:t xml:space="preserve">0.002</w:t>
            </w:r>
          </w:p>
        </w:tc>
        <w:tc>
          <w:tcPr/>
          <w:p>
            <w:pPr>
              <w:pStyle w:val="Compact"/>
              <w:jc w:val="right"/>
            </w:pPr>
            <w:r>
              <w:t xml:space="preserve">0.006</w:t>
            </w:r>
          </w:p>
        </w:tc>
      </w:tr>
      <w:tr>
        <w:tc>
          <w:tcPr/>
          <w:p>
            <w:pPr>
              <w:pStyle w:val="Compact"/>
            </w:pPr>
            <w:r>
              <w:rPr>
                <w:rStyle w:val="VerbatimChar"/>
              </w:rPr>
              <w:t xml:space="preserve">gender_unified</w:t>
            </w:r>
          </w:p>
        </w:tc>
        <w:tc>
          <w:tcPr/>
          <w:p>
            <w:pPr>
              <w:pStyle w:val="Compact"/>
              <w:jc w:val="right"/>
            </w:pPr>
            <w:r>
              <w:t xml:space="preserve">0.780</w:t>
            </w:r>
          </w:p>
        </w:tc>
        <w:tc>
          <w:tcPr/>
          <w:p>
            <w:pPr>
              <w:pStyle w:val="Compact"/>
              <w:jc w:val="right"/>
            </w:pPr>
            <w:r>
              <w:t xml:space="preserve">0.746</w:t>
            </w:r>
          </w:p>
        </w:tc>
        <w:tc>
          <w:tcPr/>
          <w:p>
            <w:pPr>
              <w:pStyle w:val="Compact"/>
              <w:jc w:val="right"/>
            </w:pPr>
            <w:r>
              <w:t xml:space="preserve">0.114</w:t>
            </w:r>
          </w:p>
        </w:tc>
        <w:tc>
          <w:tcPr/>
          <w:p>
            <w:pPr>
              <w:pStyle w:val="Compact"/>
              <w:jc w:val="right"/>
            </w:pPr>
            <w:r>
              <w:t xml:space="preserve">0.066</w:t>
            </w:r>
          </w:p>
        </w:tc>
      </w:tr>
      <w:tr>
        <w:tc>
          <w:tcPr/>
          <w:p>
            <w:pPr>
              <w:pStyle w:val="Compact"/>
            </w:pPr>
            <w:r>
              <w:rPr>
                <w:rStyle w:val="VerbatimChar"/>
              </w:rPr>
              <w:t xml:space="preserve">is_multicenter</w:t>
            </w:r>
          </w:p>
        </w:tc>
        <w:tc>
          <w:tcPr/>
          <w:p>
            <w:pPr>
              <w:pStyle w:val="Compact"/>
              <w:jc w:val="right"/>
            </w:pPr>
            <w:r>
              <w:t xml:space="preserve">1.402</w:t>
            </w:r>
          </w:p>
        </w:tc>
        <w:tc>
          <w:tcPr/>
          <w:p>
            <w:pPr>
              <w:pStyle w:val="Compact"/>
              <w:jc w:val="right"/>
            </w:pPr>
            <w:r>
              <w:t xml:space="preserve">1.361</w:t>
            </w:r>
          </w:p>
        </w:tc>
        <w:tc>
          <w:tcPr/>
          <w:p>
            <w:pPr>
              <w:pStyle w:val="Compact"/>
              <w:jc w:val="right"/>
            </w:pPr>
            <w:r>
              <w:t xml:space="preserve">0.219</w:t>
            </w:r>
          </w:p>
        </w:tc>
        <w:tc>
          <w:tcPr/>
          <w:p>
            <w:pPr>
              <w:pStyle w:val="Compact"/>
              <w:jc w:val="right"/>
            </w:pPr>
            <w:r>
              <w:t xml:space="preserve">0.265</w:t>
            </w:r>
          </w:p>
        </w:tc>
      </w:tr>
    </w:tbl>
    <w:p>
      <w:pPr>
        <w:pStyle w:val="BodyText"/>
      </w:pPr>
      <w:r>
        <w:rPr>
          <w:b/>
          <w:bCs/>
        </w:rPr>
        <w:t xml:space="preserve">The academic finding does not survive measurement.</w:t>
      </w:r>
      <w:r>
        <w:t xml:space="preserve"> </w:t>
      </w:r>
      <w:r>
        <w:t xml:space="preserve">It reverses direction</w:t>
      </w:r>
      <w:r>
        <w:t xml:space="preserve"> </w:t>
      </w:r>
      <w:r>
        <w:t xml:space="preserve">and becomes null, and its bootstrap retention falls from 47.4% to 5.6%, the</w:t>
      </w:r>
      <w:r>
        <w:t xml:space="preserve"> </w:t>
      </w:r>
      <w:r>
        <w:t xml:space="preserve">lowest of any term. Reported for three refits as</w:t>
      </w:r>
      <w:r>
        <w:t xml:space="preserve"> </w:t>
      </w:r>
      <w:r>
        <w:t xml:space="preserve">“academic affiliation is</w:t>
      </w:r>
      <w:r>
        <w:t xml:space="preserve"> </w:t>
      </w:r>
      <w:r>
        <w:t xml:space="preserve">associated with slower publication”</w:t>
      </w:r>
      <w:r>
        <w:t xml:space="preserve">, it was an artefact of a proxy that agreed</w:t>
      </w:r>
      <w:r>
        <w:t xml:space="preserve"> </w:t>
      </w:r>
      <w:r>
        <w:t xml:space="preserve">with the construct 54% of the time. It should be reported as no evidence of an</w:t>
      </w:r>
      <w:r>
        <w:t xml:space="preserve"> </w:t>
      </w:r>
      <w:r>
        <w:t xml:space="preserve">association.</w:t>
      </w:r>
    </w:p>
    <w:p>
      <w:pPr>
        <w:pStyle w:val="BodyText"/>
      </w:pP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survive, at 93.2% and 88.6% bootstrap retention. They</w:t>
      </w:r>
      <w:r>
        <w:t xml:space="preserve"> </w:t>
      </w:r>
      <w:r>
        <w:t xml:space="preserve">were never affiliation-derived and they do not move.</w:t>
      </w:r>
    </w:p>
    <w:bookmarkEnd w:id="236"/>
    <w:bookmarkStart w:id="237" w:name="X4590b6dd92ead22b7ab6d675fab63ab7b74b5f8"/>
    <w:p>
      <w:pPr>
        <w:pStyle w:val="Heading3"/>
      </w:pPr>
      <w:r>
        <w:t xml:space="preserve">A21.4 A second proportional-hazards violator</w:t>
      </w:r>
    </w:p>
    <w:p>
      <w:pPr>
        <w:pStyle w:val="FirstParagraph"/>
      </w:pPr>
      <w:r>
        <w:t xml:space="preserve">The global Schoenfeld test moves from p = 0.043 to</w:t>
      </w:r>
      <w:r>
        <w:t xml:space="preserve"> </w:t>
      </w:r>
      <w:r>
        <w:rPr>
          <w:b/>
          <w:bCs/>
        </w:rPr>
        <w:t xml:space="preserve">p = 0.010</w:t>
      </w:r>
      <w:r>
        <w:t xml:space="preserve">, and the</w:t>
      </w:r>
      <w:r>
        <w:t xml:space="preserve"> </w:t>
      </w:r>
      <w:r>
        <w:t xml:space="preserve">violation is no longer confined to one term:</w:t>
      </w:r>
      <w:r>
        <w:t xml:space="preserve"> </w:t>
      </w:r>
      <w:r>
        <w:rPr>
          <w:rStyle w:val="VerbatimChar"/>
        </w:rPr>
        <w:t xml:space="preserve">is_us_based</w:t>
      </w:r>
      <w:r>
        <w:t xml:space="preserve"> </w:t>
      </w:r>
      <w:r>
        <w:t xml:space="preserve">now violates at</w:t>
      </w:r>
      <w:r>
        <w:t xml:space="preserve"> </w:t>
      </w:r>
      <w:r>
        <w:t xml:space="preserve">p = 0.005 alongside</w:t>
      </w:r>
      <w:r>
        <w:t xml:space="preserve"> </w:t>
      </w:r>
      <w:r>
        <w:rPr>
          <w:rStyle w:val="VerbatimChar"/>
        </w:rPr>
        <w:t xml:space="preserve">n_authors</w:t>
      </w:r>
      <w:r>
        <w:t xml:space="preserve"> </w:t>
      </w:r>
      <w:r>
        <w:t xml:space="preserve">at p = 0.003.</w:t>
      </w:r>
    </w:p>
    <w:p>
      <w:pPr>
        <w:pStyle w:val="BodyText"/>
      </w:pPr>
      <w:r>
        <w:t xml:space="preserve">The remediation handled this without modification, which is what the generic</w:t>
      </w:r>
      <w:r>
        <w:t xml:space="preserve"> </w:t>
      </w:r>
      <w:r>
        <w:t xml:space="preserve">implementation was written for. It reads the violating set from</w:t>
      </w:r>
      <w:r>
        <w:t xml:space="preserve"> </w:t>
      </w:r>
      <w:r>
        <w:rPr>
          <w:rStyle w:val="VerbatimChar"/>
        </w:rPr>
        <w:t xml:space="preserve">cox.zph</w:t>
      </w:r>
      <w:r>
        <w:t xml:space="preserve"> </w:t>
      </w:r>
      <w:r>
        <w:t xml:space="preserve">and</w:t>
      </w:r>
      <w:r>
        <w:t xml:space="preserve"> </w:t>
      </w:r>
      <w:r>
        <w:t xml:space="preserve">chooses by type:</w:t>
      </w:r>
      <w:r>
        <w:t xml:space="preserve"> </w:t>
      </w:r>
      <w:r>
        <w:rPr>
          <w:rStyle w:val="VerbatimChar"/>
        </w:rPr>
        <w:t xml:space="preserve">n_authors</w:t>
      </w:r>
      <w:r>
        <w:t xml:space="preserve"> </w:t>
      </w:r>
      <w:r>
        <w:t xml:space="preserve">is numeric and takes a log-time interaction,</w:t>
      </w:r>
      <w:r>
        <w:t xml:space="preserve"> </w:t>
      </w:r>
      <w:r>
        <w:rPr>
          <w:rStyle w:val="VerbatimChar"/>
        </w:rPr>
        <w:t xml:space="preserve">is_us_based</w:t>
      </w:r>
      <w:r>
        <w:t xml:space="preserve"> </w:t>
      </w:r>
      <w:r>
        <w:t xml:space="preserve">is logical and moves into</w:t>
      </w:r>
      <w:r>
        <w:t xml:space="preserve"> </w:t>
      </w:r>
      <w:r>
        <w:rPr>
          <w:rStyle w:val="VerbatimChar"/>
        </w:rPr>
        <w:t xml:space="preserve">strata()</w:t>
      </w:r>
      <w:r>
        <w:t xml:space="preserve">. Stratifying on both</w:t>
      </w:r>
      <w:r>
        <w:t xml:space="preserve"> </w:t>
      </w:r>
      <w:r>
        <w:t xml:space="preserve">restores the global test to p = 0.607.</w:t>
      </w:r>
    </w:p>
    <w:p>
      <w:pPr>
        <w:pStyle w:val="BodyText"/>
      </w:pPr>
      <w:r>
        <w:t xml:space="preserve">The diagnostics script did need fixing. It assumed a single numeric violator</w:t>
      </w:r>
      <w:r>
        <w:t xml:space="preserve"> </w:t>
      </w:r>
      <w:r>
        <w:t xml:space="preserve">and took</w:t>
      </w:r>
      <w:r>
        <w:t xml:space="preserve"> </w:t>
      </w:r>
      <w:r>
        <w:rPr>
          <w:rStyle w:val="VerbatimChar"/>
        </w:rPr>
        <w:t xml:space="preserve">violators[1]</w:t>
      </w:r>
      <w:r>
        <w:t xml:space="preserve">, which with two violators selected the categorical one</w:t>
      </w:r>
      <w:r>
        <w:t xml:space="preserve"> </w:t>
      </w:r>
      <w:r>
        <w:t xml:space="preserve">and silently produced no AIC or ceiling metrics at all. It now selects the</w:t>
      </w:r>
      <w:r>
        <w:t xml:space="preserve"> </w:t>
      </w:r>
      <w:r>
        <w:t xml:space="preserve">first numeric violator for those metrics, reports how many terms violate, and</w:t>
      </w:r>
      <w:r>
        <w:t xml:space="preserve"> </w:t>
      </w:r>
      <w:r>
        <w:t xml:space="preserve">computes the</w:t>
      </w:r>
      <w:r>
        <w:t xml:space="preserve"> </w:t>
      </w:r>
      <w:r>
        <w:t xml:space="preserve">“without violator”</w:t>
      </w:r>
      <w:r>
        <w:t xml:space="preserve"> </w:t>
      </w:r>
      <w:r>
        <w:t xml:space="preserve">refit by dropping every violating term rather</w:t>
      </w:r>
      <w:r>
        <w:t xml:space="preserve"> </w:t>
      </w:r>
      <w:r>
        <w:t xml:space="preserve">than one.</w:t>
      </w:r>
    </w:p>
    <w:bookmarkEnd w:id="237"/>
    <w:bookmarkStart w:id="238" w:name="X42642850baf814f4018ce72226e7a9fa8056c27"/>
    <w:p>
      <w:pPr>
        <w:pStyle w:val="Heading3"/>
      </w:pPr>
      <w:r>
        <w:t xml:space="preserve">A21.5 What was audited and deliberately not changed</w:t>
      </w:r>
    </w:p>
    <w:p>
      <w:pPr>
        <w:pStyle w:val="FirstParagraph"/>
      </w:pPr>
      <w:r>
        <w:rPr>
          <w:rStyle w:val="VerbatimChar"/>
        </w:rPr>
        <w:t xml:space="preserve">n_affiliations</w:t>
      </w:r>
      <w:r>
        <w:t xml:space="preserve"> </w:t>
      </w:r>
      <w:r>
        <w:t xml:space="preserve">is now recorded from the source: mean 2.37 institutions per</w:t>
      </w:r>
      <w:r>
        <w:t xml:space="preserve"> </w:t>
      </w:r>
      <w:r>
        <w:t xml:space="preserve">abstract, 679 abstracts naming more than one.</w:t>
      </w:r>
    </w:p>
    <w:p>
      <w:pPr>
        <w:pStyle w:val="BodyText"/>
      </w:pPr>
      <w:r>
        <w:rPr>
          <w:rStyle w:val="VerbatimChar"/>
        </w:rPr>
        <w:t xml:space="preserve">is_multicenter</w:t>
      </w:r>
      <w:r>
        <w:t xml:space="preserve"> </w:t>
      </w:r>
      <w:r>
        <w:t xml:space="preserve">is unchanged at 65 abstracts, and the gap is deliberate. More</w:t>
      </w:r>
      <w:r>
        <w:t xml:space="preserve"> </w:t>
      </w:r>
      <w:r>
        <w:t xml:space="preserve">than one affiliation on a paper is not the same as a multicentre study: a</w:t>
      </w:r>
      <w:r>
        <w:t xml:space="preserve"> </w:t>
      </w:r>
      <w:r>
        <w:t xml:space="preserve">single-centre study routinely lists authors from several institutions, and a</w:t>
      </w:r>
      <w:r>
        <w:t xml:space="preserve"> </w:t>
      </w:r>
      <w:r>
        <w:t xml:space="preserve">collaborator’s home department is not a study site. Redefining</w:t>
      </w:r>
      <w:r>
        <w:t xml:space="preserve"> </w:t>
      </w:r>
      <w:r>
        <w:rPr>
          <w:rStyle w:val="VerbatimChar"/>
        </w:rPr>
        <w:t xml:space="preserve">is_multicenter</w:t>
      </w:r>
      <w:r>
        <w:t xml:space="preserve"> </w:t>
      </w:r>
      <w:r>
        <w:t xml:space="preserve">as</w:t>
      </w:r>
      <w:r>
        <w:t xml:space="preserve"> </w:t>
      </w:r>
      <w:r>
        <w:rPr>
          <w:rStyle w:val="VerbatimChar"/>
        </w:rPr>
        <w:t xml:space="preserve">n_affiliations &gt; 1</w:t>
      </w:r>
      <w:r>
        <w:t xml:space="preserve"> </w:t>
      </w:r>
      <w:r>
        <w:t xml:space="preserve">would take it from 65 to 679 and</w:t>
      </w:r>
      <w:r>
        <w:t xml:space="preserve"> </w:t>
      </w:r>
      <w:r>
        <w:t xml:space="preserve">change what the variable means, which is a decision about the estimand rather</w:t>
      </w:r>
      <w:r>
        <w:t xml:space="preserve"> </w:t>
      </w:r>
      <w:r>
        <w:t xml:space="preserve">than a measurement repair. It is left as text-derived and flagged.</w:t>
      </w:r>
    </w:p>
    <w:bookmarkEnd w:id="238"/>
    <w:bookmarkEnd w:id="239"/>
    <w:bookmarkStart w:id="244" w:name="a22.-is_multicenter-stays-a-text-claim"/>
    <w:p>
      <w:pPr>
        <w:pStyle w:val="Heading2"/>
      </w:pPr>
      <w:r>
        <w:t xml:space="preserve">A22.</w:t>
      </w:r>
      <w:r>
        <w:t xml:space="preserve"> </w:t>
      </w:r>
      <w:r>
        <w:rPr>
          <w:rStyle w:val="VerbatimChar"/>
        </w:rPr>
        <w:t xml:space="preserve">is_multicenter</w:t>
      </w:r>
      <w:r>
        <w:t xml:space="preserve"> </w:t>
      </w:r>
      <w:r>
        <w:t xml:space="preserve">Stays a Text Claim</w:t>
      </w:r>
    </w:p>
    <w:p>
      <w:pPr>
        <w:pStyle w:val="FirstParagraph"/>
      </w:pPr>
      <w:r>
        <w:rPr>
          <w:b/>
          <w:bCs/>
        </w:rPr>
        <w:t xml:space="preserve">PI decision, 2026-09-05: leave</w:t>
      </w:r>
      <w:r>
        <w:rPr>
          <w:b/>
          <w:bCs/>
        </w:rPr>
        <w:t xml:space="preserve"> </w:t>
      </w:r>
      <w:r>
        <w:rPr>
          <w:rStyle w:val="VerbatimChar"/>
          <w:b/>
          <w:bCs/>
        </w:rPr>
        <w:t xml:space="preserve">is_multicenter</w:t>
      </w:r>
      <w:r>
        <w:rPr>
          <w:b/>
          <w:bCs/>
        </w:rPr>
        <w:t xml:space="preserve"> </w:t>
      </w:r>
      <w:r>
        <w:rPr>
          <w:b/>
          <w:bCs/>
        </w:rPr>
        <w:t xml:space="preserve">as it is.</w:t>
      </w:r>
      <w:r>
        <w:t xml:space="preserve"> </w:t>
      </w:r>
      <w:r>
        <w:t xml:space="preserve">No code changed;</w:t>
      </w:r>
      <w:r>
        <w:t xml:space="preserve"> </w:t>
      </w:r>
      <w:r>
        <w:t xml:space="preserve">this records why, so the question is not reopened by the next person who</w:t>
      </w:r>
      <w:r>
        <w:t xml:space="preserve"> </w:t>
      </w:r>
      <w:r>
        <w:t xml:space="preserve">notices the gap.</w:t>
      </w:r>
    </w:p>
    <w:bookmarkStart w:id="240" w:name="a22.1-the-gap-that-prompted-the-question"/>
    <w:p>
      <w:pPr>
        <w:pStyle w:val="Heading3"/>
      </w:pPr>
      <w:r>
        <w:t xml:space="preserve">A22.1 The gap that prompted the question</w:t>
      </w:r>
    </w:p>
    <w:p>
      <w:pPr>
        <w:pStyle w:val="FirstParagraph"/>
      </w:pPr>
      <w:r>
        <w:t xml:space="preserve">A21 recovered author affiliations for 98.7% of the cohort, which made a</w:t>
      </w:r>
      <w:r>
        <w:t xml:space="preserve"> </w:t>
      </w:r>
      <w:r>
        <w:t xml:space="preserve">competing definition available for the first time. The two disagree in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n</w:t>
            </w:r>
          </w:p>
        </w:tc>
      </w:tr>
      <w:tr>
        <w:tc>
          <w:tcPr/>
          <w:p>
            <w:pPr>
              <w:pStyle w:val="Compact"/>
            </w:pPr>
            <w:r>
              <w:rPr>
                <w:rStyle w:val="VerbatimChar"/>
              </w:rPr>
              <w:t xml:space="preserve">is_multicenter</w:t>
            </w:r>
            <w:r>
              <w:t xml:space="preserve"> </w:t>
            </w:r>
            <w:r>
              <w:t xml:space="preserve">(abstract says so)</w:t>
            </w:r>
          </w:p>
        </w:tc>
        <w:tc>
          <w:tcPr/>
          <w:p>
            <w:pPr>
              <w:pStyle w:val="Compact"/>
              <w:jc w:val="right"/>
            </w:pPr>
            <w:r>
              <w:t xml:space="preserve">65</w:t>
            </w:r>
          </w:p>
        </w:tc>
      </w:tr>
      <w:tr>
        <w:tc>
          <w:tcPr/>
          <w:p>
            <w:pPr>
              <w:pStyle w:val="Compact"/>
            </w:pPr>
            <w:r>
              <w:t xml:space="preserve">more than one affiliation named</w:t>
            </w:r>
          </w:p>
        </w:tc>
        <w:tc>
          <w:tcPr/>
          <w:p>
            <w:pPr>
              <w:pStyle w:val="Compact"/>
              <w:jc w:val="right"/>
            </w:pPr>
            <w:r>
              <w:t xml:space="preserve">679</w:t>
            </w:r>
          </w:p>
        </w:tc>
      </w:tr>
      <w:tr>
        <w:tc>
          <w:tcPr/>
          <w:p>
            <w:pPr>
              <w:pStyle w:val="Compact"/>
            </w:pPr>
            <w:r>
              <w:t xml:space="preserve">both</w:t>
            </w:r>
          </w:p>
        </w:tc>
        <w:tc>
          <w:tcPr/>
          <w:p>
            <w:pPr>
              <w:pStyle w:val="Compact"/>
              <w:jc w:val="right"/>
            </w:pPr>
            <w:r>
              <w:t xml:space="preserve">58</w:t>
            </w:r>
          </w:p>
        </w:tc>
      </w:tr>
      <w:tr>
        <w:tc>
          <w:tcPr/>
          <w:p>
            <w:pPr>
              <w:pStyle w:val="Compact"/>
            </w:pPr>
            <w:r>
              <w:t xml:space="preserve">says multicentre, one affiliation</w:t>
            </w:r>
          </w:p>
        </w:tc>
        <w:tc>
          <w:tcPr/>
          <w:p>
            <w:pPr>
              <w:pStyle w:val="Compact"/>
              <w:jc w:val="right"/>
            </w:pPr>
            <w:r>
              <w:t xml:space="preserve">7</w:t>
            </w:r>
          </w:p>
        </w:tc>
      </w:tr>
    </w:tbl>
    <w:p>
      <w:pPr>
        <w:pStyle w:val="BodyText"/>
      </w:pPr>
      <w:r>
        <w:t xml:space="preserve">Fifty-eight of the 65 also name several institutions, so the measures agree</w:t>
      </w:r>
      <w:r>
        <w:t xml:space="preserve"> </w:t>
      </w:r>
      <w:r>
        <w:t xml:space="preserve">wherever the text is explicit. The 621 that name several institutions without</w:t>
      </w:r>
      <w:r>
        <w:t xml:space="preserve"> </w:t>
      </w:r>
      <w:r>
        <w:t xml:space="preserve">using the word are where they part.</w:t>
      </w:r>
    </w:p>
    <w:bookmarkEnd w:id="240"/>
    <w:bookmarkStart w:id="241" w:name="X3c806eb206b47a3dfc0a0501ee3ac46aec5e2b1"/>
    <w:p>
      <w:pPr>
        <w:pStyle w:val="Heading3"/>
      </w:pPr>
      <w:r>
        <w:t xml:space="preserve">A22.2 Why the larger number is not the better one</w:t>
      </w:r>
    </w:p>
    <w:p>
      <w:pPr>
        <w:pStyle w:val="FirstParagraph"/>
      </w:pPr>
      <w:r>
        <w:t xml:space="preserve">They measure different things.</w:t>
      </w:r>
      <w:r>
        <w:t xml:space="preserve"> </w:t>
      </w:r>
      <w:r>
        <w:rPr>
          <w:rStyle w:val="VerbatimChar"/>
        </w:rPr>
        <w:t xml:space="preserve">is_multicenter</w:t>
      </w:r>
      <w:r>
        <w:t xml:space="preserve"> </w:t>
      </w:r>
      <w:r>
        <w:t xml:space="preserve">is a claim about</w:t>
      </w:r>
      <w:r>
        <w:t xml:space="preserve"> </w:t>
      </w:r>
      <w:r>
        <w:rPr>
          <w:b/>
          <w:bCs/>
        </w:rPr>
        <w:t xml:space="preserve">study</w:t>
      </w:r>
      <w:r>
        <w:rPr>
          <w:b/>
          <w:bCs/>
        </w:rPr>
        <w:t xml:space="preserve"> </w:t>
      </w:r>
      <w:r>
        <w:rPr>
          <w:b/>
          <w:bCs/>
        </w:rPr>
        <w:t xml:space="preserve">design</w:t>
      </w:r>
      <w:r>
        <w:t xml:space="preserve">: the work was conducted at more than one site. Affiliation count is a</w:t>
      </w:r>
      <w:r>
        <w:t xml:space="preserve"> </w:t>
      </w:r>
      <w:r>
        <w:t xml:space="preserve">fact about</w:t>
      </w:r>
      <w:r>
        <w:t xml:space="preserve"> </w:t>
      </w:r>
      <w:r>
        <w:rPr>
          <w:b/>
          <w:bCs/>
        </w:rPr>
        <w:t xml:space="preserve">authorship</w:t>
      </w:r>
      <w:r>
        <w:t xml:space="preserve">: the people on the paper work at more than one</w:t>
      </w:r>
      <w:r>
        <w:t xml:space="preserve"> </w:t>
      </w:r>
      <w:r>
        <w:t xml:space="preserve">institution. A single-centre study with a statistician from another university</w:t>
      </w:r>
      <w:r>
        <w:t xml:space="preserve"> </w:t>
      </w:r>
      <w:r>
        <w:t xml:space="preserve">satisfies the second and not the first, and that arrangement is routine.</w:t>
      </w:r>
    </w:p>
    <w:p>
      <w:pPr>
        <w:pStyle w:val="BodyText"/>
      </w:pPr>
      <w:r>
        <w:t xml:space="preserve">Redefining the variable would take it from 65 to 679 and convert it from a</w:t>
      </w:r>
      <w:r>
        <w:t xml:space="preserve"> </w:t>
      </w:r>
      <w:r>
        <w:t xml:space="preserve">design measure into a collaboration-breadth measure while keeping the name.</w:t>
      </w:r>
      <w:r>
        <w:t xml:space="preserve"> </w:t>
      </w:r>
      <w:r>
        <w:t xml:space="preserve">That is a change to what is being estimated, not a repair of how it is</w:t>
      </w:r>
      <w:r>
        <w:t xml:space="preserve"> </w:t>
      </w:r>
      <w:r>
        <w:t xml:space="preserve">measured, and it is the opposite of what A21 did: A21 kept the construct and</w:t>
      </w:r>
      <w:r>
        <w:t xml:space="preserve"> </w:t>
      </w:r>
      <w:r>
        <w:t xml:space="preserve">fixed the instrument.</w:t>
      </w:r>
    </w:p>
    <w:bookmarkEnd w:id="241"/>
    <w:bookmarkStart w:id="242" w:name="X6e83b59574f98a106370011b02de62feafb2def"/>
    <w:p>
      <w:pPr>
        <w:pStyle w:val="Heading3"/>
      </w:pPr>
      <w:r>
        <w:t xml:space="preserve">A22.3 What the decision costs, stated plainly</w:t>
      </w:r>
    </w:p>
    <w:p>
      <w:pPr>
        <w:pStyle w:val="FirstParagraph"/>
      </w:pPr>
      <w:r>
        <w:t xml:space="preserve">The retained definition reads the abstract body, which is the same class of</w:t>
      </w:r>
      <w:r>
        <w:t xml:space="preserve"> </w:t>
      </w:r>
      <w:r>
        <w:t xml:space="preserve">instrument that produced the</w:t>
      </w:r>
      <w:r>
        <w:t xml:space="preserve"> </w:t>
      </w:r>
      <w:r>
        <w:rPr>
          <w:rStyle w:val="VerbatimChar"/>
        </w:rPr>
        <w:t xml:space="preserve">is_academic</w:t>
      </w:r>
      <w:r>
        <w:t xml:space="preserve"> </w:t>
      </w:r>
      <w:r>
        <w:t xml:space="preserve">artefact. Two consequences follow</w:t>
      </w:r>
      <w:r>
        <w:t xml:space="preserve"> </w:t>
      </w:r>
      <w:r>
        <w:t xml:space="preserve">and both are limitations of the study rather than defects to be fixed:</w:t>
      </w:r>
    </w:p>
    <w:p>
      <w:pPr>
        <w:pStyle w:val="Compact"/>
        <w:numPr>
          <w:ilvl w:val="0"/>
          <w:numId w:val="1013"/>
        </w:numPr>
      </w:pPr>
      <w:r>
        <w:t xml:space="preserve">It</w:t>
      </w:r>
      <w:r>
        <w:t xml:space="preserve"> </w:t>
      </w:r>
      <w:r>
        <w:rPr>
          <w:b/>
          <w:bCs/>
        </w:rPr>
        <w:t xml:space="preserve">under-counts</w:t>
      </w:r>
      <w:r>
        <w:t xml:space="preserve">. A two-site study that never writes</w:t>
      </w:r>
      <w:r>
        <w:t xml:space="preserve"> </w:t>
      </w:r>
      <w:r>
        <w:t xml:space="preserve">“multicentre”</w:t>
      </w:r>
      <w:r>
        <w:t xml:space="preserve"> </w:t>
      </w:r>
      <w:r>
        <w:t xml:space="preserve">is</w:t>
      </w:r>
      <w:r>
        <w:t xml:space="preserve"> </w:t>
      </w:r>
      <w:r>
        <w:t xml:space="preserve">recorded FALSE. There is no way to know how many, because the design is not</w:t>
      </w:r>
      <w:r>
        <w:t xml:space="preserve"> </w:t>
      </w:r>
      <w:r>
        <w:t xml:space="preserve">stated in a structured field anywhere in the source.</w:t>
      </w:r>
    </w:p>
    <w:p>
      <w:pPr>
        <w:pStyle w:val="Compact"/>
        <w:numPr>
          <w:ilvl w:val="0"/>
          <w:numId w:val="1013"/>
        </w:numPr>
      </w:pPr>
      <w:r>
        <w:t xml:space="preserve">It is</w:t>
      </w:r>
      <w:r>
        <w:t xml:space="preserve"> </w:t>
      </w:r>
      <w:r>
        <w:rPr>
          <w:b/>
          <w:bCs/>
        </w:rPr>
        <w:t xml:space="preserve">unavailable where the text is</w:t>
      </w:r>
      <w:r>
        <w:t xml:space="preserve">. 2017 and 2018 have no recoverable</w:t>
      </w:r>
      <w:r>
        <w:t xml:space="preserve"> </w:t>
      </w:r>
      <w:r>
        <w:t xml:space="preserve">abstract text, so their abstracts cannot express the claim and are FALSE by</w:t>
      </w:r>
      <w:r>
        <w:t xml:space="preserve"> </w:t>
      </w:r>
      <w:r>
        <w:t xml:space="preserve">absence, exactly the pattern A21 removed from</w:t>
      </w:r>
      <w:r>
        <w:t xml:space="preserve"> </w:t>
      </w:r>
      <w:r>
        <w:rPr>
          <w:rStyle w:val="VerbatimChar"/>
        </w:rPr>
        <w:t xml:space="preserve">is_academic</w:t>
      </w:r>
      <w:r>
        <w:t xml:space="preserve">.</w:t>
      </w:r>
    </w:p>
    <w:p>
      <w:pPr>
        <w:pStyle w:val="FirstParagraph"/>
      </w:pPr>
      <w:r>
        <w:t xml:space="preserve">The second is the more serious and is not remedied here. The variable is not</w:t>
      </w:r>
      <w:r>
        <w:t xml:space="preserve"> </w:t>
      </w:r>
      <w:r>
        <w:t xml:space="preserve">significant in either model (HR 1.361, p = 0.265), so no reported conclusion</w:t>
      </w:r>
      <w:r>
        <w:t xml:space="preserve"> </w:t>
      </w:r>
      <w:r>
        <w:t xml:space="preserve">rests on it; if one ever did, this limitation would need addressing first.</w:t>
      </w:r>
    </w:p>
    <w:bookmarkEnd w:id="242"/>
    <w:bookmarkStart w:id="243" w:name="a22.4-what-was-not-adopted"/>
    <w:p>
      <w:pPr>
        <w:pStyle w:val="Heading3"/>
      </w:pPr>
      <w:r>
        <w:t xml:space="preserve">A22.4 What was not adopted</w:t>
      </w:r>
    </w:p>
    <w:p>
      <w:pPr>
        <w:pStyle w:val="FirstParagraph"/>
      </w:pPr>
      <w:r>
        <w:rPr>
          <w:rStyle w:val="VerbatimChar"/>
        </w:rPr>
        <w:t xml:space="preserve">n_affiliations</w:t>
      </w:r>
      <w:r>
        <w:t xml:space="preserve"> </w:t>
      </w:r>
      <w:r>
        <w:t xml:space="preserve">is computed in</w:t>
      </w:r>
      <w:r>
        <w:t xml:space="preserve"> </w:t>
      </w:r>
      <w:r>
        <w:rPr>
          <w:rStyle w:val="VerbatimChar"/>
        </w:rPr>
        <w:t xml:space="preserve">data/processed/abstracts_cleaned.csv</w:t>
      </w:r>
      <w:r>
        <w:t xml:space="preserve"> </w:t>
      </w:r>
      <w:r>
        <w:t xml:space="preserve">and is</w:t>
      </w:r>
      <w:r>
        <w:t xml:space="preserve"> </w:t>
      </w:r>
      <w:r>
        <w:rPr>
          <w:b/>
          <w:bCs/>
        </w:rPr>
        <w:t xml:space="preserve">not</w:t>
      </w:r>
      <w:r>
        <w:t xml:space="preserve"> </w:t>
      </w:r>
      <w:r>
        <w:t xml:space="preserve">carried into the analytical dataset, which remains 93 columns. Under</w:t>
      </w:r>
      <w:r>
        <w:t xml:space="preserve"> </w:t>
      </w:r>
      <w:r>
        <w:t xml:space="preserve">this decision nothing needs it. It is retained at that stage as the evidence</w:t>
      </w:r>
      <w:r>
        <w:t xml:space="preserve"> </w:t>
      </w:r>
      <w:r>
        <w:t xml:space="preserve">behind the table above, and propagating it would be a schema change to serve a</w:t>
      </w:r>
      <w:r>
        <w:t xml:space="preserve"> </w:t>
      </w:r>
      <w:r>
        <w:t xml:space="preserve">definition that was not adopted.</w:t>
      </w:r>
    </w:p>
    <w:bookmarkEnd w:id="243"/>
    <w:bookmarkEnd w:id="244"/>
    <w:bookmarkStart w:id="250" w:name="X483ace9db0f67a34e1c9743f2fb173f9d3bf059"/>
    <w:p>
      <w:pPr>
        <w:pStyle w:val="Heading2"/>
      </w:pPr>
      <w:r>
        <w:t xml:space="preserve">A23. Cohort Truncation: What Can and Cannot Be Established</w:t>
      </w:r>
    </w:p>
    <w:p>
      <w:pPr>
        <w:pStyle w:val="FirstParagraph"/>
      </w:pPr>
      <w:r>
        <w:t xml:space="preserve">A14 recorded that the pipeline holds 1,154 of 7,711 supplement items and that</w:t>
      </w:r>
      <w:r>
        <w:t xml:space="preserve"> </w:t>
      </w:r>
      <w:r>
        <w:t xml:space="preserve">re-ingestion would require redoing the search and the adjudication. This</w:t>
      </w:r>
      <w:r>
        <w:t xml:space="preserve"> </w:t>
      </w:r>
      <w:r>
        <w:t xml:space="preserve">appendix goes further: it establishes what the truncation does to the estimate,</w:t>
      </w:r>
      <w:r>
        <w:t xml:space="preserve"> </w:t>
      </w:r>
      <w:r>
        <w:t xml:space="preserve">and which sources were tried and rejected for closing it.</w:t>
      </w:r>
    </w:p>
    <w:p>
      <w:pPr>
        <w:pStyle w:val="BodyText"/>
      </w:pPr>
      <w:r>
        <w:t xml:space="preserve">Nothing here changes a reported number. The cohort remains 1,106 abstracts.</w:t>
      </w:r>
    </w:p>
    <w:bookmarkStart w:id="245" w:name="X9edc2b8eaa0ebcdd72d4b4bcbb38790dd14e1bb"/>
    <w:p>
      <w:pPr>
        <w:pStyle w:val="Heading3"/>
      </w:pPr>
      <w:r>
        <w:t xml:space="preserve">A23.1 The captured set is not a random sample</w:t>
      </w:r>
    </w:p>
    <w:p>
      <w:pPr>
        <w:pStyle w:val="FirstParagraph"/>
      </w:pPr>
      <w:r>
        <w:rPr>
          <w:rStyle w:val="VerbatimChar"/>
        </w:rPr>
        <w:t xml:space="preserve">R/01b_parse_web.R</w:t>
      </w:r>
      <w:r>
        <w:t xml:space="preserve"> </w:t>
      </w:r>
      <w:r>
        <w:t xml:space="preserve">fetches one issue-listing page per congress. Offset</w:t>
      </w:r>
      <w:r>
        <w:t xml:space="preserve"> </w:t>
      </w:r>
      <w:r>
        <w:t xml:space="preserve">pagination is attempted only when a page returns exactly 100 items, and</w:t>
      </w:r>
      <w:r>
        <w:t xml:space="preserve"> </w:t>
      </w:r>
      <w:r>
        <w:t xml:space="preserve">ScienceDirect returns the same page for every offset, so the loop breaks on the</w:t>
      </w:r>
      <w:r>
        <w:t xml:space="preserve"> </w:t>
      </w:r>
      <w:r>
        <w:t xml:space="preserve">first iteration. Each congress is capped at roughly 100 presentations.</w:t>
      </w:r>
    </w:p>
    <w:p>
      <w:pPr>
        <w:pStyle w:val="BodyText"/>
      </w:pPr>
      <w:r>
        <w:t xml:space="preserve">The consequence is structural rather than statistical. The cohort is the</w:t>
      </w:r>
      <w:r>
        <w:t xml:space="preserve"> </w:t>
      </w:r>
      <w:r>
        <w:rPr>
          <w:b/>
          <w:bCs/>
        </w:rPr>
        <w:t xml:space="preserve">first N pages of each supplement in printed order</w:t>
      </w:r>
      <w:r>
        <w:t xml:space="preserve">, not a sample drawn from</w:t>
      </w:r>
      <w:r>
        <w:t xml:space="preserve"> </w:t>
      </w:r>
      <w:r>
        <w:t xml:space="preserve">it. Captured page ranges end at S26 to S60 against supplements running to S136</w:t>
      </w:r>
      <w:r>
        <w:t xml:space="preserve"> </w:t>
      </w:r>
      <w:r>
        <w:t xml:space="preserve">to S286.</w:t>
      </w:r>
    </w:p>
    <w:bookmarkEnd w:id="245"/>
    <w:bookmarkStart w:id="246" w:name="X6bc036b7a2b98db73ce0ef3852a1625b19e77b9"/>
    <w:p>
      <w:pPr>
        <w:pStyle w:val="Heading3"/>
      </w:pPr>
      <w:r>
        <w:t xml:space="preserve">A23.2 The bias has a measurable direction</w:t>
      </w:r>
    </w:p>
    <w:p>
      <w:pPr>
        <w:pStyle w:val="FirstParagraph"/>
      </w:pPr>
      <w:r>
        <w:rPr>
          <w:rStyle w:val="VerbatimChar"/>
        </w:rPr>
        <w:t xml:space="preserve">scripts/cohort_truncation_bias.R</w:t>
      </w:r>
      <w:r>
        <w:t xml:space="preserve"> </w:t>
      </w:r>
      <w:r>
        <w:t xml:space="preserve">tests whether publication varies with</w:t>
      </w:r>
      <w:r>
        <w:t xml:space="preserve"> </w:t>
      </w:r>
      <w:r>
        <w:t xml:space="preserve">position inside the window that was captured.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position quintile</w:t>
            </w:r>
          </w:p>
        </w:tc>
        <w:tc>
          <w:tcPr/>
          <w:p>
            <w:pPr>
              <w:pStyle w:val="Compact"/>
              <w:jc w:val="right"/>
            </w:pPr>
            <w:r>
              <w:t xml:space="preserve">n</w:t>
            </w:r>
          </w:p>
        </w:tc>
        <w:tc>
          <w:tcPr/>
          <w:p>
            <w:pPr>
              <w:pStyle w:val="Compact"/>
              <w:jc w:val="right"/>
            </w:pPr>
            <w:r>
              <w:t xml:space="preserve">published</w:t>
            </w:r>
          </w:p>
        </w:tc>
        <w:tc>
          <w:tcPr/>
          <w:p>
            <w:pPr>
              <w:pStyle w:val="Compact"/>
              <w:jc w:val="right"/>
            </w:pPr>
            <w:r>
              <w:t xml:space="preserve">rate</w:t>
            </w:r>
          </w:p>
        </w:tc>
        <w:tc>
          <w:tcPr/>
          <w:p>
            <w:pPr>
              <w:pStyle w:val="Compact"/>
              <w:jc w:val="right"/>
            </w:pPr>
            <w:r>
              <w:t xml:space="preserve">% RCT</w:t>
            </w:r>
          </w:p>
        </w:tc>
      </w:tr>
      <w:tr>
        <w:tc>
          <w:tcPr/>
          <w:p>
            <w:pPr>
              <w:pStyle w:val="Compact"/>
              <w:jc w:val="right"/>
            </w:pPr>
            <w:r>
              <w:t xml:space="preserve">1 (earliest pages)</w:t>
            </w:r>
          </w:p>
        </w:tc>
        <w:tc>
          <w:tcPr/>
          <w:p>
            <w:pPr>
              <w:pStyle w:val="Compact"/>
              <w:jc w:val="right"/>
            </w:pPr>
            <w:r>
              <w:t xml:space="preserve">211</w:t>
            </w:r>
          </w:p>
        </w:tc>
        <w:tc>
          <w:tcPr/>
          <w:p>
            <w:pPr>
              <w:pStyle w:val="Compact"/>
              <w:jc w:val="right"/>
            </w:pPr>
            <w:r>
              <w:t xml:space="preserve">40</w:t>
            </w:r>
          </w:p>
        </w:tc>
        <w:tc>
          <w:tcPr/>
          <w:p>
            <w:pPr>
              <w:pStyle w:val="Compact"/>
              <w:jc w:val="right"/>
            </w:pPr>
            <w:r>
              <w:t xml:space="preserve">19.0%</w:t>
            </w:r>
          </w:p>
        </w:tc>
        <w:tc>
          <w:tcPr/>
          <w:p>
            <w:pPr>
              <w:pStyle w:val="Compact"/>
              <w:jc w:val="right"/>
            </w:pPr>
            <w:r>
              <w:t xml:space="preserve">9.5</w:t>
            </w:r>
          </w:p>
        </w:tc>
      </w:tr>
      <w:tr>
        <w:tc>
          <w:tcPr/>
          <w:p>
            <w:pPr>
              <w:pStyle w:val="Compact"/>
              <w:jc w:val="right"/>
            </w:pPr>
            <w:r>
              <w:t xml:space="preserve">2</w:t>
            </w:r>
          </w:p>
        </w:tc>
        <w:tc>
          <w:tcPr/>
          <w:p>
            <w:pPr>
              <w:pStyle w:val="Compact"/>
              <w:jc w:val="right"/>
            </w:pPr>
            <w:r>
              <w:t xml:space="preserve">210</w:t>
            </w:r>
          </w:p>
        </w:tc>
        <w:tc>
          <w:tcPr/>
          <w:p>
            <w:pPr>
              <w:pStyle w:val="Compact"/>
              <w:jc w:val="right"/>
            </w:pPr>
            <w:r>
              <w:t xml:space="preserve">34</w:t>
            </w:r>
          </w:p>
        </w:tc>
        <w:tc>
          <w:tcPr/>
          <w:p>
            <w:pPr>
              <w:pStyle w:val="Compact"/>
              <w:jc w:val="right"/>
            </w:pPr>
            <w:r>
              <w:t xml:space="preserve">16.2%</w:t>
            </w:r>
          </w:p>
        </w:tc>
        <w:tc>
          <w:tcPr/>
          <w:p>
            <w:pPr>
              <w:pStyle w:val="Compact"/>
              <w:jc w:val="right"/>
            </w:pPr>
            <w:r>
              <w:t xml:space="preserve">6.2</w:t>
            </w:r>
          </w:p>
        </w:tc>
      </w:tr>
      <w:tr>
        <w:tc>
          <w:tcPr/>
          <w:p>
            <w:pPr>
              <w:pStyle w:val="Compact"/>
              <w:jc w:val="right"/>
            </w:pPr>
            <w:r>
              <w:t xml:space="preserve">3</w:t>
            </w:r>
          </w:p>
        </w:tc>
        <w:tc>
          <w:tcPr/>
          <w:p>
            <w:pPr>
              <w:pStyle w:val="Compact"/>
              <w:jc w:val="right"/>
            </w:pPr>
            <w:r>
              <w:t xml:space="preserve">210</w:t>
            </w:r>
          </w:p>
        </w:tc>
        <w:tc>
          <w:tcPr/>
          <w:p>
            <w:pPr>
              <w:pStyle w:val="Compact"/>
              <w:jc w:val="right"/>
            </w:pPr>
            <w:r>
              <w:t xml:space="preserve">41</w:t>
            </w:r>
          </w:p>
        </w:tc>
        <w:tc>
          <w:tcPr/>
          <w:p>
            <w:pPr>
              <w:pStyle w:val="Compact"/>
              <w:jc w:val="right"/>
            </w:pPr>
            <w:r>
              <w:t xml:space="preserve">19.5%</w:t>
            </w:r>
          </w:p>
        </w:tc>
        <w:tc>
          <w:tcPr/>
          <w:p>
            <w:pPr>
              <w:pStyle w:val="Compact"/>
              <w:jc w:val="right"/>
            </w:pPr>
            <w:r>
              <w:t xml:space="preserve">9.0</w:t>
            </w:r>
          </w:p>
        </w:tc>
      </w:tr>
      <w:tr>
        <w:tc>
          <w:tcPr/>
          <w:p>
            <w:pPr>
              <w:pStyle w:val="Compact"/>
              <w:jc w:val="right"/>
            </w:pPr>
            <w:r>
              <w:t xml:space="preserve">4</w:t>
            </w:r>
          </w:p>
        </w:tc>
        <w:tc>
          <w:tcPr/>
          <w:p>
            <w:pPr>
              <w:pStyle w:val="Compact"/>
              <w:jc w:val="right"/>
            </w:pPr>
            <w:r>
              <w:t xml:space="preserve">210</w:t>
            </w:r>
          </w:p>
        </w:tc>
        <w:tc>
          <w:tcPr/>
          <w:p>
            <w:pPr>
              <w:pStyle w:val="Compact"/>
              <w:jc w:val="right"/>
            </w:pPr>
            <w:r>
              <w:t xml:space="preserve">23</w:t>
            </w:r>
          </w:p>
        </w:tc>
        <w:tc>
          <w:tcPr/>
          <w:p>
            <w:pPr>
              <w:pStyle w:val="Compact"/>
              <w:jc w:val="right"/>
            </w:pPr>
            <w:r>
              <w:t xml:space="preserve">11.0%</w:t>
            </w:r>
          </w:p>
        </w:tc>
        <w:tc>
          <w:tcPr/>
          <w:p>
            <w:pPr>
              <w:pStyle w:val="Compact"/>
              <w:jc w:val="right"/>
            </w:pPr>
            <w:r>
              <w:t xml:space="preserve">7.6</w:t>
            </w:r>
          </w:p>
        </w:tc>
      </w:tr>
      <w:tr>
        <w:tc>
          <w:tcPr/>
          <w:p>
            <w:pPr>
              <w:pStyle w:val="Compact"/>
              <w:jc w:val="right"/>
            </w:pPr>
            <w:r>
              <w:t xml:space="preserve">5 (latest captured)</w:t>
            </w:r>
          </w:p>
        </w:tc>
        <w:tc>
          <w:tcPr/>
          <w:p>
            <w:pPr>
              <w:pStyle w:val="Compact"/>
              <w:jc w:val="right"/>
            </w:pPr>
            <w:r>
              <w:t xml:space="preserve">210</w:t>
            </w:r>
          </w:p>
        </w:tc>
        <w:tc>
          <w:tcPr/>
          <w:p>
            <w:pPr>
              <w:pStyle w:val="Compact"/>
              <w:jc w:val="right"/>
            </w:pPr>
            <w:r>
              <w:t xml:space="preserve">32</w:t>
            </w:r>
          </w:p>
        </w:tc>
        <w:tc>
          <w:tcPr/>
          <w:p>
            <w:pPr>
              <w:pStyle w:val="Compact"/>
              <w:jc w:val="right"/>
            </w:pPr>
            <w:r>
              <w:t xml:space="preserve">15.2%</w:t>
            </w:r>
          </w:p>
        </w:tc>
        <w:tc>
          <w:tcPr/>
          <w:p>
            <w:pPr>
              <w:pStyle w:val="Compact"/>
              <w:jc w:val="right"/>
            </w:pPr>
            <w:r>
              <w:t xml:space="preserve">13.3</w:t>
            </w:r>
          </w:p>
        </w:tc>
      </w:tr>
    </w:tbl>
    <w:p>
      <w:pPr>
        <w:pStyle w:val="BodyText"/>
      </w:pPr>
      <w:r>
        <w:t xml:space="preserve">Adjusted for congress year, the odds of publication fall across the window:</w:t>
      </w:r>
      <w:r>
        <w:t xml:space="preserve"> </w:t>
      </w:r>
      <w:r>
        <w:t xml:space="preserve">odds ratio</w:t>
      </w:r>
      <w:r>
        <w:t xml:space="preserve"> </w:t>
      </w:r>
      <w:r>
        <w:rPr>
          <w:b/>
          <w:bCs/>
        </w:rPr>
        <w:t xml:space="preserve">0.607</w:t>
      </w:r>
      <w:r>
        <w:t xml:space="preserve">, p = 0.080. That is not significant, and it is not nothing.</w:t>
      </w:r>
      <w:r>
        <w:t xml:space="preserve"> </w:t>
      </w:r>
      <w:r>
        <w:t xml:space="preserve">Read as a direction, later pages publish less, which would make</w:t>
      </w:r>
      <w:r>
        <w:t xml:space="preserve"> </w:t>
      </w:r>
      <w:r>
        <w:rPr>
          <w:b/>
          <w:bCs/>
        </w:rPr>
        <w:t xml:space="preserve">16.2% an</w:t>
      </w:r>
      <w:r>
        <w:rPr>
          <w:b/>
          <w:bCs/>
        </w:rPr>
        <w:t xml:space="preserve"> </w:t>
      </w:r>
      <w:r>
        <w:rPr>
          <w:b/>
          <w:bCs/>
        </w:rPr>
        <w:t xml:space="preserve">over-estimate</w:t>
      </w:r>
      <w:r>
        <w:t xml:space="preserve"> </w:t>
      </w:r>
      <w:r>
        <w:t xml:space="preserve">of the rate across a complete supplement.</w:t>
      </w:r>
    </w:p>
    <w:p>
      <w:pPr>
        <w:pStyle w:val="BodyText"/>
      </w:pPr>
      <w:r>
        <w:t xml:space="preserve">Two cautions on reading it further. The test spans only the first ~15% of each</w:t>
      </w:r>
      <w:r>
        <w:t xml:space="preserve"> </w:t>
      </w:r>
      <w:r>
        <w:t xml:space="preserve">supplement and says nothing about pages beyond it, where the trend could</w:t>
      </w:r>
      <w:r>
        <w:t xml:space="preserve"> </w:t>
      </w:r>
      <w:r>
        <w:t xml:space="preserve">flatten, continue or reverse. And RCTs, the strongest predictor of publication</w:t>
      </w:r>
      <w:r>
        <w:t xml:space="preserve"> </w:t>
      </w:r>
      <w:r>
        <w:t xml:space="preserve">in the model, are</w:t>
      </w:r>
      <w:r>
        <w:t xml:space="preserve"> </w:t>
      </w:r>
      <w:r>
        <w:rPr>
          <w:i/>
          <w:iCs/>
        </w:rPr>
        <w:t xml:space="preserve">more</w:t>
      </w:r>
      <w:r>
        <w:t xml:space="preserve"> </w:t>
      </w:r>
      <w:r>
        <w:t xml:space="preserve">frequent in the last captured quintile (13.3% against</w:t>
      </w:r>
      <w:r>
        <w:t xml:space="preserve"> </w:t>
      </w:r>
      <w:r>
        <w:t xml:space="preserve">9.5% in the first), which cuts the other way. The honest summary is a weak</w:t>
      </w:r>
      <w:r>
        <w:t xml:space="preserve"> </w:t>
      </w:r>
      <w:r>
        <w:t xml:space="preserve">signal toward over-estimation with an unmeasurable magnitude.</w:t>
      </w:r>
    </w:p>
    <w:bookmarkEnd w:id="246"/>
    <w:bookmarkStart w:id="247" w:name="Xb774aff3041e1a75c5e3b24ab0d39401d35c78d"/>
    <w:p>
      <w:pPr>
        <w:pStyle w:val="Heading3"/>
      </w:pPr>
      <w:r>
        <w:t xml:space="preserve">A23.3 Why the truncation cannot currently be closed</w:t>
      </w:r>
    </w:p>
    <w:p>
      <w:pPr>
        <w:pStyle w:val="FirstParagraph"/>
      </w:pPr>
      <w:r>
        <w:t xml:space="preserve">Three routes were tried.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status</w:t>
            </w:r>
          </w:p>
        </w:tc>
      </w:tr>
      <w:tr>
        <w:tc>
          <w:tcPr/>
          <w:p>
            <w:pPr>
              <w:pStyle w:val="Compact"/>
            </w:pPr>
            <w:r>
              <w:t xml:space="preserve">ScienceDirect issue listing</w:t>
            </w:r>
          </w:p>
        </w:tc>
        <w:tc>
          <w:tcPr/>
          <w:p>
            <w:pPr>
              <w:pStyle w:val="Compact"/>
            </w:pPr>
            <w:r>
              <w:rPr>
                <w:b/>
                <w:bCs/>
              </w:rPr>
              <w:t xml:space="preserve">HTTP 403</w:t>
            </w:r>
            <w:r>
              <w:t xml:space="preserve"> </w:t>
            </w:r>
            <w:r>
              <w:t xml:space="preserve">to this machine. The origin of the cohort is no longer reachable.</w:t>
            </w:r>
          </w:p>
        </w:tc>
      </w:tr>
      <w:tr>
        <w:tc>
          <w:tcPr/>
          <w:p>
            <w:pPr>
              <w:pStyle w:val="Compact"/>
            </w:pPr>
            <w:r>
              <w:t xml:space="preserve">Supplement PDFs</w:t>
            </w:r>
          </w:p>
        </w:tc>
        <w:tc>
          <w:tcPr/>
          <w:p>
            <w:pPr>
              <w:pStyle w:val="Compact"/>
            </w:pPr>
            <w:r>
              <w:t xml:space="preserve">Not held.</w:t>
            </w:r>
            <w:r>
              <w:t xml:space="preserve"> </w:t>
            </w:r>
            <w:r>
              <w:rPr>
                <w:rStyle w:val="VerbatimChar"/>
              </w:rPr>
              <w:t xml:space="preserve">R/01_parse_pdf.R</w:t>
            </w:r>
            <w:r>
              <w:t xml:space="preserve"> </w:t>
            </w:r>
            <w:r>
              <w:t xml:space="preserve">expects one file for 2023 only, and</w:t>
            </w:r>
            <w:r>
              <w:t xml:space="preserve"> </w:t>
            </w:r>
            <w:r>
              <w:rPr>
                <w:rStyle w:val="VerbatimChar"/>
              </w:rPr>
              <w:t xml:space="preserve">data/raw/</w:t>
            </w:r>
            <w:r>
              <w:t xml:space="preserve"> </w:t>
            </w:r>
            <w:r>
              <w:t xml:space="preserve">is empty. Obtaining twelve supplements needs institutional access.</w:t>
            </w:r>
          </w:p>
        </w:tc>
      </w:tr>
      <w:tr>
        <w:tc>
          <w:tcPr/>
          <w:p>
            <w:pPr>
              <w:pStyle w:val="Compact"/>
            </w:pPr>
            <w:r>
              <w:t xml:space="preserve">Crossref deposit</w:t>
            </w:r>
          </w:p>
        </w:tc>
        <w:tc>
          <w:tcPr/>
          <w:p>
            <w:pPr>
              <w:pStyle w:val="Compact"/>
            </w:pPr>
            <w:r>
              <w:rPr>
                <w:b/>
                <w:bCs/>
              </w:rPr>
              <w:t xml:space="preserve">Complete and public</w:t>
            </w:r>
            <w:r>
              <w:t xml:space="preserve">, and already cached for all twelve congresses. It carries DOI, page, title and authors, which is enough to drive the matching pipeline. It carries</w:t>
            </w:r>
            <w:r>
              <w:t xml:space="preserve"> </w:t>
            </w:r>
            <w:r>
              <w:rPr>
                <w:b/>
                <w:bCs/>
              </w:rPr>
              <w:t xml:space="preserve">no session type</w:t>
            </w:r>
            <w:r>
              <w:t xml:space="preserve">.</w:t>
            </w:r>
          </w:p>
        </w:tc>
      </w:tr>
    </w:tbl>
    <w:p>
      <w:pPr>
        <w:pStyle w:val="BodyText"/>
      </w:pPr>
      <w:r>
        <w:t xml:space="preserve">The Crossref record was checked field by field. It exposes</w:t>
      </w:r>
      <w:r>
        <w:t xml:space="preserve"> </w:t>
      </w:r>
      <w:r>
        <w:rPr>
          <w:rStyle w:val="VerbatimChar"/>
        </w:rPr>
        <w:t xml:space="preserve">type</w:t>
      </w:r>
      <w:r>
        <w:t xml:space="preserve"> </w:t>
      </w:r>
      <w:r>
        <w:t xml:space="preserve">(</w:t>
      </w:r>
      <w:r>
        <w:rPr>
          <w:rStyle w:val="VerbatimChar"/>
        </w:rPr>
        <w:t xml:space="preserve">journal-article</w:t>
      </w:r>
      <w:r>
        <w:t xml:space="preserve"> </w:t>
      </w:r>
      <w:r>
        <w:t xml:space="preserve">for every item), an empty</w:t>
      </w:r>
      <w:r>
        <w:t xml:space="preserve"> </w:t>
      </w:r>
      <w:r>
        <w:rPr>
          <w:rStyle w:val="VerbatimChar"/>
        </w:rPr>
        <w:t xml:space="preserve">subject</w:t>
      </w:r>
      <w:r>
        <w:t xml:space="preserve">,</w:t>
      </w:r>
      <w:r>
        <w:t xml:space="preserve"> </w:t>
      </w:r>
      <w:r>
        <w:rPr>
          <w:rStyle w:val="VerbatimChar"/>
        </w:rPr>
        <w:t xml:space="preserve">special_numbering</w:t>
      </w:r>
      <w:r>
        <w:t xml:space="preserve">,</w:t>
      </w:r>
      <w:r>
        <w:t xml:space="preserve"> </w:t>
      </w:r>
      <w:r>
        <w:rPr>
          <w:rStyle w:val="VerbatimChar"/>
        </w:rPr>
        <w:t xml:space="preserve">container-title</w:t>
      </w:r>
      <w:r>
        <w:t xml:space="preserve"> </w:t>
      </w:r>
      <w:r>
        <w:t xml:space="preserve">and the author list. Nothing distinguishes an oral</w:t>
      </w:r>
      <w:r>
        <w:t xml:space="preserve"> </w:t>
      </w:r>
      <w:r>
        <w:t xml:space="preserve">presentation from a video or a poster.</w:t>
      </w:r>
    </w:p>
    <w:p>
      <w:pPr>
        <w:pStyle w:val="BodyText"/>
      </w:pPr>
      <w:r>
        <w:t xml:space="preserve">That is the blocking fact. The study population is oral presentations; videos</w:t>
      </w:r>
      <w:r>
        <w:t xml:space="preserve"> </w:t>
      </w:r>
      <w:r>
        <w:t xml:space="preserve">are excluded by design and posters were never in scope. A random sample of</w:t>
      </w:r>
      <w:r>
        <w:t xml:space="preserve"> </w:t>
      </w:r>
      <w:r>
        <w:t xml:space="preserve">uncaptured Crossref items would mix all three, and there is no reachable source</w:t>
      </w:r>
      <w:r>
        <w:t xml:space="preserve"> </w:t>
      </w:r>
      <w:r>
        <w:t xml:space="preserve">that labels them.</w:t>
      </w:r>
    </w:p>
    <w:p>
      <w:pPr>
        <w:pStyle w:val="BodyText"/>
      </w:pPr>
      <w:r>
        <w:t xml:space="preserve">Indirect inference does not rescue it. In the two congresses where the capture</w:t>
      </w:r>
      <w:r>
        <w:t xml:space="preserve"> </w:t>
      </w:r>
      <w:r>
        <w:t xml:space="preserve">window crossed the boundary, orals end at S36 (2022) and S26 (2023), suggesting</w:t>
      </w:r>
      <w:r>
        <w:t xml:space="preserve"> </w:t>
      </w:r>
      <w:r>
        <w:t xml:space="preserve">a short oral block. But the items immediately past the 2015 and 2019 boundaries</w:t>
      </w:r>
      <w:r>
        <w:t xml:space="preserve"> </w:t>
      </w:r>
      <w:r>
        <w:t xml:space="preserve">are titled as randomised trials and comparative studies, which are oral-type</w:t>
      </w:r>
      <w:r>
        <w:t xml:space="preserve"> </w:t>
      </w:r>
      <w:r>
        <w:t xml:space="preserve">research abstracts, so the boundary is not consistently placed. Item density</w:t>
      </w:r>
      <w:r>
        <w:t xml:space="preserve"> </w:t>
      </w:r>
      <w:r>
        <w:t xml:space="preserve">per page does not separate the blocks either.</w:t>
      </w:r>
    </w:p>
    <w:bookmarkEnd w:id="247"/>
    <w:bookmarkStart w:id="248" w:name="X8f84d06327ab0f9f6b7ae823a7fd9ef174cf8b3"/>
    <w:p>
      <w:pPr>
        <w:pStyle w:val="Heading3"/>
      </w:pPr>
      <w:r>
        <w:t xml:space="preserve">A23.4 What would close it, and what it would cost</w:t>
      </w:r>
    </w:p>
    <w:p>
      <w:pPr>
        <w:pStyle w:val="FirstParagraph"/>
      </w:pPr>
      <w:r>
        <w:t xml:space="preserve">A probe study is the tractable design, and it is tractable only if the session</w:t>
      </w:r>
      <w:r>
        <w:t xml:space="preserve"> </w:t>
      </w:r>
      <w:r>
        <w:t xml:space="preserve">type problem is solved first.</w:t>
      </w:r>
    </w:p>
    <w:p>
      <w:pPr>
        <w:pStyle w:val="Compact"/>
        <w:numPr>
          <w:ilvl w:val="0"/>
          <w:numId w:val="1014"/>
        </w:numPr>
      </w:pPr>
      <w:r>
        <w:t xml:space="preserve">Obtain session structure for one or two congresses, from the supplement PDF</w:t>
      </w:r>
      <w:r>
        <w:t xml:space="preserve"> </w:t>
      </w:r>
      <w:r>
        <w:t xml:space="preserve">or an authenticated ScienceDirect session. Without this, nothing else is</w:t>
      </w:r>
      <w:r>
        <w:t xml:space="preserve"> </w:t>
      </w:r>
      <w:r>
        <w:t xml:space="preserve">worth starting.</w:t>
      </w:r>
    </w:p>
    <w:p>
      <w:pPr>
        <w:pStyle w:val="Compact"/>
        <w:numPr>
          <w:ilvl w:val="0"/>
          <w:numId w:val="1014"/>
        </w:numPr>
      </w:pPr>
      <w:r>
        <w:t xml:space="preserve">Draw a random sample of uncaptured</w:t>
      </w:r>
      <w:r>
        <w:t xml:space="preserve"> </w:t>
      </w:r>
      <w:r>
        <w:rPr>
          <w:b/>
          <w:bCs/>
        </w:rPr>
        <w:t xml:space="preserve">oral</w:t>
      </w:r>
      <w:r>
        <w:t xml:space="preserve"> </w:t>
      </w:r>
      <w:r>
        <w:t xml:space="preserve">items, on the order of 150 to</w:t>
      </w:r>
      <w:r>
        <w:t xml:space="preserve"> </w:t>
      </w:r>
      <w:r>
        <w:t xml:space="preserve">200, and pull title and authors from the existing Crossref cache.</w:t>
      </w:r>
    </w:p>
    <w:p>
      <w:pPr>
        <w:pStyle w:val="Compact"/>
        <w:numPr>
          <w:ilvl w:val="0"/>
          <w:numId w:val="1014"/>
        </w:numPr>
      </w:pPr>
      <w:r>
        <w:t xml:space="preserve">Run the existing search and scoring pipeline over the sample, and adjudicate</w:t>
      </w:r>
      <w:r>
        <w:t xml:space="preserve"> </w:t>
      </w:r>
      <w:r>
        <w:t xml:space="preserve">it to the same standard as the main cohort.</w:t>
      </w:r>
    </w:p>
    <w:p>
      <w:pPr>
        <w:pStyle w:val="Compact"/>
        <w:numPr>
          <w:ilvl w:val="0"/>
          <w:numId w:val="1014"/>
        </w:numPr>
      </w:pPr>
      <w:r>
        <w:t xml:space="preserve">Compare the sample’s publication rate against 16.2%. That estimates the bias</w:t>
      </w:r>
      <w:r>
        <w:t xml:space="preserve"> </w:t>
      </w:r>
      <w:r>
        <w:t xml:space="preserve">directly, without re-ingesting several thousand abstracts.</w:t>
      </w:r>
    </w:p>
    <w:p>
      <w:pPr>
        <w:pStyle w:val="FirstParagraph"/>
      </w:pPr>
      <w:r>
        <w:t xml:space="preserve">The cost is dominated by step 3: roughly 150 to 200 human adjudications, the</w:t>
      </w:r>
      <w:r>
        <w:t xml:space="preserve"> </w:t>
      </w:r>
      <w:r>
        <w:t xml:space="preserve">same work that produced the current cohort’s decisions, plus the search</w:t>
      </w:r>
      <w:r>
        <w:t xml:space="preserve"> </w:t>
      </w:r>
      <w:r>
        <w:t xml:space="preserve">runtime. Full re-ingestion of all 7,711 items is not proposed, because the</w:t>
      </w:r>
      <w:r>
        <w:t xml:space="preserve"> </w:t>
      </w:r>
      <w:r>
        <w:t xml:space="preserve">adjudication burden scales with the cohort and the videos and posters in that</w:t>
      </w:r>
      <w:r>
        <w:t xml:space="preserve"> </w:t>
      </w:r>
      <w:r>
        <w:t xml:space="preserve">total are out of scope regardless.</w:t>
      </w:r>
    </w:p>
    <w:bookmarkEnd w:id="248"/>
    <w:bookmarkStart w:id="249" w:name="a23.5-how-this-should-be-reported"/>
    <w:p>
      <w:pPr>
        <w:pStyle w:val="Heading3"/>
      </w:pPr>
      <w:r>
        <w:t xml:space="preserve">A23.5 How this should be reported</w:t>
      </w:r>
    </w:p>
    <w:p>
      <w:pPr>
        <w:pStyle w:val="FirstParagraph"/>
      </w:pPr>
      <w:r>
        <w:t xml:space="preserve">Until a probe study is run, the limitation should be stated as it is measured:</w:t>
      </w:r>
      <w:r>
        <w:t xml:space="preserve"> </w:t>
      </w:r>
      <w:r>
        <w:t xml:space="preserve">the cohort is the first portion of each supplement rather than a sample of it;</w:t>
      </w:r>
      <w:r>
        <w:t xml:space="preserve"> </w:t>
      </w:r>
      <w:r>
        <w:t xml:space="preserve">publication rate declines weakly across the captured window (OR 0.607,</w:t>
      </w:r>
      <w:r>
        <w:t xml:space="preserve"> </w:t>
      </w:r>
      <w:r>
        <w:t xml:space="preserve">p = 0.080); and the reported 16.2% is therefore best read as an estimate for</w:t>
      </w:r>
      <w:r>
        <w:t xml:space="preserve"> </w:t>
      </w:r>
      <w:r>
        <w:t xml:space="preserve">early-programme oral presentations, with a possible downward correction of</w:t>
      </w:r>
      <w:r>
        <w:t xml:space="preserve"> </w:t>
      </w:r>
      <w:r>
        <w:t xml:space="preserve">unknown size if applied to a complete congress.</w:t>
      </w:r>
    </w:p>
    <w:bookmarkEnd w:id="249"/>
    <w:bookmarkEnd w:id="250"/>
    <w:bookmarkStart w:id="251" w:name="Xdb5929b629a9464dffdfd96a9a87b5a9f368ef0"/>
    <w:p>
      <w:pPr>
        <w:pStyle w:val="Heading2"/>
      </w:pPr>
      <w:r>
        <w:t xml:space="preserve">A24. Three Corrections, Recorded Because They Cut Against the Story</w:t>
      </w:r>
    </w:p>
    <w:p>
      <w:pPr>
        <w:pStyle w:val="FirstParagraph"/>
      </w:pPr>
      <w:r>
        <w:t xml:space="preserve">This section exists because a claim was made that the pipeline is used to</w:t>
      </w:r>
      <w:r>
        <w:t xml:space="preserve"> </w:t>
      </w:r>
      <w:r>
        <w:t xml:space="preserve">falsify assumptions rather than to support the initial narrative. That claim is</w:t>
      </w:r>
      <w:r>
        <w:t xml:space="preserve"> </w:t>
      </w:r>
      <w:r>
        <w:t xml:space="preserve">only checkable if the falsifications are written down where the supporting</w:t>
      </w:r>
      <w:r>
        <w:t xml:space="preserve"> </w:t>
      </w:r>
      <w:r>
        <w:t xml:space="preserve">evidence is, so the three from 2026-09-06 are recorded here with the reasoning</w:t>
      </w:r>
      <w:r>
        <w:t xml:space="preserve"> </w:t>
      </w:r>
      <w:r>
        <w:t xml:space="preserve">that produced them, including the two that were mine.</w:t>
      </w:r>
    </w:p>
    <w:p>
      <w:pPr>
        <w:pStyle w:val="BodyText"/>
      </w:pPr>
      <w:r>
        <w:rPr>
          <w:b/>
          <w:bCs/>
        </w:rPr>
        <w:t xml:space="preserve">A reported discrepancy in the supplement denominator was not real.</w:t>
      </w:r>
      <w:r>
        <w:t xml:space="preserve"> </w:t>
      </w:r>
      <w:r>
        <w:t xml:space="preserve">The</w:t>
      </w:r>
      <w:r>
        <w:t xml:space="preserve"> </w:t>
      </w:r>
      <w:r>
        <w:t xml:space="preserve">README states the cohort as 1,154 of 7,711 supplement items. An independent</w:t>
      </w:r>
      <w:r>
        <w:t xml:space="preserve"> </w:t>
      </w:r>
      <w:r>
        <w:t xml:space="preserve">recount of the same Crossref cache returned 8,237 and this was raised as a</w:t>
      </w:r>
      <w:r>
        <w:t xml:space="preserve"> </w:t>
      </w:r>
      <w:r>
        <w:t xml:space="preserve">contradiction. It was not: 7,711 counts records whose</w:t>
      </w:r>
      <w:r>
        <w:t xml:space="preserve"> </w:t>
      </w:r>
      <w:r>
        <w:rPr>
          <w:rStyle w:val="VerbatimChar"/>
        </w:rPr>
        <w:t xml:space="preserve">page</w:t>
      </w:r>
      <w:r>
        <w:t xml:space="preserve"> </w:t>
      </w:r>
      <w:r>
        <w:t xml:space="preserve">begins with</w:t>
      </w:r>
      <w:r>
        <w:t xml:space="preserve"> </w:t>
      </w:r>
      <w:r>
        <w:rPr>
          <w:rStyle w:val="VerbatimChar"/>
        </w:rPr>
        <w:t xml:space="preserve">S</w:t>
      </w:r>
      <w:r>
        <w:t xml:space="preserve">,</w:t>
      </w:r>
      <w:r>
        <w:t xml:space="preserve"> </w:t>
      </w:r>
      <w:r>
        <w:t xml:space="preserve">which is what a supplement item is, and the November publication-date window</w:t>
      </w:r>
      <w:r>
        <w:t xml:space="preserve"> </w:t>
      </w:r>
      <w:r>
        <w:t xml:space="preserve">used to retrieve them also returns 526 regular articles published that month.</w:t>
      </w:r>
      <w:r>
        <w:t xml:space="preserve"> </w:t>
      </w:r>
      <w:r>
        <w:t xml:space="preserve">The published figure was correct throughout. What was wrong was its</w:t>
      </w:r>
      <w:r>
        <w:t xml:space="preserve"> </w:t>
      </w:r>
      <w:r>
        <w:t xml:space="preserve">reproducibility – the filter defining</w:t>
      </w:r>
      <w:r>
        <w:t xml:space="preserve"> </w:t>
      </w:r>
      <w:r>
        <w:t xml:space="preserve">“supplement item”</w:t>
      </w:r>
      <w:r>
        <w:t xml:space="preserve"> </w:t>
      </w:r>
      <w:r>
        <w:t xml:space="preserve">was recorded only in a</w:t>
      </w:r>
      <w:r>
        <w:t xml:space="preserve"> </w:t>
      </w:r>
      <w:r>
        <w:t xml:space="preserve">detection note in</w:t>
      </w:r>
      <w:r>
        <w:t xml:space="preserve"> </w:t>
      </w:r>
      <w:r>
        <w:rPr>
          <w:rStyle w:val="VerbatimChar"/>
        </w:rPr>
        <w:t xml:space="preserve">FAILURE_MODES.md</w:t>
      </w:r>
      <w:r>
        <w:t xml:space="preserve"> </w:t>
      </w:r>
      <w:r>
        <w:t xml:space="preserve">F1, three documents away from the number it</w:t>
      </w:r>
      <w:r>
        <w:t xml:space="preserve"> </w:t>
      </w:r>
      <w:r>
        <w:t xml:space="preserve">defines, so recomputing it without that note gives a different answer. The</w:t>
      </w:r>
      <w:r>
        <w:t xml:space="preserve"> </w:t>
      </w:r>
      <w:r>
        <w:t xml:space="preserve">filter is now stated beside the figure, and</w:t>
      </w:r>
      <w:r>
        <w:t xml:space="preserve"> </w:t>
      </w:r>
      <w:r>
        <w:rPr>
          <w:rStyle w:val="VerbatimChar"/>
        </w:rPr>
        <w:t xml:space="preserve">scripts/cohort_coverage_by_year.R</w:t>
      </w:r>
      <w:r>
        <w:t xml:space="preserve"> </w:t>
      </w:r>
      <w:r>
        <w:t xml:space="preserve">writes the per-year counts to a tracked</w:t>
      </w:r>
      <w:r>
        <w:t xml:space="preserve"> </w:t>
      </w:r>
      <w:r>
        <w:t xml:space="preserve">artifact rather than leaving them derivable only from a gitignored API cache.</w:t>
      </w:r>
    </w:p>
    <w:p>
      <w:pPr>
        <w:pStyle w:val="BodyText"/>
      </w:pPr>
      <w:r>
        <w:rPr>
          <w:b/>
          <w:bCs/>
        </w:rPr>
        <w:t xml:space="preserve">The hypothesis that recent-year publication rates were a detection artifact</w:t>
      </w:r>
      <w:r>
        <w:rPr>
          <w:b/>
          <w:bCs/>
        </w:rPr>
        <w:t xml:space="preserve"> </w:t>
      </w:r>
      <w:r>
        <w:rPr>
          <w:b/>
          <w:bCs/>
        </w:rPr>
        <w:t xml:space="preserve">did not survive testing.</w:t>
      </w:r>
      <w:r>
        <w:t xml:space="preserve"> </w:t>
      </w:r>
      <w:r>
        <w:t xml:space="preserve">Rates rise sharply in later congresses (5.6% in 2017</w:t>
      </w:r>
      <w:r>
        <w:t xml:space="preserve"> </w:t>
      </w:r>
      <w:r>
        <w:t xml:space="preserve">to 31.1% in 2022) despite later congresses having</w:t>
      </w:r>
      <w:r>
        <w:t xml:space="preserve"> </w:t>
      </w:r>
      <w:r>
        <w:rPr>
          <w:i/>
          <w:iCs/>
        </w:rPr>
        <w:t xml:space="preserve">less</w:t>
      </w:r>
      <w:r>
        <w:t xml:space="preserve"> </w:t>
      </w:r>
      <w:r>
        <w:t xml:space="preserve">time to publish, which</w:t>
      </w:r>
      <w:r>
        <w:t xml:space="preserve"> </w:t>
      </w:r>
      <w:r>
        <w:t xml:space="preserve">is the wrong direction for follow-up and suggested that recent papers were</w:t>
      </w:r>
      <w:r>
        <w:t xml:space="preserve"> </w:t>
      </w:r>
      <w:r>
        <w:t xml:space="preserve">simply easier to match. The data do not support it. Abstract text is absent for</w:t>
      </w:r>
      <w:r>
        <w:t xml:space="preserve"> </w:t>
      </w:r>
      <w:r>
        <w:t xml:space="preserve">100% of 2017 and 2018, and those two congresses sit at opposite extremes of the</w:t>
      </w:r>
      <w:r>
        <w:t xml:space="preserve"> </w:t>
      </w:r>
      <w:r>
        <w:t xml:space="preserve">rate distribution – 5.6% and 25.3% – which is the clearest available evidence</w:t>
      </w:r>
      <w:r>
        <w:t xml:space="preserve"> </w:t>
      </w:r>
      <w:r>
        <w:t xml:space="preserve">that text availability is not what drives matching. Text availability correlates</w:t>
      </w:r>
      <w:r>
        <w:t xml:space="preserve"> </w:t>
      </w:r>
      <w:r>
        <w:t xml:space="preserve">with rate at only r = +0.179; median candidate counts</w:t>
      </w:r>
      <w:r>
        <w:t xml:space="preserve"> </w:t>
      </w:r>
      <w:r>
        <w:rPr>
          <w:i/>
          <w:iCs/>
        </w:rPr>
        <w:t xml:space="preserve">fall</w:t>
      </w:r>
      <w:r>
        <w:t xml:space="preserve"> </w:t>
      </w:r>
      <w:r>
        <w:t xml:space="preserve">over time (49 to</w:t>
      </w:r>
      <w:r>
        <w:t xml:space="preserve"> </w:t>
      </w:r>
      <w:r>
        <w:t xml:space="preserve">29) rather than rising, so the search became more precise rather than more</w:t>
      </w:r>
      <w:r>
        <w:t xml:space="preserve"> </w:t>
      </w:r>
      <w:r>
        <w:t xml:space="preserve">permissive; and congress year itself is the strongest correlate at r = +0.636.</w:t>
      </w:r>
      <w:r>
        <w:t xml:space="preserve"> </w:t>
      </w:r>
      <w:r>
        <w:t xml:space="preserve">The hypothesis was abandoned rather than retained as a caveat.</w:t>
      </w:r>
    </w:p>
    <w:p>
      <w:pPr>
        <w:pStyle w:val="BodyText"/>
      </w:pPr>
      <w:r>
        <w:rPr>
          <w:b/>
          <w:bCs/>
        </w:rPr>
        <w:t xml:space="preserve">The ScienceDirect 403 was described as an anti-scraping block rather than an</w:t>
      </w:r>
      <w:r>
        <w:rPr>
          <w:b/>
          <w:bCs/>
        </w:rPr>
        <w:t xml:space="preserve"> </w:t>
      </w:r>
      <w:r>
        <w:rPr>
          <w:b/>
          <w:bCs/>
        </w:rPr>
        <w:t xml:space="preserve">access wall. It is both.</w:t>
      </w:r>
      <w:r>
        <w:t xml:space="preserve"> </w:t>
      </w:r>
      <w:r>
        <w:t xml:space="preserve">A23 recorded the cohort as uncompletable because</w:t>
      </w:r>
      <w:r>
        <w:t xml:space="preserve"> </w:t>
      </w:r>
      <w:r>
        <w:t xml:space="preserve">ScienceDirect returns HTTP 403, and that 403 came from scraping HTML with</w:t>
      </w:r>
      <w:r>
        <w:t xml:space="preserve"> </w:t>
      </w:r>
      <w:r>
        <w:rPr>
          <w:rStyle w:val="VerbatimChar"/>
        </w:rPr>
        <w:t xml:space="preserve">rvest</w:t>
      </w:r>
      <w:r>
        <w:t xml:space="preserve">, so the conclusion was too strong: the official API had never been</w:t>
      </w:r>
      <w:r>
        <w:t xml:space="preserve"> </w:t>
      </w:r>
      <w:r>
        <w:t xml:space="preserve">called, and there was no</w:t>
      </w:r>
      <w:r>
        <w:t xml:space="preserve"> </w:t>
      </w:r>
      <w:r>
        <w:rPr>
          <w:rStyle w:val="VerbatimChar"/>
        </w:rPr>
        <w:t xml:space="preserve">api.elsevier</w:t>
      </w:r>
      <w:r>
        <w:t xml:space="preserve">,</w:t>
      </w:r>
      <w:r>
        <w:t xml:space="preserve"> </w:t>
      </w:r>
      <w:r>
        <w:rPr>
          <w:rStyle w:val="VerbatimChar"/>
        </w:rPr>
        <w:t xml:space="preserve">elsapy</w:t>
      </w:r>
      <w:r>
        <w:t xml:space="preserve"> </w:t>
      </w:r>
      <w:r>
        <w:t xml:space="preserve">or</w:t>
      </w:r>
      <w:r>
        <w:t xml:space="preserve"> </w:t>
      </w:r>
      <w:r>
        <w:rPr>
          <w:rStyle w:val="VerbatimChar"/>
        </w:rPr>
        <w:t xml:space="preserve">rscopus</w:t>
      </w:r>
      <w:r>
        <w:t xml:space="preserve"> </w:t>
      </w:r>
      <w:r>
        <w:t xml:space="preserve">anywhere in the</w:t>
      </w:r>
      <w:r>
        <w:t xml:space="preserve"> </w:t>
      </w:r>
      <w:r>
        <w:t xml:space="preserve">repository. The correction in the other direction is equally real. Called with a</w:t>
      </w:r>
      <w:r>
        <w:t xml:space="preserve"> </w:t>
      </w:r>
      <w:r>
        <w:t xml:space="preserve">self-service key,</w:t>
      </w:r>
      <w:r>
        <w:t xml:space="preserve"> </w:t>
      </w:r>
      <w:r>
        <w:rPr>
          <w:rStyle w:val="VerbatimChar"/>
        </w:rPr>
        <w:t xml:space="preserve">search/sciencedirect</w:t>
      </w:r>
      <w:r>
        <w:t xml:space="preserve"> </w:t>
      </w:r>
      <w:r>
        <w:t xml:space="preserve">and</w:t>
      </w:r>
      <w:r>
        <w:t xml:space="preserve"> </w:t>
      </w:r>
      <w:r>
        <w:rPr>
          <w:rStyle w:val="VerbatimChar"/>
        </w:rPr>
        <w:t xml:space="preserve">metadata/article</w:t>
      </w:r>
      <w:r>
        <w:t xml:space="preserve"> </w:t>
      </w:r>
      <w:r>
        <w:t xml:space="preserve">return 401 and</w:t>
      </w:r>
      <w:r>
        <w:t xml:space="preserve"> </w:t>
      </w:r>
      <w:r>
        <w:t xml:space="preserve">full-text retrieval returns 403; the key authenticates and is Scopus-entitled</w:t>
      </w:r>
      <w:r>
        <w:t xml:space="preserve"> </w:t>
      </w:r>
      <w:r>
        <w:t xml:space="preserve">but carries no ScienceDirect entitlement. Scopus is separately useless here and</w:t>
      </w:r>
      <w:r>
        <w:t xml:space="preserve"> </w:t>
      </w:r>
      <w:r>
        <w:t xml:space="preserve">that finding is independent of any key: it does not index the congress</w:t>
      </w:r>
      <w:r>
        <w:t xml:space="preserve"> </w:t>
      </w:r>
      <w:r>
        <w:t xml:space="preserve">supplement at all, with both known 2022 supplement DOIs returning zero records.</w:t>
      </w:r>
      <w:r>
        <w:t xml:space="preserve"> </w:t>
      </w:r>
      <w:r>
        <w:rPr>
          <w:rStyle w:val="VerbatimChar"/>
        </w:rPr>
        <w:t xml:space="preserve">scripts/elsevier_api_probe.R</w:t>
      </w:r>
      <w:r>
        <w:t xml:space="preserve"> </w:t>
      </w:r>
      <w:r>
        <w:t xml:space="preserve">exists so this is re-run rather than re-argued,</w:t>
      </w:r>
      <w:r>
        <w:t xml:space="preserve"> </w:t>
      </w:r>
      <w:r>
        <w:t xml:space="preserve">since Elsevier entitlement is commonly IP-bound and the same key may succeed</w:t>
      </w:r>
      <w:r>
        <w:t xml:space="preserve"> </w:t>
      </w:r>
      <w:r>
        <w:t xml:space="preserve">inside an institutional network.</w:t>
      </w:r>
    </w:p>
    <w:p>
      <w:pPr>
        <w:pStyle w:val="BodyText"/>
      </w:pPr>
      <w:r>
        <w:t xml:space="preserve">The common thread is that each correction narrowed what the study may claim</w:t>
      </w:r>
      <w:r>
        <w:t xml:space="preserve"> </w:t>
      </w:r>
      <w:r>
        <w:t xml:space="preserve">rather than widening it, and that two of the three corrected assertions this</w:t>
      </w:r>
      <w:r>
        <w:t xml:space="preserve"> </w:t>
      </w:r>
      <w:r>
        <w:t xml:space="preserve">project had itself made.</w:t>
      </w:r>
    </w:p>
    <w:bookmarkEnd w:id="251"/>
    <w:bookmarkStart w:id="257" w:name="a25.-the-cohort-is-two-sampling-frames"/>
    <w:p>
      <w:pPr>
        <w:pStyle w:val="Heading2"/>
      </w:pPr>
      <w:r>
        <w:t xml:space="preserve">A25. The Cohort Is Two Sampling Frames</w:t>
      </w:r>
    </w:p>
    <w:p>
      <w:pPr>
        <w:pStyle w:val="FirstParagraph"/>
      </w:pPr>
      <w:r>
        <w:t xml:space="preserve">A14 established that ingestion stops mid-block. A23 measured what the truncation</w:t>
      </w:r>
      <w:r>
        <w:t xml:space="preserve"> </w:t>
      </w:r>
      <w:r>
        <w:t xml:space="preserve">does to the rate. Neither noticed that the truncation does not apply to every</w:t>
      </w:r>
      <w:r>
        <w:t xml:space="preserve"> </w:t>
      </w:r>
      <w:r>
        <w:t xml:space="preserve">congress, and that is the more consequential fact: ten congresses are</w:t>
      </w:r>
      <w:r>
        <w:t xml:space="preserve"> </w:t>
      </w:r>
      <w:r>
        <w:t xml:space="preserve">front-truncated samples and two are complete censuses of their oral block, and</w:t>
      </w:r>
      <w:r>
        <w:t xml:space="preserve"> </w:t>
      </w:r>
      <w:r>
        <w:t xml:space="preserve">the two groups report publication rates differing by more than a factor of two.</w:t>
      </w:r>
    </w:p>
    <w:bookmarkStart w:id="252" w:name="X6562747fac96ef339f09f281c11cd35db354be4"/>
    <w:p>
      <w:pPr>
        <w:pStyle w:val="Heading3"/>
      </w:pPr>
      <w:r>
        <w:t xml:space="preserve">A25.1 The evidence is a section heading, not an inference</w:t>
      </w:r>
    </w:p>
    <w:p>
      <w:pPr>
        <w:pStyle w:val="FirstParagraph"/>
      </w:pPr>
      <w:r>
        <w:rPr>
          <w:rStyle w:val="VerbatimChar"/>
        </w:rPr>
        <w:t xml:space="preserve">R/01d_tag_session_type.R</w:t>
      </w:r>
      <w:r>
        <w:t xml:space="preserve"> </w:t>
      </w:r>
      <w:r>
        <w:t xml:space="preserve">reads real</w:t>
      </w:r>
      <w:r>
        <w:t xml:space="preserve"> </w:t>
      </w:r>
      <w:r>
        <w:rPr>
          <w:rStyle w:val="VerbatimChar"/>
        </w:rPr>
        <w:t xml:space="preserve">&lt;h3 class="section-title"&gt;</w:t>
      </w:r>
      <w:r>
        <w:t xml:space="preserve"> </w:t>
      </w:r>
      <w:r>
        <w:t xml:space="preserve">nodes from the</w:t>
      </w:r>
      <w:r>
        <w:t xml:space="preserve"> </w:t>
      </w:r>
      <w:r>
        <w:t xml:space="preserve">issue listing and carries the current heading forward to each item beneath it.</w:t>
      </w:r>
      <w:r>
        <w:t xml:space="preserve"> </w:t>
      </w:r>
      <w:r>
        <w:t xml:space="preserve">Every captured record therefore has an observed session label; none is defaulted.</w:t>
      </w:r>
      <w:r>
        <w:t xml:space="preserve"> </w:t>
      </w:r>
      <w:r>
        <w:t xml:space="preserve">That is what makes the following table evidence rather than assumption.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congresses</w:t>
            </w:r>
          </w:p>
        </w:tc>
        <w:tc>
          <w:tcPr/>
          <w:p>
            <w:pPr>
              <w:pStyle w:val="Compact"/>
            </w:pPr>
            <w:r>
              <w:t xml:space="preserve">captured session labels</w:t>
            </w:r>
          </w:p>
        </w:tc>
        <w:tc>
          <w:tcPr/>
          <w:p>
            <w:pPr>
              <w:pStyle w:val="Compact"/>
            </w:pPr>
            <w:r>
              <w:t xml:space="preserve">what it means</w:t>
            </w:r>
          </w:p>
        </w:tc>
      </w:tr>
      <w:tr>
        <w:tc>
          <w:tcPr/>
          <w:p>
            <w:pPr>
              <w:pStyle w:val="Compact"/>
            </w:pPr>
            <w:r>
              <w:t xml:space="preserve">2012–2021</w:t>
            </w:r>
          </w:p>
        </w:tc>
        <w:tc>
          <w:tcPr/>
          <w:p>
            <w:pPr>
              <w:pStyle w:val="Compact"/>
            </w:pPr>
            <w:r>
              <w:t xml:space="preserve">Oral only, no Video row in any year</w:t>
            </w:r>
          </w:p>
        </w:tc>
        <w:tc>
          <w:tcPr/>
          <w:p>
            <w:pPr>
              <w:pStyle w:val="Compact"/>
            </w:pPr>
            <w:r>
              <w:t xml:space="preserve">ingestion stopped while still inside the oral block</w:t>
            </w:r>
          </w:p>
        </w:tc>
      </w:tr>
      <w:tr>
        <w:tc>
          <w:tcPr/>
          <w:p>
            <w:pPr>
              <w:pStyle w:val="Compact"/>
            </w:pPr>
            <w:r>
              <w:t xml:space="preserve">2022, 2023</w:t>
            </w:r>
          </w:p>
        </w:tc>
        <w:tc>
          <w:tcPr/>
          <w:p>
            <w:pPr>
              <w:pStyle w:val="Compact"/>
            </w:pPr>
            <w:r>
              <w:t xml:space="preserve">Oral then Video (10 and 38 video records)</w:t>
            </w:r>
          </w:p>
        </w:tc>
        <w:tc>
          <w:tcPr/>
          <w:p>
            <w:pPr>
              <w:pStyle w:val="Compact"/>
            </w:pPr>
            <w:r>
              <w:t xml:space="preserve">ingestion ran past the end of the oral block</w:t>
            </w:r>
          </w:p>
        </w:tc>
      </w:tr>
    </w:tbl>
    <w:p>
      <w:pPr>
        <w:pStyle w:val="BodyText"/>
      </w:pPr>
      <w:r>
        <w:t xml:space="preserve">A capture that reaches Video has necessarily exhausted the orals before it. So</w:t>
      </w:r>
      <w:r>
        <w:t xml:space="preserve"> </w:t>
      </w:r>
      <w:r>
        <w:t xml:space="preserve">2022 holds all 90 of its oral presentations and 2023 all 60, while the other ten</w:t>
      </w:r>
      <w:r>
        <w:t xml:space="preserve"> </w:t>
      </w:r>
      <w:r>
        <w:t xml:space="preserve">congresses hold the first ~95 of an unknown larger number.</w:t>
      </w:r>
    </w:p>
    <w:bookmarkEnd w:id="252"/>
    <w:bookmarkStart w:id="253" w:name="X36fba73d2f7af01aeeb017eed614a1cfd5ceb4a"/>
    <w:p>
      <w:pPr>
        <w:pStyle w:val="Heading3"/>
      </w:pPr>
      <w:r>
        <w:t xml:space="preserve">A25.2 The two frames do not report the same quantity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t>
            </w:r>
          </w:p>
        </w:tc>
        <w:tc>
          <w:tcPr/>
          <w:p>
            <w:pPr>
              <w:pStyle w:val="Compact"/>
            </w:pPr>
            <w:r>
              <w:t xml:space="preserve">congresses</w:t>
            </w:r>
          </w:p>
        </w:tc>
        <w:tc>
          <w:tcPr/>
          <w:p>
            <w:pPr>
              <w:pStyle w:val="Compact"/>
            </w:pPr>
            <w:r>
              <w:t xml:space="preserve">evaluated</w:t>
            </w:r>
          </w:p>
        </w:tc>
        <w:tc>
          <w:tcPr/>
          <w:p>
            <w:pPr>
              <w:pStyle w:val="Compact"/>
            </w:pPr>
            <w:r>
              <w:t xml:space="preserve">published</w:t>
            </w:r>
          </w:p>
        </w:tc>
        <w:tc>
          <w:tcPr/>
          <w:p>
            <w:pPr>
              <w:pStyle w:val="Compact"/>
            </w:pPr>
            <w:r>
              <w:t xml:space="preserve">rate</w:t>
            </w:r>
          </w:p>
        </w:tc>
      </w:tr>
      <w:tr>
        <w:tc>
          <w:tcPr/>
          <w:p>
            <w:pPr>
              <w:pStyle w:val="Compact"/>
            </w:pPr>
            <w:r>
              <w:t xml:space="preserve">Census of orals</w:t>
            </w:r>
          </w:p>
        </w:tc>
        <w:tc>
          <w:tcPr/>
          <w:p>
            <w:pPr>
              <w:pStyle w:val="Compact"/>
            </w:pPr>
            <w:r>
              <w:t xml:space="preserve">2</w:t>
            </w:r>
          </w:p>
        </w:tc>
        <w:tc>
          <w:tcPr/>
          <w:p>
            <w:pPr>
              <w:pStyle w:val="Compact"/>
            </w:pPr>
            <w:r>
              <w:t xml:space="preserve">150</w:t>
            </w:r>
          </w:p>
        </w:tc>
        <w:tc>
          <w:tcPr/>
          <w:p>
            <w:pPr>
              <w:pStyle w:val="Compact"/>
            </w:pPr>
            <w:r>
              <w:t xml:space="preserve">46</w:t>
            </w:r>
          </w:p>
        </w:tc>
        <w:tc>
          <w:tcPr/>
          <w:p>
            <w:pPr>
              <w:pStyle w:val="Compact"/>
            </w:pPr>
            <w:r>
              <w:rPr>
                <w:b/>
                <w:bCs/>
              </w:rPr>
              <w:t xml:space="preserve">30.7%</w:t>
            </w:r>
          </w:p>
        </w:tc>
      </w:tr>
      <w:tr>
        <w:tc>
          <w:tcPr/>
          <w:p>
            <w:pPr>
              <w:pStyle w:val="Compact"/>
            </w:pPr>
            <w:r>
              <w:t xml:space="preserve">Front-truncated</w:t>
            </w:r>
          </w:p>
        </w:tc>
        <w:tc>
          <w:tcPr/>
          <w:p>
            <w:pPr>
              <w:pStyle w:val="Compact"/>
            </w:pPr>
            <w:r>
              <w:t xml:space="preserve">10</w:t>
            </w:r>
          </w:p>
        </w:tc>
        <w:tc>
          <w:tcPr/>
          <w:p>
            <w:pPr>
              <w:pStyle w:val="Compact"/>
            </w:pPr>
            <w:r>
              <w:t xml:space="preserve">901</w:t>
            </w:r>
          </w:p>
        </w:tc>
        <w:tc>
          <w:tcPr/>
          <w:p>
            <w:pPr>
              <w:pStyle w:val="Compact"/>
            </w:pPr>
            <w:r>
              <w:t xml:space="preserve">124</w:t>
            </w:r>
          </w:p>
        </w:tc>
        <w:tc>
          <w:tcPr/>
          <w:p>
            <w:pPr>
              <w:pStyle w:val="Compact"/>
            </w:pPr>
            <w:r>
              <w:rPr>
                <w:b/>
                <w:bCs/>
              </w:rPr>
              <w:t xml:space="preserve">13.8%</w:t>
            </w:r>
          </w:p>
        </w:tc>
      </w:tr>
      <w:tr>
        <w:tc>
          <w:tcPr/>
          <w:p>
            <w:pPr>
              <w:pStyle w:val="Compact"/>
            </w:pPr>
            <w:r>
              <w:t xml:space="preserve">Pooled</w:t>
            </w:r>
          </w:p>
        </w:tc>
        <w:tc>
          <w:tcPr/>
          <w:p>
            <w:pPr>
              <w:pStyle w:val="Compact"/>
            </w:pPr>
            <w:r>
              <w:t xml:space="preserve">12</w:t>
            </w:r>
          </w:p>
        </w:tc>
        <w:tc>
          <w:tcPr/>
          <w:p>
            <w:pPr>
              <w:pStyle w:val="Compact"/>
            </w:pPr>
            <w:r>
              <w:t xml:space="preserve">1,051</w:t>
            </w:r>
          </w:p>
        </w:tc>
        <w:tc>
          <w:tcPr/>
          <w:p>
            <w:pPr>
              <w:pStyle w:val="Compact"/>
            </w:pPr>
            <w:r>
              <w:t xml:space="preserve">170</w:t>
            </w:r>
          </w:p>
        </w:tc>
        <w:tc>
          <w:tcPr/>
          <w:p>
            <w:pPr>
              <w:pStyle w:val="Compact"/>
            </w:pPr>
            <w:r>
              <w:t xml:space="preserve">16.2%</w:t>
            </w:r>
          </w:p>
        </w:tc>
      </w:tr>
    </w:tbl>
    <w:p>
      <w:pPr>
        <w:pStyle w:val="BodyText"/>
      </w:pPr>
      <w:r>
        <w:t xml:space="preserve">The pooled 16.2% is a weighted average of a census of two small recent</w:t>
      </w:r>
      <w:r>
        <w:t xml:space="preserve"> </w:t>
      </w:r>
      <w:r>
        <w:t xml:space="preserve">congresses and a front-slice of ten larger older ones. It is not an estimate of</w:t>
      </w:r>
      <w:r>
        <w:t xml:space="preserve"> </w:t>
      </w:r>
      <w:r>
        <w:t xml:space="preserve">a well-defined population quantity, and the Methods statement describing the</w:t>
      </w:r>
      <w:r>
        <w:t xml:space="preserve"> </w:t>
      </w:r>
      <w:r>
        <w:t xml:space="preserve">cohort as</w:t>
      </w:r>
      <w:r>
        <w:t xml:space="preserve"> </w:t>
      </w:r>
      <w:r>
        <w:t xml:space="preserve">“all oral presentations”</w:t>
      </w:r>
      <w:r>
        <w:t xml:space="preserve"> </w:t>
      </w:r>
      <w:r>
        <w:t xml:space="preserve">is accurate for two congresses of twelve.</w:t>
      </w:r>
    </w:p>
    <w:bookmarkEnd w:id="253"/>
    <w:bookmarkStart w:id="254" w:name="Xc081314b309e33957ab7efc845591209ae2f30d"/>
    <w:p>
      <w:pPr>
        <w:pStyle w:val="Heading3"/>
      </w:pPr>
      <w:r>
        <w:t xml:space="preserve">A25.3 The direction of the truncation bias widens the gap</w:t>
      </w:r>
    </w:p>
    <w:p>
      <w:pPr>
        <w:pStyle w:val="FirstParagraph"/>
      </w:pPr>
      <w:r>
        <w:t xml:space="preserve">Publication rate declines across position quintiles within the captured window</w:t>
      </w:r>
      <w:r>
        <w:t xml:space="preserve"> </w:t>
      </w:r>
      <w:r>
        <w:t xml:space="preserve">(A23: OR 0.607, p = 0.080). Front positions therefore publish more, so the</w:t>
      </w:r>
      <w:r>
        <w:t xml:space="preserve"> </w:t>
      </w:r>
      <w:r>
        <w:t xml:space="preserve">truncated years’ 13.8% is if anything an over-estimate of what those congresses</w:t>
      </w:r>
      <w:r>
        <w:t xml:space="preserve"> </w:t>
      </w:r>
      <w:r>
        <w:t xml:space="preserve">would report on complete data. Completing those frames would push them down,</w:t>
      </w:r>
      <w:r>
        <w:t xml:space="preserve"> </w:t>
      </w:r>
      <w:r>
        <w:t xml:space="preserve">away from the census years’ 30.7% rather than towards it. The gap between the</w:t>
      </w:r>
      <w:r>
        <w:t xml:space="preserve"> </w:t>
      </w:r>
      <w:r>
        <w:t xml:space="preserve">frames is a lower bound.</w:t>
      </w:r>
    </w:p>
    <w:p>
      <w:pPr>
        <w:pStyle w:val="BodyText"/>
      </w:pPr>
      <w:r>
        <w:t xml:space="preserve">Two observations cut the other way and are recorded so the case is not</w:t>
      </w:r>
      <w:r>
        <w:t xml:space="preserve"> </w:t>
      </w:r>
      <w:r>
        <w:t xml:space="preserve">overstated. Randomised trials are more frequent in the last captured quintile,</w:t>
      </w:r>
      <w:r>
        <w:t xml:space="preserve"> </w:t>
      </w:r>
      <w:r>
        <w:t xml:space="preserve">and the census congresses are the two smallest programmes in the series (497 and</w:t>
      </w:r>
      <w:r>
        <w:t xml:space="preserve"> </w:t>
      </w:r>
      <w:r>
        <w:t xml:space="preserve">392 supplement items against 663–901 earlier), so a genuinely more selective</w:t>
      </w:r>
      <w:r>
        <w:t xml:space="preserve"> </w:t>
      </w:r>
      <w:r>
        <w:t xml:space="preserve">meeting is a competing explanation for their higher rate that has nothing to do</w:t>
      </w:r>
      <w:r>
        <w:t xml:space="preserve"> </w:t>
      </w:r>
      <w:r>
        <w:t xml:space="preserve">with sampling.</w:t>
      </w:r>
    </w:p>
    <w:bookmarkEnd w:id="254"/>
    <w:bookmarkStart w:id="255" w:name="X5bdf782ab939408817926e78b4a0781f903775c"/>
    <w:p>
      <w:pPr>
        <w:pStyle w:val="Heading3"/>
      </w:pPr>
      <w:r>
        <w:t xml:space="preserve">A25.4 Why this is not fixable by weighting</w:t>
      </w:r>
    </w:p>
    <w:p>
      <w:pPr>
        <w:pStyle w:val="FirstParagraph"/>
      </w:pPr>
      <w:r>
        <w:t xml:space="preserve">Front truncation is not random missingness. The unobserved abstracts are</w:t>
      </w:r>
      <w:r>
        <w:t xml:space="preserve"> </w:t>
      </w:r>
      <w:r>
        <w:t xml:space="preserve">identified by their position in the printed programme, the observed rate varies</w:t>
      </w:r>
      <w:r>
        <w:t xml:space="preserve"> </w:t>
      </w:r>
      <w:r>
        <w:t xml:space="preserve">with that position, and the size of the unobserved set is itself unknown because</w:t>
      </w:r>
      <w:r>
        <w:t xml:space="preserve"> </w:t>
      </w:r>
      <w:r>
        <w:t xml:space="preserve">the oral block’s end page is unknown for ten congresses. There is no sampling</w:t>
      </w:r>
      <w:r>
        <w:t xml:space="preserve"> </w:t>
      </w:r>
      <w:r>
        <w:t xml:space="preserve">mechanism to model. The remedy is acquisition, not adjustment:</w:t>
      </w:r>
      <w:r>
        <w:t xml:space="preserve"> </w:t>
      </w:r>
      <w:r>
        <w:rPr>
          <w:rStyle w:val="VerbatimChar"/>
        </w:rPr>
        <w:t xml:space="preserve">scripts/extract_session_boundaries.R</w:t>
      </w:r>
      <w:r>
        <w:t xml:space="preserve"> </w:t>
      </w:r>
      <w:r>
        <w:t xml:space="preserve">recovers the block boundary from the</w:t>
      </w:r>
      <w:r>
        <w:t xml:space="preserve"> </w:t>
      </w:r>
      <w:r>
        <w:t xml:space="preserve">supplement table of contents, and</w:t>
      </w:r>
      <w:r>
        <w:t xml:space="preserve"> </w:t>
      </w:r>
      <w:r>
        <w:rPr>
          <w:rStyle w:val="VerbatimChar"/>
        </w:rPr>
        <w:t xml:space="preserve">scripts/acquire_supplements.R</w:t>
      </w:r>
      <w:r>
        <w:t xml:space="preserve"> </w:t>
      </w:r>
      <w:r>
        <w:t xml:space="preserve">gates the</w:t>
      </w:r>
      <w:r>
        <w:t xml:space="preserve"> </w:t>
      </w:r>
      <w:r>
        <w:t xml:space="preserve">inputs it needs.</w:t>
      </w:r>
    </w:p>
    <w:bookmarkEnd w:id="255"/>
    <w:bookmarkStart w:id="256" w:name="a25.5-the-decision-this-forces"/>
    <w:p>
      <w:pPr>
        <w:pStyle w:val="Heading3"/>
      </w:pPr>
      <w:r>
        <w:t xml:space="preserve">A25.5 The decision this forces</w:t>
      </w:r>
    </w:p>
    <w:p>
      <w:pPr>
        <w:pStyle w:val="FirstParagraph"/>
      </w:pPr>
      <w:r>
        <w:t xml:space="preserve">Either the ten historical boundaries are recovered and the twelve-year cohort</w:t>
      </w:r>
      <w:r>
        <w:t xml:space="preserve"> </w:t>
      </w:r>
      <w:r>
        <w:t xml:space="preserve">becomes a genuine census throughout, or the primary analysis narrows to the</w:t>
      </w:r>
      <w:r>
        <w:t xml:space="preserve"> </w:t>
      </w:r>
      <w:r>
        <w:t xml:space="preserve">congresses with complete enumeration. Reporting a pooled figure across two</w:t>
      </w:r>
      <w:r>
        <w:t xml:space="preserve"> </w:t>
      </w:r>
      <w:r>
        <w:t xml:space="preserve">incompatible frames is the one option that is not defensible, and choosing</w:t>
      </w:r>
      <w:r>
        <w:t xml:space="preserve"> </w:t>
      </w:r>
      <w:r>
        <w:t xml:space="preserve">between the other two is a PI decision rather than an engineering one.</w:t>
      </w:r>
    </w:p>
    <w:p>
      <w:pPr>
        <w:pStyle w:val="BodyText"/>
      </w:pPr>
      <w:r>
        <w:rPr>
          <w:rStyle w:val="VerbatimChar"/>
        </w:rPr>
        <w:t xml:space="preserve">scripts/cohort_frame_composition.R</w:t>
      </w:r>
      <w:r>
        <w:t xml:space="preserve"> </w:t>
      </w:r>
      <w:r>
        <w:t xml:space="preserve">regenerates the table above and</w:t>
      </w:r>
      <w:r>
        <w:t xml:space="preserve"> </w:t>
      </w:r>
      <w:r>
        <w:rPr>
          <w:rStyle w:val="VerbatimChar"/>
        </w:rPr>
        <w:t xml:space="preserve">output/figures/cohort_frame_composition.png</w:t>
      </w:r>
      <w:r>
        <w:t xml:space="preserv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2026-09-07T20:54:33Z</dcterms:created>
  <dcterms:modified xsi:type="dcterms:W3CDTF">2026-09-07T20:54:33Z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07,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