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Abstract Lifetime: Publication Rates and Predictors of Success for Presentations at the AAGL Global Congress</w:t>
      </w:r>
    </w:p>
    <w:p>
      <w:pPr>
        <w:pStyle w:val="FirstParagraph"/>
      </w:pPr>
      <w:r>
        <w:rPr>
          <w:b/>
          <w:bCs/>
        </w:rPr>
        <w:t xml:space="preserve">Study Objective:</w:t>
      </w:r>
      <w:r>
        <w:br/>
      </w:r>
      <w:r>
        <w:t xml:space="preserve">To determine the full-text peer-reviewed publication rate of research presented at the AAGL Global Congress on Minimally Invasive Gynecology over a 12-year period, and to identify demographic and study-level predictors of successful publication.</w:t>
      </w:r>
    </w:p>
    <w:p>
      <w:pPr>
        <w:pStyle w:val="BodyText"/>
      </w:pPr>
      <w:r>
        <w:rPr>
          <w:b/>
          <w:bCs/>
        </w:rPr>
        <w:t xml:space="preserve">Design:</w:t>
      </w:r>
      <w:r>
        <w:br/>
      </w:r>
      <w:r>
        <w:t xml:space="preserve">Retrospective observational study utilizing a novel, fully automated natural language processing (NLP) and data enrichment pipeline.</w:t>
      </w:r>
    </w:p>
    <w:p>
      <w:pPr>
        <w:pStyle w:val="BodyText"/>
      </w:pPr>
      <w:r>
        <w:rPr>
          <w:b/>
          <w:bCs/>
        </w:rPr>
        <w:t xml:space="preserve">Setting:</w:t>
      </w:r>
      <w:r>
        <w:br/>
      </w:r>
      <w:r>
        <w:t xml:space="preserve">AAGL Global Congress on Minimally Invasive Gynecology (2012–2023).</w:t>
      </w:r>
    </w:p>
    <w:p>
      <w:pPr>
        <w:pStyle w:val="BodyText"/>
      </w:pPr>
      <w:r>
        <w:rPr>
          <w:b/>
          <w:bCs/>
        </w:rPr>
        <w:t xml:space="preserve">Patients or Participants:</w:t>
      </w:r>
      <w:r>
        <w:br/>
      </w:r>
      <w:r>
        <w:t xml:space="preserve">A total of 1,012 abstracts presented at the AAGL Global Congress.</w:t>
      </w:r>
    </w:p>
    <w:p>
      <w:pPr>
        <w:pStyle w:val="BodyText"/>
      </w:pPr>
      <w:r>
        <w:rPr>
          <w:b/>
          <w:bCs/>
        </w:rPr>
        <w:t xml:space="preserve">Interventions:</w:t>
      </w:r>
      <w:r>
        <w:br/>
      </w:r>
      <w:r>
        <w:t xml:space="preserve">A massive-scale computational pipeline was developed to scrape and extract abstract metadata. To definitively link conference abstracts to full-text manuscripts, the algorithm deployed a 6-strategy search across multiple academic databases (PubMed, CrossRef, Europe PMC, OpenAlex), followed by a 10-component composite scoring system. All probable algorithmic matches were confirmed via blinded human adjudication. Advanced data enrichment techniques, including NPI and ORCID registry matching, were utilized to extract author demographics.</w:t>
      </w:r>
    </w:p>
    <w:p>
      <w:pPr>
        <w:pStyle w:val="BodyText"/>
      </w:pPr>
      <w:r>
        <w:rPr>
          <w:b/>
          <w:bCs/>
        </w:rPr>
        <w:t xml:space="preserve">Measurements and Main Results:</w:t>
      </w:r>
      <w:r>
        <w:br/>
      </w:r>
      <w:r>
        <w:t xml:space="preserve">Of the 1,012 evaluated abstracts, 174 (17.2%) successfully progressed to a full-text peer-reviewed publication. Among abstracts that were successfully published, the median time from conference presentation to publication was 13.6 months (interquartile range: 4.6–22 months).</w:t>
      </w:r>
    </w:p>
    <w:p>
      <w:pPr>
        <w:pStyle w:val="BodyText"/>
      </w:pPr>
      <w:r>
        <w:t xml:space="preserve">In a multivariable logistic regression model, study design and team size were the strongest drivers of publication success. Abstracts representing Randomized Controlled Trials (RCTs) were nearly two-and-a-half times more likely to be published than observational studies (OR 2.48; 95% CI 1.4–4.3; p=0.001). Multicenter studies were also significantly more likely to reach full publication (OR 2.23; 95% CI 1.01–4.64; p=0.038). Furthermore, the likelihood of publication increased significantly with team size (OR 1.32 per additional author; p&lt;0.001). Notably, first-author gender, practice type (academic vs. private), geographic location (US vs. international), and the presence of declared funding were not statistically significant predictors of successful publication.</w:t>
      </w:r>
    </w:p>
    <w:p>
      <w:pPr>
        <w:pStyle w:val="BodyText"/>
      </w:pPr>
      <w:r>
        <w:rPr>
          <w:b/>
          <w:bCs/>
        </w:rPr>
        <w:t xml:space="preserve">Conclusion:</w:t>
      </w:r>
      <w:r>
        <w:br/>
      </w:r>
      <w:r>
        <w:t xml:space="preserve">The conversion rate of AAGL abstracts to full-text publications is 17.2%, highlighting a significant</w:t>
      </w:r>
      <w:r>
        <w:t xml:space="preserve"> </w:t>
      </w:r>
      <w:r>
        <w:t xml:space="preserve">“file drawer problem”</w:t>
      </w:r>
      <w:r>
        <w:t xml:space="preserve"> </w:t>
      </w:r>
      <w:r>
        <w:t xml:space="preserve">where the vast majority of presented research remains unpublished. High-quality methodologies, specifically RCTs and multicenter collaborations, alongside larger research teams, are the primary predictors of navigating the peer-review process successfully. This comprehensive pipeline establishes a new, highly reproducible benchmark for tracking the lifecycle of surgical research.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Abstract Lifetime: Publication Rates and Predictors of Success for Presentations at the AAGL Global Congress</dc:title>
  <dc:creator/>
  <cp:keywords/>
  <dcterms:created xsi:type="dcterms:W3CDTF">2026-04-29T02:35:22Z</dcterms:created>
  <dcterms:modified xsi:type="dcterms:W3CDTF">2026-04-29T02:35:22Z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