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04, 2026</w:t>
      </w:r>
    </w:p>
    <w:bookmarkStart w:id="20" w:name="Xd974e705cbddffade6dfc3a1a175f1e16bb976a"/>
    <w:p>
      <w:pPr>
        <w:pStyle w:val="Heading2"/>
      </w:pPr>
      <w:r>
        <w:t xml:space="preserve">A0. Relationship to the</w:t>
      </w:r>
      <w:r>
        <w:t xml:space="preserve"> </w:t>
      </w:r>
      <w:r>
        <w:rPr>
          <w:rStyle w:val="VerbatimChar"/>
        </w:rPr>
        <w:t xml:space="preserve">docs/</w:t>
      </w:r>
      <w:r>
        <w:t xml:space="preserve"> </w:t>
      </w:r>
      <w:r>
        <w:t xml:space="preserve">reference set</w:t>
      </w:r>
    </w:p>
    <w:p>
      <w:pPr>
        <w:pStyle w:val="FirstParagraph"/>
      </w:pPr>
      <w:r>
        <w:t xml:space="preserve">This appendix is a</w:t>
      </w:r>
      <w:r>
        <w:t xml:space="preserve"> </w:t>
      </w:r>
      <w:r>
        <w:rPr>
          <w:b/>
          <w:bCs/>
        </w:rPr>
        <w:t xml:space="preserve">narrative supplement</w:t>
      </w:r>
      <w:r>
        <w:t xml:space="preserve">, not the primary reference. Since</w:t>
      </w:r>
      <w:r>
        <w:t xml:space="preserve"> </w:t>
      </w:r>
      <w:r>
        <w:t xml:space="preserve">2026-09-03 the authoritative, continuously verified description of the pipeline</w:t>
      </w:r>
      <w:r>
        <w:t xml:space="preserve"> </w:t>
      </w:r>
      <w:r>
        <w:t xml:space="preserve">lives in</w:t>
      </w:r>
      <w:r>
        <w:t xml:space="preserve"> </w:t>
      </w:r>
      <w:r>
        <w:rPr>
          <w:rStyle w:val="VerbatimChar"/>
        </w:rPr>
        <w:t xml:space="preserve">docs/</w:t>
      </w:r>
      <w:r>
        <w:t xml:space="preserve">, and a lightweight test</w:t>
      </w:r>
      <w:r>
        <w:t xml:space="preserve"> </w:t>
      </w:r>
      <w:r>
        <w:t xml:space="preserve">(</w:t>
      </w:r>
      <w:r>
        <w:rPr>
          <w:rStyle w:val="VerbatimChar"/>
        </w:rPr>
        <w:t xml:space="preserve">tests/testthat/test-docs_drift.R</w:t>
      </w:r>
      <w:r>
        <w:t xml:space="preserve">) fails when those documents disagree with</w:t>
      </w:r>
      <w:r>
        <w:t xml:space="preserve"> </w:t>
      </w:r>
      <w:r>
        <w:t xml:space="preserve">the data. Where this appendix and a</w:t>
      </w:r>
      <w:r>
        <w:t xml:space="preserve"> </w:t>
      </w:r>
      <w:r>
        <w:rPr>
          <w:rStyle w:val="VerbatimChar"/>
        </w:rPr>
        <w:t xml:space="preserve">docs/</w:t>
      </w:r>
      <w:r>
        <w:t xml:space="preserve"> </w:t>
      </w:r>
      <w:r>
        <w:t xml:space="preserve">file differ,</w:t>
      </w:r>
      <w:r>
        <w:t xml:space="preserve"> </w:t>
      </w:r>
      <w:r>
        <w:rPr>
          <w:b/>
          <w:bCs/>
        </w:rPr>
        <w:t xml:space="preserve">the</w:t>
      </w:r>
      <w:r>
        <w:rPr>
          <w:b/>
          <w:bCs/>
        </w:rPr>
        <w:t xml:space="preserve"> </w:t>
      </w:r>
      <w:r>
        <w:rPr>
          <w:rStyle w:val="VerbatimChar"/>
          <w:b/>
          <w:bCs/>
        </w:rPr>
        <w:t xml:space="preserve">docs/</w:t>
      </w:r>
      <w:r>
        <w:rPr>
          <w:b/>
          <w:bCs/>
        </w:rPr>
        <w:t xml:space="preserve"> </w:t>
      </w:r>
      <w:r>
        <w:rPr>
          <w:b/>
          <w:bCs/>
        </w:rPr>
        <w:t xml:space="preserve">file is</w:t>
      </w:r>
      <w:r>
        <w:rPr>
          <w:b/>
          <w:bCs/>
        </w:rPr>
        <w:t xml:space="preserve"> </w:t>
      </w:r>
      <w:r>
        <w:rPr>
          <w:b/>
          <w:bCs/>
        </w:rPr>
        <w:t xml:space="preserve">current.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Authoritative document</w:t>
            </w:r>
          </w:p>
        </w:tc>
      </w:tr>
      <w:tr>
        <w:tc>
          <w:tcPr/>
          <w:p>
            <w:pPr>
              <w:pStyle w:val="Compact"/>
            </w:pPr>
            <w:r>
              <w:t xml:space="preserve">Cohort assembly, the denominator, per-congress reconciliation</w:t>
            </w:r>
          </w:p>
        </w:tc>
        <w:tc>
          <w:tcPr/>
          <w:p>
            <w:pPr>
              <w:pStyle w:val="Compact"/>
            </w:pPr>
            <w:r>
              <w:rPr>
                <w:rStyle w:val="VerbatimChar"/>
              </w:rPr>
              <w:t xml:space="preserve">docs/COHORT_ASSEMBLY.md</w:t>
            </w:r>
          </w:p>
        </w:tc>
      </w:tr>
      <w:tr>
        <w:tc>
          <w:tcPr/>
          <w:p>
            <w:pPr>
              <w:pStyle w:val="Compact"/>
            </w:pPr>
            <w:r>
              <w:t xml:space="preserve">Stage-by-stage pipeline, DAG, machine-readable manifest</w:t>
            </w:r>
          </w:p>
        </w:tc>
        <w:tc>
          <w:tcPr/>
          <w:p>
            <w:pPr>
              <w:pStyle w:val="Compact"/>
            </w:pPr>
            <w:r>
              <w:rPr>
                <w:rStyle w:val="VerbatimChar"/>
              </w:rPr>
              <w:t xml:space="preserve">docs/PIPELINE.md</w:t>
            </w:r>
            <w:r>
              <w:t xml:space="preserve">,</w:t>
            </w:r>
            <w:r>
              <w:t xml:space="preserve"> </w:t>
            </w:r>
            <w:r>
              <w:rPr>
                <w:rStyle w:val="VerbatimChar"/>
              </w:rPr>
              <w:t xml:space="preserve">docs/pipeline_manifest.yml</w:t>
            </w:r>
          </w:p>
        </w:tc>
      </w:tr>
      <w:tr>
        <w:tc>
          <w:tcPr/>
          <w:p>
            <w:pPr>
              <w:pStyle w:val="Compact"/>
            </w:pPr>
            <w:r>
              <w:t xml:space="preserve">Every search query, per source</w:t>
            </w:r>
          </w:p>
        </w:tc>
        <w:tc>
          <w:tcPr/>
          <w:p>
            <w:pPr>
              <w:pStyle w:val="Compact"/>
            </w:pPr>
            <w:r>
              <w:rPr>
                <w:rStyle w:val="VerbatimChar"/>
              </w:rPr>
              <w:t xml:space="preserve">docs/PUBLICATION_SEARCH.md</w:t>
            </w:r>
          </w:p>
        </w:tc>
      </w:tr>
      <w:tr>
        <w:tc>
          <w:tcPr/>
          <w:p>
            <w:pPr>
              <w:pStyle w:val="Compact"/>
            </w:pPr>
            <w:r>
              <w:t xml:space="preserve">Score components, thresholds, tie-breaking, publication dating</w:t>
            </w:r>
          </w:p>
        </w:tc>
        <w:tc>
          <w:tcPr/>
          <w:p>
            <w:pPr>
              <w:pStyle w:val="Compact"/>
            </w:pPr>
            <w:r>
              <w:rPr>
                <w:rStyle w:val="VerbatimChar"/>
              </w:rPr>
              <w:t xml:space="preserve">docs/MATCHING_ALGORITHM.md</w:t>
            </w:r>
          </w:p>
        </w:tc>
      </w:tr>
      <w:tr>
        <w:tc>
          <w:tcPr/>
          <w:p>
            <w:pPr>
              <w:pStyle w:val="Compact"/>
            </w:pPr>
            <w:r>
              <w:t xml:space="preserve">Operational definition of the outcome</w:t>
            </w:r>
          </w:p>
        </w:tc>
        <w:tc>
          <w:tcPr/>
          <w:p>
            <w:pPr>
              <w:pStyle w:val="Compact"/>
            </w:pPr>
            <w:r>
              <w:rPr>
                <w:rStyle w:val="VerbatimChar"/>
              </w:rPr>
              <w:t xml:space="preserve">docs/OUTCOME_DEFINITION.md</w:t>
            </w:r>
          </w:p>
        </w:tc>
      </w:tr>
      <w:tr>
        <w:tc>
          <w:tcPr/>
          <w:p>
            <w:pPr>
              <w:pStyle w:val="Compact"/>
            </w:pPr>
            <w:r>
              <w:t xml:space="preserve">Adjudication schema, precedence, decision accounting</w:t>
            </w:r>
          </w:p>
        </w:tc>
        <w:tc>
          <w:tcPr/>
          <w:p>
            <w:pPr>
              <w:pStyle w:val="Compact"/>
            </w:pPr>
            <w:r>
              <w:rPr>
                <w:rStyle w:val="VerbatimChar"/>
              </w:rPr>
              <w:t xml:space="preserve">docs/ADJUDICATION.md</w:t>
            </w:r>
          </w:p>
        </w:tc>
      </w:tr>
      <w:tr>
        <w:tc>
          <w:tcPr/>
          <w:p>
            <w:pPr>
              <w:pStyle w:val="Compact"/>
            </w:pPr>
            <w:r>
              <w:t xml:space="preserve">All 90 analytical variables</w:t>
            </w:r>
          </w:p>
        </w:tc>
        <w:tc>
          <w:tcPr/>
          <w:p>
            <w:pPr>
              <w:pStyle w:val="Compact"/>
            </w:pPr>
            <w:r>
              <w:rPr>
                <w:rStyle w:val="VerbatimChar"/>
              </w:rPr>
              <w:t xml:space="preserve">docs/DATA_DICTIONARY.md</w:t>
            </w:r>
          </w:p>
        </w:tc>
      </w:tr>
      <w:tr>
        <w:tc>
          <w:tcPr/>
          <w:p>
            <w:pPr>
              <w:pStyle w:val="Compact"/>
            </w:pPr>
            <w:r>
              <w:t xml:space="preserve">Identity resolution and the gender waterfall</w:t>
            </w:r>
          </w:p>
        </w:tc>
        <w:tc>
          <w:tcPr/>
          <w:p>
            <w:pPr>
              <w:pStyle w:val="Compact"/>
            </w:pPr>
            <w:r>
              <w:rPr>
                <w:rStyle w:val="VerbatimChar"/>
              </w:rPr>
              <w:t xml:space="preserve">docs/AUTHOR_ENRICHMENT.md</w:t>
            </w:r>
          </w:p>
        </w:tc>
      </w:tr>
      <w:tr>
        <w:tc>
          <w:tcPr/>
          <w:p>
            <w:pPr>
              <w:pStyle w:val="Compact"/>
            </w:pPr>
            <w:r>
              <w:t xml:space="preserve">Models as fitted, with diagnostics</w:t>
            </w:r>
          </w:p>
        </w:tc>
        <w:tc>
          <w:tcPr/>
          <w:p>
            <w:pPr>
              <w:pStyle w:val="Compact"/>
            </w:pPr>
            <w:r>
              <w:rPr>
                <w:rStyle w:val="VerbatimChar"/>
              </w:rPr>
              <w:t xml:space="preserve">docs/STATISTICAL_ANALYSIS.md</w:t>
            </w:r>
          </w:p>
        </w:tc>
      </w:tr>
      <w:tr>
        <w:tc>
          <w:tcPr/>
          <w:p>
            <w:pPr>
              <w:pStyle w:val="Compact"/>
            </w:pPr>
            <w:r>
              <w:t xml:space="preserve">Every reported number and its provenance</w:t>
            </w:r>
          </w:p>
        </w:tc>
        <w:tc>
          <w:tcPr/>
          <w:p>
            <w:pPr>
              <w:pStyle w:val="Compact"/>
            </w:pPr>
            <w:r>
              <w:rPr>
                <w:rStyle w:val="VerbatimChar"/>
              </w:rPr>
              <w:t xml:space="preserve">docs/RESULTS_PROVENANCE.md</w:t>
            </w:r>
          </w:p>
        </w:tc>
      </w:tr>
      <w:tr>
        <w:tc>
          <w:tcPr/>
          <w:p>
            <w:pPr>
              <w:pStyle w:val="Compact"/>
            </w:pPr>
            <w:r>
              <w:t xml:space="preserve">Reproduction requirements and blockers</w:t>
            </w:r>
          </w:p>
        </w:tc>
        <w:tc>
          <w:tcPr/>
          <w:p>
            <w:pPr>
              <w:pStyle w:val="Compact"/>
            </w:pPr>
            <w:r>
              <w:rPr>
                <w:rStyle w:val="VerbatimChar"/>
              </w:rPr>
              <w:t xml:space="preserve">docs/REPRODUCIBILITY.md</w:t>
            </w:r>
          </w:p>
        </w:tc>
      </w:tr>
      <w:tr>
        <w:tc>
          <w:tcPr/>
          <w:p>
            <w:pPr>
              <w:pStyle w:val="Compact"/>
            </w:pPr>
            <w:r>
              <w:t xml:space="preserve">Known ways the pipeline can be plausibly wrong</w:t>
            </w:r>
          </w:p>
        </w:tc>
        <w:tc>
          <w:tcPr/>
          <w:p>
            <w:pPr>
              <w:pStyle w:val="Compact"/>
            </w:pPr>
            <w:r>
              <w:rPr>
                <w:rStyle w:val="VerbatimChar"/>
              </w:rPr>
              <w:t xml:space="preserve">docs/FAILURE_MODES.md</w:t>
            </w:r>
          </w:p>
        </w:tc>
      </w:tr>
      <w:tr>
        <w:tc>
          <w:tcPr/>
          <w:p>
            <w:pPr>
              <w:pStyle w:val="Compact"/>
            </w:pPr>
            <w:r>
              <w:t xml:space="preserve">Test inventory and untested invariants</w:t>
            </w:r>
          </w:p>
        </w:tc>
        <w:tc>
          <w:tcPr/>
          <w:p>
            <w:pPr>
              <w:pStyle w:val="Compact"/>
            </w:pPr>
            <w:r>
              <w:rPr>
                <w:rStyle w:val="VerbatimChar"/>
              </w:rPr>
              <w:t xml:space="preserve">docs/VALIDATION.md</w:t>
            </w:r>
          </w:p>
        </w:tc>
      </w:tr>
      <w:tr>
        <w:tc>
          <w:tcPr/>
          <w:p>
            <w:pPr>
              <w:pStyle w:val="Compact"/>
            </w:pPr>
            <w:r>
              <w:t xml:space="preserve">Corrections and their quantified effects</w:t>
            </w:r>
          </w:p>
        </w:tc>
        <w:tc>
          <w:tcPr/>
          <w:p>
            <w:pPr>
              <w:pStyle w:val="Compact"/>
            </w:pPr>
            <w:r>
              <w:rPr>
                <w:rStyle w:val="VerbatimChar"/>
              </w:rPr>
              <w:t xml:space="preserve">docs/METHODOLOGICAL_HISTORY.md</w:t>
            </w:r>
          </w:p>
        </w:tc>
      </w:tr>
    </w:tbl>
    <w:p>
      <w:pPr>
        <w:pStyle w:val="BodyText"/>
      </w:pPr>
      <w:r>
        <w:t xml:space="preserve">Sections A8 (abstract-text recovery for 2012-2018), A10 (NPI identity</w:t>
      </w:r>
      <w:r>
        <w:t xml:space="preserve"> </w:t>
      </w:r>
      <w:r>
        <w:t xml:space="preserve">resolution), A11 (extending the pipeline to other societies) and A13 (the</w:t>
      </w:r>
      <w:r>
        <w:t xml:space="preserve"> </w:t>
      </w:r>
      <w:r>
        <w:t xml:space="preserve">denominator chain) carry material that is not duplicated in</w:t>
      </w:r>
      <w:r>
        <w:t xml:space="preserve"> </w:t>
      </w:r>
      <w:r>
        <w:rPr>
          <w:rStyle w:val="VerbatimChar"/>
        </w:rPr>
        <w:t xml:space="preserve">docs/</w:t>
      </w:r>
      <w:r>
        <w:t xml:space="preserve"> </w:t>
      </w:r>
      <w:r>
        <w:t xml:space="preserve">and remain</w:t>
      </w:r>
      <w:r>
        <w:t xml:space="preserve"> </w:t>
      </w:r>
      <w:r>
        <w:t xml:space="preserve">the primary record for those topics.</w:t>
      </w:r>
    </w:p>
    <w:p>
      <w:r>
        <w:pict>
          <v:rect style="width:0;height:1.5pt" o:hralign="center" o:hrstd="t" o:hr="t"/>
        </w:pict>
      </w:r>
    </w:p>
    <w:bookmarkEnd w:id="20"/>
    <w:bookmarkStart w:id="24"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46 test files (see</w:t>
      </w:r>
      <w:r>
        <w:t xml:space="preserve"> </w:t>
      </w:r>
      <w:r>
        <w:rPr>
          <w:rStyle w:val="VerbatimChar"/>
        </w:rPr>
        <w:t xml:space="preserve">docs/VALIDATION.md</w:t>
      </w:r>
      <w:r>
        <w:t xml:space="preserve"> </w:t>
      </w:r>
      <w:r>
        <w:t xml:space="preserve">for the current pass/fail status), and a Shiny web application for human adjudication. The pipeline executes in 10 sequential steps, with checkpoint-based resume support for API-dependent stages. All source code and deidentified output data are available at</w:t>
      </w:r>
      <w:r>
        <w:t xml:space="preserve"> </w:t>
      </w:r>
      <w:hyperlink r:id="rId21">
        <w:r>
          <w:rPr>
            <w:rStyle w:val="Hyperlink"/>
          </w:rPr>
          <w:t xml:space="preserve">https://github.com/mufflyt/abstract_lifetime</w:t>
        </w:r>
      </w:hyperlink>
      <w:r>
        <w:t xml:space="preserve">.</w:t>
      </w:r>
    </w:p>
    <w:bookmarkStart w:id="22"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1,566 PubMed XML files; 1,154 ScienceDirect HTML files</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2"/>
    <w:bookmarkStart w:id="23"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3"/>
    <w:bookmarkEnd w:id="24"/>
    <w:bookmarkStart w:id="28" w:name="a2.-data-sources-and-api-usage"/>
    <w:p>
      <w:pPr>
        <w:pStyle w:val="Heading2"/>
      </w:pPr>
      <w:r>
        <w:t xml:space="preserve">A2. Data Sources and API Usage</w:t>
      </w:r>
    </w:p>
    <w:bookmarkStart w:id="25"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Article pages cached: 1,154 ScienceDirect HTML files.</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5"/>
    <w:bookmarkStart w:id="26"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6"/>
    <w:bookmarkStart w:id="27"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(1,566 PubMed XML files). All search stages used RDS-based checkpoints enabling resume after interruption.</w:t>
      </w:r>
    </w:p>
    <w:bookmarkEnd w:id="27"/>
    <w:bookmarkEnd w:id="28"/>
    <w:bookmarkStart w:id="33" w:name="a3.-matching-algorithm"/>
    <w:p>
      <w:pPr>
        <w:pStyle w:val="Heading2"/>
      </w:pPr>
      <w:r>
        <w:t xml:space="preserve">A3. Matching Algorithm</w:t>
      </w:r>
    </w:p>
    <w:bookmarkStart w:id="29"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9"/>
    <w:bookmarkStart w:id="30"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30"/>
    <w:bookmarkStart w:id="32" w:name="a3.3-human-adjudication"/>
    <w:p>
      <w:pPr>
        <w:pStyle w:val="Heading3"/>
      </w:pPr>
      <w:r>
        <w:t xml:space="preserve">A3.3 Human Adjudication</w:t>
      </w:r>
    </w:p>
    <w:p>
      <w:pPr>
        <w:pStyle w:val="FirstParagraph"/>
      </w:pPr>
      <w:r>
        <w:t xml:space="preserve">A Shiny web application (</w:t>
      </w:r>
      <w:hyperlink r:id="rId31">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2"/>
    <w:bookmarkEnd w:id="33"/>
    <w:bookmarkStart w:id="39" w:name="a4.-variable-extraction-methods"/>
    <w:p>
      <w:pPr>
        <w:pStyle w:val="Heading2"/>
      </w:pPr>
      <w:r>
        <w:t xml:space="preserve">A4. Variable Extraction Methods</w:t>
      </w:r>
    </w:p>
    <w:bookmarkStart w:id="34"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4"/>
    <w:bookmarkStart w:id="35"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5"/>
    <w:bookmarkStart w:id="36"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6"/>
    <w:bookmarkStart w:id="37"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7"/>
    <w:bookmarkStart w:id="38"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97.8%.</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8"/>
    <w:bookmarkEnd w:id="39"/>
    <w:bookmarkStart w:id="42" w:name="a5.-algorithm-validation"/>
    <w:p>
      <w:pPr>
        <w:pStyle w:val="Heading2"/>
      </w:pPr>
      <w:r>
        <w:t xml:space="preserve">A5. Algorithm Validation</w:t>
      </w:r>
    </w:p>
    <w:bookmarkStart w:id="40"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40"/>
    <w:bookmarkStart w:id="41"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73.5%</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1"/>
    <w:bookmarkEnd w:id="42"/>
    <w:bookmarkStart w:id="43" w:name="a6.-sensitivity-analyses"/>
    <w:p>
      <w:pPr>
        <w:pStyle w:val="Heading2"/>
      </w:pPr>
      <w:r>
        <w:t xml:space="preserve">A6. Sensitivity Analyses</w:t>
      </w:r>
    </w:p>
    <w:tbl>
      <w:tblPr>
        <w:tblStyle w:val="Table"/>
        <w:tblW w:type="pct" w:w="5000"/>
        <w:tblLayout w:type="fixed"/>
        <w:tblLook w:firstRow="1" w:lastRow="0" w:firstColumn="0" w:lastColumn="0" w:noHBand="0" w:noVBand="0" w:val="0020"/>
      </w:tblPr>
      <w:tblGrid>
        <w:gridCol w:w="2582"/>
        <w:gridCol w:w="3099"/>
        <w:gridCol w:w="430"/>
        <w:gridCol w:w="1033"/>
        <w:gridCol w:w="774"/>
      </w:tblGrid>
      <w:tr>
        <w:trPr>
          <w:tblHeader w:val="on"/>
        </w:trPr>
        <w:tc>
          <w:tcPr/>
          <w:p>
            <w:pPr>
              <w:pStyle w:val="Compact"/>
              <w:jc w:val="left"/>
            </w:pPr>
            <w:r>
              <w:t xml:space="preserve">Scenario</w:t>
            </w:r>
          </w:p>
        </w:tc>
        <w:tc>
          <w:tcPr/>
          <w:p>
            <w:pPr>
              <w:pStyle w:val="Compact"/>
              <w:jc w:val="left"/>
            </w:pPr>
            <w:r>
              <w:t xml:space="preserve">Denominator</w:t>
            </w:r>
          </w:p>
        </w:tc>
        <w:tc>
          <w:tcPr/>
          <w:p>
            <w:pPr>
              <w:pStyle w:val="Compact"/>
              <w:jc w:val="right"/>
            </w:pPr>
            <w:r>
              <w:t xml:space="preserve">N</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left"/>
            </w:pPr>
            <w:r>
              <w:t xml:space="preserve">evaluated</w:t>
            </w:r>
          </w:p>
        </w:tc>
        <w:tc>
          <w:tcPr/>
          <w:p>
            <w:pPr>
              <w:pStyle w:val="Compact"/>
              <w:jc w:val="right"/>
            </w:pPr>
            <w:r>
              <w:t xml:space="preserve">1051</w:t>
            </w:r>
          </w:p>
        </w:tc>
        <w:tc>
          <w:tcPr/>
          <w:p>
            <w:pPr>
              <w:pStyle w:val="Compact"/>
              <w:jc w:val="right"/>
            </w:pPr>
            <w:r>
              <w:t xml:space="preserve">178</w:t>
            </w:r>
          </w:p>
        </w:tc>
        <w:tc>
          <w:tcPr/>
          <w:p>
            <w:pPr>
              <w:pStyle w:val="Compact"/>
              <w:jc w:val="right"/>
            </w:pPr>
            <w:r>
              <w:t xml:space="preserve">16.9</w:t>
            </w:r>
          </w:p>
        </w:tc>
      </w:tr>
      <w:tr>
        <w:tc>
          <w:tcPr/>
          <w:p>
            <w:pPr>
              <w:pStyle w:val="Compact"/>
              <w:jc w:val="left"/>
            </w:pPr>
            <w:r>
              <w:t xml:space="preserve">Published within 12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78</w:t>
            </w:r>
          </w:p>
        </w:tc>
        <w:tc>
          <w:tcPr/>
          <w:p>
            <w:pPr>
              <w:pStyle w:val="Compact"/>
              <w:jc w:val="right"/>
            </w:pPr>
            <w:r>
              <w:t xml:space="preserve">7.4</w:t>
            </w:r>
          </w:p>
        </w:tc>
      </w:tr>
      <w:tr>
        <w:tc>
          <w:tcPr/>
          <w:p>
            <w:pPr>
              <w:pStyle w:val="Compact"/>
              <w:jc w:val="left"/>
            </w:pPr>
            <w:r>
              <w:t xml:space="preserve">Published within 24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139</w:t>
            </w:r>
          </w:p>
        </w:tc>
        <w:tc>
          <w:tcPr/>
          <w:p>
            <w:pPr>
              <w:pStyle w:val="Compact"/>
              <w:jc w:val="right"/>
            </w:pPr>
            <w:r>
              <w:t xml:space="preserve">13.2</w:t>
            </w:r>
          </w:p>
        </w:tc>
      </w:tr>
      <w:tr>
        <w:tc>
          <w:tcPr/>
          <w:p>
            <w:pPr>
              <w:pStyle w:val="Compact"/>
              <w:jc w:val="left"/>
            </w:pPr>
            <w:r>
              <w:t xml:space="preserve">Published within 36 months</w:t>
            </w:r>
          </w:p>
        </w:tc>
        <w:tc>
          <w:tcPr/>
          <w:p>
            <w:pPr>
              <w:pStyle w:val="Compact"/>
              <w:jc w:val="left"/>
            </w:pPr>
            <w:r>
              <w:t xml:space="preserve">evaluated with sufficient follow-up</w:t>
            </w:r>
          </w:p>
        </w:tc>
        <w:tc>
          <w:tcPr/>
          <w:p>
            <w:pPr>
              <w:pStyle w:val="Compact"/>
              <w:jc w:val="right"/>
            </w:pPr>
            <w:r>
              <w:t xml:space="preserve">991</w:t>
            </w:r>
          </w:p>
        </w:tc>
        <w:tc>
          <w:tcPr/>
          <w:p>
            <w:pPr>
              <w:pStyle w:val="Compact"/>
              <w:jc w:val="right"/>
            </w:pPr>
            <w:r>
              <w:t xml:space="preserve">142</w:t>
            </w:r>
          </w:p>
        </w:tc>
        <w:tc>
          <w:tcPr/>
          <w:p>
            <w:pPr>
              <w:pStyle w:val="Compact"/>
              <w:jc w:val="right"/>
            </w:pPr>
            <w:r>
              <w:t xml:space="preserve">14.3</w:t>
            </w:r>
          </w:p>
        </w:tc>
      </w:tr>
      <w:tr>
        <w:tc>
          <w:tcPr/>
          <w:p>
            <w:pPr>
              <w:pStyle w:val="Compact"/>
              <w:jc w:val="left"/>
            </w:pPr>
            <w:r>
              <w:t xml:space="preserve">Published within 48 months</w:t>
            </w:r>
          </w:p>
        </w:tc>
        <w:tc>
          <w:tcPr/>
          <w:p>
            <w:pPr>
              <w:pStyle w:val="Compact"/>
              <w:jc w:val="left"/>
            </w:pPr>
            <w:r>
              <w:t xml:space="preserve">evaluated with sufficient follow-up</w:t>
            </w:r>
          </w:p>
        </w:tc>
        <w:tc>
          <w:tcPr/>
          <w:p>
            <w:pPr>
              <w:pStyle w:val="Compact"/>
              <w:jc w:val="right"/>
            </w:pPr>
            <w:r>
              <w:t xml:space="preserve">901</w:t>
            </w:r>
          </w:p>
        </w:tc>
        <w:tc>
          <w:tcPr/>
          <w:p>
            <w:pPr>
              <w:pStyle w:val="Compact"/>
              <w:jc w:val="right"/>
            </w:pPr>
            <w:r>
              <w:t xml:space="preserve">124</w:t>
            </w:r>
          </w:p>
        </w:tc>
        <w:tc>
          <w:tcPr/>
          <w:p>
            <w:pPr>
              <w:pStyle w:val="Compact"/>
              <w:jc w:val="right"/>
            </w:pPr>
            <w:r>
              <w:t xml:space="preserve">13.8</w:t>
            </w:r>
          </w:p>
        </w:tc>
      </w:tr>
    </w:tbl>
    <w:p>
      <w:pPr>
        <w:pStyle w:val="BodyText"/>
      </w:pPr>
      <w:r>
        <w:t xml:space="preserve">Scenarios 1 and 2 are decidable without a reviewer and divide by the cohort;</w:t>
      </w:r>
      <w:r>
        <w:t xml:space="preserve"> </w:t>
      </w:r>
      <w:r>
        <w:t xml:space="preserve">scenario 3 onward require an adjudicated outcome and divide by the evaluated</w:t>
      </w:r>
      <w:r>
        <w:t xml:space="preserve"> </w:t>
      </w:r>
      <w:r>
        <w:t xml:space="preserve">set. The</w:t>
      </w:r>
      <w:r>
        <w:t xml:space="preserve"> </w:t>
      </w:r>
      <w:r>
        <w:rPr>
          <w:rStyle w:val="VerbatimChar"/>
        </w:rPr>
        <w:t xml:space="preserve">Denominator</w:t>
      </w:r>
      <w:r>
        <w:t xml:space="preserve"> </w:t>
      </w:r>
      <w:r>
        <w:t xml:space="preserve">column states which, so the rates are not compared</w:t>
      </w:r>
      <w:r>
        <w:t xml:space="preserve"> </w:t>
      </w:r>
      <w:r>
        <w:t xml:space="preserve">across different populations.</w:t>
      </w:r>
    </w:p>
    <w:bookmarkEnd w:id="43"/>
    <w:bookmarkStart w:id="44"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2.15</w:t>
            </w:r>
          </w:p>
        </w:tc>
        <w:tc>
          <w:tcPr/>
          <w:p>
            <w:pPr>
              <w:pStyle w:val="Compact"/>
              <w:jc w:val="left"/>
            </w:pPr>
            <w:r>
              <w:t xml:space="preserve">1.43-3.21</w:t>
            </w:r>
          </w:p>
        </w:tc>
        <w:tc>
          <w:tcPr/>
          <w:p>
            <w:pPr>
              <w:pStyle w:val="Compact"/>
              <w:jc w:val="right"/>
            </w:pPr>
            <w:r>
              <w:t xml:space="preserve">0.000</w:t>
            </w:r>
          </w:p>
        </w:tc>
      </w:tr>
      <w:tr>
        <w:tc>
          <w:tcPr/>
          <w:p>
            <w:pPr>
              <w:pStyle w:val="Compact"/>
              <w:jc w:val="left"/>
            </w:pPr>
            <w:r>
              <w:t xml:space="preserve">is_academicTRUE</w:t>
            </w:r>
          </w:p>
        </w:tc>
        <w:tc>
          <w:tcPr/>
          <w:p>
            <w:pPr>
              <w:pStyle w:val="Compact"/>
              <w:jc w:val="right"/>
            </w:pPr>
            <w:r>
              <w:t xml:space="preserve">0.64</w:t>
            </w:r>
          </w:p>
        </w:tc>
        <w:tc>
          <w:tcPr/>
          <w:p>
            <w:pPr>
              <w:pStyle w:val="Compact"/>
              <w:jc w:val="left"/>
            </w:pPr>
            <w:r>
              <w:t xml:space="preserve">0.45-0.9</w:t>
            </w:r>
          </w:p>
        </w:tc>
        <w:tc>
          <w:tcPr/>
          <w:p>
            <w:pPr>
              <w:pStyle w:val="Compact"/>
              <w:jc w:val="right"/>
            </w:pPr>
            <w:r>
              <w:t xml:space="preserve">0.009</w:t>
            </w:r>
          </w:p>
        </w:tc>
      </w:tr>
      <w:tr>
        <w:tc>
          <w:tcPr/>
          <w:p>
            <w:pPr>
              <w:pStyle w:val="Compact"/>
              <w:jc w:val="left"/>
            </w:pPr>
            <w:r>
              <w:t xml:space="preserve">is_us_basedTRUE</w:t>
            </w:r>
          </w:p>
        </w:tc>
        <w:tc>
          <w:tcPr/>
          <w:p>
            <w:pPr>
              <w:pStyle w:val="Compact"/>
              <w:jc w:val="right"/>
            </w:pPr>
            <w:r>
              <w:t xml:space="preserve">1.37</w:t>
            </w:r>
          </w:p>
        </w:tc>
        <w:tc>
          <w:tcPr/>
          <w:p>
            <w:pPr>
              <w:pStyle w:val="Compact"/>
              <w:jc w:val="left"/>
            </w:pPr>
            <w:r>
              <w:t xml:space="preserve">0.86-2.19</w:t>
            </w:r>
          </w:p>
        </w:tc>
        <w:tc>
          <w:tcPr/>
          <w:p>
            <w:pPr>
              <w:pStyle w:val="Compact"/>
              <w:jc w:val="right"/>
            </w:pPr>
            <w:r>
              <w:t xml:space="preserve">0.184</w:t>
            </w:r>
          </w:p>
        </w:tc>
      </w:tr>
      <w:tr>
        <w:tc>
          <w:tcPr/>
          <w:p>
            <w:pPr>
              <w:pStyle w:val="Compact"/>
              <w:jc w:val="left"/>
            </w:pPr>
            <w:r>
              <w:t xml:space="preserve">n_authors</w:t>
            </w:r>
          </w:p>
        </w:tc>
        <w:tc>
          <w:tcPr/>
          <w:p>
            <w:pPr>
              <w:pStyle w:val="Compact"/>
              <w:jc w:val="right"/>
            </w:pPr>
            <w:r>
              <w:t xml:space="preserve">1.27</w:t>
            </w:r>
          </w:p>
        </w:tc>
        <w:tc>
          <w:tcPr/>
          <w:p>
            <w:pPr>
              <w:pStyle w:val="Compact"/>
              <w:jc w:val="left"/>
            </w:pPr>
            <w:r>
              <w:t xml:space="preserve">1.1-1.46</w:t>
            </w:r>
          </w:p>
        </w:tc>
        <w:tc>
          <w:tcPr/>
          <w:p>
            <w:pPr>
              <w:pStyle w:val="Compact"/>
              <w:jc w:val="right"/>
            </w:pPr>
            <w:r>
              <w:t xml:space="preserve">0.001</w:t>
            </w:r>
          </w:p>
        </w:tc>
      </w:tr>
      <w:tr>
        <w:tc>
          <w:tcPr/>
          <w:p>
            <w:pPr>
              <w:pStyle w:val="Compact"/>
              <w:jc w:val="left"/>
            </w:pPr>
            <w:r>
              <w:t xml:space="preserve">gender_unifiedmale</w:t>
            </w:r>
          </w:p>
        </w:tc>
        <w:tc>
          <w:tcPr/>
          <w:p>
            <w:pPr>
              <w:pStyle w:val="Compact"/>
              <w:jc w:val="right"/>
            </w:pPr>
            <w:r>
              <w:t xml:space="preserve">0.78</w:t>
            </w:r>
          </w:p>
        </w:tc>
        <w:tc>
          <w:tcPr/>
          <w:p>
            <w:pPr>
              <w:pStyle w:val="Compact"/>
              <w:jc w:val="left"/>
            </w:pPr>
            <w:r>
              <w:t xml:space="preserve">0.57-1.06</w:t>
            </w:r>
          </w:p>
        </w:tc>
        <w:tc>
          <w:tcPr/>
          <w:p>
            <w:pPr>
              <w:pStyle w:val="Compact"/>
              <w:jc w:val="right"/>
            </w:pPr>
            <w:r>
              <w:t xml:space="preserve">0.110</w:t>
            </w:r>
          </w:p>
        </w:tc>
      </w:tr>
      <w:tr>
        <w:tc>
          <w:tcPr/>
          <w:p>
            <w:pPr>
              <w:pStyle w:val="Compact"/>
              <w:jc w:val="left"/>
            </w:pPr>
            <w:r>
              <w:t xml:space="preserve">is_multicenterTRUE</w:t>
            </w:r>
          </w:p>
        </w:tc>
        <w:tc>
          <w:tcPr/>
          <w:p>
            <w:pPr>
              <w:pStyle w:val="Compact"/>
              <w:jc w:val="right"/>
            </w:pPr>
            <w:r>
              <w:t xml:space="preserve">1.37</w:t>
            </w:r>
          </w:p>
        </w:tc>
        <w:tc>
          <w:tcPr/>
          <w:p>
            <w:pPr>
              <w:pStyle w:val="Compact"/>
              <w:jc w:val="left"/>
            </w:pPr>
            <w:r>
              <w:t xml:space="preserve">0.8-2.35</w:t>
            </w:r>
          </w:p>
        </w:tc>
        <w:tc>
          <w:tcPr/>
          <w:p>
            <w:pPr>
              <w:pStyle w:val="Compact"/>
              <w:jc w:val="right"/>
            </w:pPr>
            <w:r>
              <w:t xml:space="preserve">0.250</w:t>
            </w:r>
          </w:p>
        </w:tc>
      </w:tr>
    </w:tbl>
    <w:p>
      <w:pPr>
        <w:pStyle w:val="BodyText"/>
      </w:pPr>
      <w:r>
        <w:t xml:space="preserve">Proportional hazards assumption: global test p = 0.041.</w:t>
      </w:r>
    </w:p>
    <w:bookmarkEnd w:id="44"/>
    <w:bookmarkStart w:id="50" w:name="X92b8d09b47aa5be92acc70bc51d89d5211171b2"/>
    <w:p>
      <w:pPr>
        <w:pStyle w:val="Heading2"/>
      </w:pPr>
      <w:r>
        <w:t xml:space="preserve">A8. Abstract Text Recovery: Challenges for Congress Years 2012–2018</w:t>
      </w:r>
    </w:p>
    <w:bookmarkStart w:id="45"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5"/>
    <w:bookmarkStart w:id="46"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6"/>
    <w:bookmarkStart w:id="47" w:name="a8.3-final-abstract-text-coverage"/>
    <w:p>
      <w:pPr>
        <w:pStyle w:val="Heading3"/>
      </w:pPr>
      <w:r>
        <w:t xml:space="preserve">A8.3 Final Abstract Text Coverage</w:t>
      </w:r>
    </w:p>
    <w:p>
      <w:pPr>
        <w:pStyle w:val="FirstParagraph"/>
      </w:pPr>
      <w:r>
        <w:t xml:space="preserve">The table below is computed from</w:t>
      </w:r>
      <w:r>
        <w:t xml:space="preserve"> </w:t>
      </w:r>
      <w:r>
        <w:rPr>
          <w:rStyle w:val="VerbatimChar"/>
        </w:rPr>
        <w:t xml:space="preserve">data/processed/abstracts_cleaned.csv</w:t>
      </w:r>
      <w:r>
        <w:t xml:space="preserve"> </w:t>
      </w:r>
      <w:r>
        <w:t xml:space="preserve">at</w:t>
      </w:r>
      <w:r>
        <w:t xml:space="preserve"> </w:t>
      </w:r>
      <w:r>
        <w:t xml:space="preserve">render time. A static version previously printed here reported 97 abstracts per</w:t>
      </w:r>
      <w:r>
        <w:t xml:space="preserve"> </w:t>
      </w:r>
      <w:r>
        <w:t xml:space="preserve">congress and 0% coverage for 2017; both were superseded and the static table has</w:t>
      </w:r>
      <w:r>
        <w:t xml:space="preserve"> </w:t>
      </w:r>
      <w:r>
        <w:t xml:space="preserve">been removed rather than maintained in parallel.</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7"/>
    <w:bookmarkStart w:id="48"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(1 of 97 abstracts with text) is therefore expected to show lower classification confidence and a higher proportion of probable/possible classifications relative to other years; it has the lowest mean composite score (2.62) and the lowest publication rate (5.6%) of any congress.</w:t>
      </w:r>
    </w:p>
    <w:p>
      <w:pPr>
        <w:pStyle w:val="BodyText"/>
      </w:pPr>
      <w:r>
        <w:t xml:space="preserve">A second consequence was not recognised at the time and is more serious.</w:t>
      </w:r>
      <w:r>
        <w:t xml:space="preserve"> </w:t>
      </w:r>
      <w:r>
        <w:rPr>
          <w:rStyle w:val="VerbatimChar"/>
        </w:rPr>
        <w:t xml:space="preserve">R/02_clean_abstracts.R</w:t>
      </w:r>
      <w:r>
        <w:t xml:space="preserve"> </w:t>
      </w:r>
      <w:r>
        <w:t xml:space="preserve">derives every text-based predictor</w:t>
      </w:r>
      <w:r>
        <w:t xml:space="preserve"> </w:t>
      </w:r>
      <w:r>
        <w:rPr>
          <w:i/>
          <w:iCs/>
        </w:rPr>
        <w:t xml:space="preserve">before</w:t>
      </w:r>
      <w:r>
        <w:t xml:space="preserve"> </w:t>
      </w:r>
      <w:r>
        <w:t xml:space="preserve">the recovery steps in A8.2 run, and never recomputes them, so the recovered text improved matching but not variable extraction. The resulting step change at 2018/2019 in</w:t>
      </w:r>
      <w:r>
        <w:t xml:space="preserve"> </w:t>
      </w:r>
      <w:r>
        <w:rPr>
          <w:rStyle w:val="VerbatimChar"/>
        </w:rPr>
        <w:t xml:space="preserve">is_us_based</w:t>
      </w:r>
      <w:r>
        <w:t xml:space="preserve">,</w:t>
      </w:r>
      <w:r>
        <w:t xml:space="preserve"> </w:t>
      </w:r>
      <w:r>
        <w:rPr>
          <w:rStyle w:val="VerbatimChar"/>
        </w:rPr>
        <w:t xml:space="preserve">is_academic</w:t>
      </w:r>
      <w:r>
        <w:t xml:space="preserve">,</w:t>
      </w:r>
      <w:r>
        <w:t xml:space="preserve"> </w:t>
      </w:r>
      <w:r>
        <w:rPr>
          <w:rStyle w:val="VerbatimChar"/>
        </w:rPr>
        <w:t xml:space="preserve">sample_size</w:t>
      </w:r>
      <w:r>
        <w:t xml:space="preserve">,</w:t>
      </w:r>
      <w:r>
        <w:t xml:space="preserve"> </w:t>
      </w:r>
      <w:r>
        <w:rPr>
          <w:rStyle w:val="VerbatimChar"/>
        </w:rPr>
        <w:t xml:space="preserve">study_design</w:t>
      </w:r>
      <w:r>
        <w:t xml:space="preserve"> </w:t>
      </w:r>
      <w:r>
        <w:t xml:space="preserve">and</w:t>
      </w:r>
      <w:r>
        <w:t xml:space="preserve"> </w:t>
      </w:r>
      <w:r>
        <w:rPr>
          <w:rStyle w:val="VerbatimChar"/>
        </w:rPr>
        <w:t xml:space="preserve">has_numeric_results</w:t>
      </w:r>
      <w:r>
        <w:t xml:space="preserve"> </w:t>
      </w:r>
      <w:r>
        <w:t xml:space="preserve">is documented as F3 in</w:t>
      </w:r>
      <w:r>
        <w:t xml:space="preserve"> </w:t>
      </w:r>
      <w:r>
        <w:rPr>
          <w:rStyle w:val="VerbatimChar"/>
        </w:rPr>
        <w:t xml:space="preserve">docs/FAILURE_MODES.md</w:t>
      </w:r>
      <w:r>
        <w:t xml:space="preserve"> </w:t>
      </w:r>
      <w:r>
        <w:t xml:space="preserve">and affects every coefficient in the Cox and logistic models.</w:t>
      </w:r>
    </w:p>
    <w:bookmarkEnd w:id="48"/>
    <w:bookmarkStart w:id="49"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9"/>
    <w:bookmarkEnd w:id="50"/>
    <w:bookmarkStart w:id="54"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1"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1"/>
    <w:bookmarkStart w:id="52"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88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2"/>
    <w:bookmarkStart w:id="53"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3"/>
    <w:bookmarkEnd w:id="54"/>
    <w:bookmarkStart w:id="70" w:name="a10.-npi-identity-resolution"/>
    <w:p>
      <w:pPr>
        <w:pStyle w:val="Heading2"/>
      </w:pPr>
      <w:r>
        <w:t xml:space="preserve">A10. NPI Identity Resolution</w:t>
      </w:r>
    </w:p>
    <w:bookmarkStart w:id="55"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5"/>
    <w:bookmarkStart w:id="56"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6"/>
    <w:bookmarkStart w:id="57"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7"/>
    <w:bookmarkStart w:id="58"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8"/>
    <w:bookmarkStart w:id="59"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9"/>
    <w:bookmarkStart w:id="60"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60"/>
    <w:bookmarkStart w:id="61"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1"/>
    <w:bookmarkStart w:id="62"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2"/>
    <w:bookmarkStart w:id="63"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3"/>
    <w:bookmarkStart w:id="64"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4"/>
    <w:bookmarkStart w:id="65"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5"/>
    <w:bookmarkStart w:id="66"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6"/>
    <w:bookmarkStart w:id="67"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7"/>
    <w:bookmarkStart w:id="68"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8"/>
    <w:bookmarkStart w:id="69"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9"/>
    <w:bookmarkEnd w:id="70"/>
    <w:bookmarkStart w:id="163" w:name="Xd66443fb5f10e27aa61b6230b5f717e7f21ecfc"/>
    <w:p>
      <w:pPr>
        <w:pStyle w:val="Heading2"/>
      </w:pPr>
      <w:r>
        <w:t xml:space="preserve">A11. Expanding the Pipeline to Other Subspecialties</w:t>
      </w:r>
    </w:p>
    <w:bookmarkStart w:id="71"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1"/>
    <w:bookmarkStart w:id="72"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2"/>
    <w:bookmarkStart w:id="73"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3"/>
    <w:bookmarkStart w:id="74"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4"/>
    <w:bookmarkStart w:id="75"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5"/>
    <w:bookmarkStart w:id="76"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6"/>
    <w:bookmarkStart w:id="77"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7"/>
    <w:bookmarkStart w:id="78"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8"/>
    <w:bookmarkStart w:id="79"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9"/>
    <w:bookmarkStart w:id="92"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1">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2">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90">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1">
        <w:r>
          <w:rPr>
            <w:rStyle w:val="Hyperlink"/>
            <w:i/>
            <w:iCs/>
          </w:rPr>
          <w:t xml:space="preserve">https://publications.smfm.org/</w:t>
        </w:r>
      </w:hyperlink>
    </w:p>
    <w:bookmarkEnd w:id="92"/>
    <w:bookmarkStart w:id="93"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3"/>
    <w:bookmarkStart w:id="105"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4">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5">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6">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7">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8">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9">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100">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1">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2">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3">
        <w:r>
          <w:rPr>
            <w:rStyle w:val="Hyperlink"/>
            <w:i/>
            <w:iCs/>
          </w:rPr>
          <w:t xml:space="preserve">https://societyfp.org/learning/annual-meeting/</w:t>
        </w:r>
      </w:hyperlink>
      <w:r>
        <w:rPr>
          <w:i/>
          <w:iCs/>
        </w:rPr>
        <w:t xml:space="preserve">;</w:t>
      </w:r>
      <w:r>
        <w:rPr>
          <w:i/>
          <w:iCs/>
        </w:rPr>
        <w:t xml:space="preserve"> </w:t>
      </w:r>
      <w:hyperlink r:id="rId94">
        <w:r>
          <w:rPr>
            <w:rStyle w:val="Hyperlink"/>
            <w:i/>
            <w:iCs/>
          </w:rPr>
          <w:t xml:space="preserve">https://pubmed.ncbi.nlm.nih.gov/37821000/</w:t>
        </w:r>
      </w:hyperlink>
      <w:r>
        <w:rPr>
          <w:i/>
          <w:iCs/>
        </w:rPr>
        <w:t xml:space="preserve">;</w:t>
      </w:r>
      <w:r>
        <w:rPr>
          <w:i/>
          <w:iCs/>
        </w:rPr>
        <w:t xml:space="preserve"> </w:t>
      </w:r>
      <w:hyperlink r:id="rId104">
        <w:r>
          <w:rPr>
            <w:rStyle w:val="Hyperlink"/>
            <w:i/>
            <w:iCs/>
          </w:rPr>
          <w:t xml:space="preserve">https://www.contraceptionjournal.org/article/S0010-7824(18)30259-2/fulltext</w:t>
        </w:r>
      </w:hyperlink>
    </w:p>
    <w:bookmarkEnd w:id="105"/>
    <w:bookmarkStart w:id="119"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6">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7">
        <w:r>
          <w:rPr>
            <w:rStyle w:val="Hyperlink"/>
            <w:i/>
            <w:iCs/>
          </w:rPr>
          <w:t xml:space="preserve">https://www.sciencedirect.com/journal/journal-of-pediatric-and-adolescent-gynecology</w:t>
        </w:r>
      </w:hyperlink>
      <w:r>
        <w:rPr>
          <w:i/>
          <w:iCs/>
        </w:rPr>
        <w:t xml:space="preserve">;</w:t>
      </w:r>
      <w:r>
        <w:rPr>
          <w:i/>
          <w:iCs/>
        </w:rPr>
        <w:t xml:space="preserve"> </w:t>
      </w:r>
      <w:hyperlink r:id="rId118">
        <w:r>
          <w:rPr>
            <w:rStyle w:val="Hyperlink"/>
            <w:i/>
            <w:iCs/>
          </w:rPr>
          <w:t xml:space="preserve">https://www.naspag.org/acrm-future-and-past</w:t>
        </w:r>
      </w:hyperlink>
    </w:p>
    <w:p>
      <w:r>
        <w:pict>
          <v:rect style="width:0;height:1.5pt" o:hralign="center" o:hrstd="t" o:hr="t"/>
        </w:pict>
      </w:r>
    </w:p>
    <w:bookmarkEnd w:id="119"/>
    <w:bookmarkStart w:id="120"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20"/>
    <w:bookmarkStart w:id="130"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1">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2">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3">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4">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5">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6">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7">
        <w:r>
          <w:rPr>
            <w:rStyle w:val="Hyperlink"/>
            <w:i/>
            <w:iCs/>
          </w:rPr>
          <w:t xml:space="preserve">https://sasgog.org/abstracts/</w:t>
        </w:r>
      </w:hyperlink>
      <w:r>
        <w:rPr>
          <w:i/>
          <w:iCs/>
        </w:rPr>
        <w:t xml:space="preserve">;</w:t>
      </w:r>
      <w:r>
        <w:rPr>
          <w:i/>
          <w:iCs/>
        </w:rPr>
        <w:t xml:space="preserve"> </w:t>
      </w:r>
      <w:hyperlink r:id="rId128">
        <w:r>
          <w:rPr>
            <w:rStyle w:val="Hyperlink"/>
            <w:i/>
            <w:iCs/>
          </w:rPr>
          <w:t xml:space="preserve">https://sasgog.org/about/</w:t>
        </w:r>
      </w:hyperlink>
      <w:r>
        <w:rPr>
          <w:i/>
          <w:iCs/>
        </w:rPr>
        <w:t xml:space="preserve">;</w:t>
      </w:r>
      <w:r>
        <w:rPr>
          <w:i/>
          <w:iCs/>
        </w:rPr>
        <w:t xml:space="preserve"> </w:t>
      </w:r>
      <w:hyperlink r:id="rId129">
        <w:r>
          <w:rPr>
            <w:rStyle w:val="Hyperlink"/>
            <w:i/>
            <w:iCs/>
          </w:rPr>
          <w:t xml:space="preserve">https://sasgog.org/annual-meeting/</w:t>
        </w:r>
      </w:hyperlink>
    </w:p>
    <w:p>
      <w:r>
        <w:pict>
          <v:rect style="width:0;height:1.5pt" o:hralign="center" o:hrstd="t" o:hr="t"/>
        </w:pict>
      </w:r>
    </w:p>
    <w:bookmarkEnd w:id="130"/>
    <w:bookmarkStart w:id="131"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1"/>
    <w:bookmarkStart w:id="132"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2"/>
    <w:bookmarkStart w:id="133"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3"/>
    <w:bookmarkStart w:id="146"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4">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5">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6">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7">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8">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9">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40">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1">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2">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3">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4">
        <w:r>
          <w:rPr>
            <w:rStyle w:val="Hyperlink"/>
            <w:i/>
            <w:iCs/>
          </w:rPr>
          <w:t xml:space="preserve">https://journals.lww.com/greenjournal/Pages/collectiondetails.aspx?TopicalCollectionId=129</w:t>
        </w:r>
      </w:hyperlink>
      <w:r>
        <w:rPr>
          <w:i/>
          <w:iCs/>
        </w:rPr>
        <w:t xml:space="preserve">;</w:t>
      </w:r>
      <w:r>
        <w:rPr>
          <w:i/>
          <w:iCs/>
        </w:rPr>
        <w:t xml:space="preserve"> </w:t>
      </w:r>
      <w:hyperlink r:id="rId134">
        <w:r>
          <w:rPr>
            <w:rStyle w:val="Hyperlink"/>
            <w:i/>
            <w:iCs/>
          </w:rPr>
          <w:t xml:space="preserve">https://tools.apgo.org/abstract-catalog/</w:t>
        </w:r>
      </w:hyperlink>
      <w:r>
        <w:rPr>
          <w:i/>
          <w:iCs/>
        </w:rPr>
        <w:t xml:space="preserve">;</w:t>
      </w:r>
      <w:r>
        <w:rPr>
          <w:i/>
          <w:iCs/>
        </w:rPr>
        <w:t xml:space="preserve"> </w:t>
      </w:r>
      <w:hyperlink r:id="rId145">
        <w:r>
          <w:rPr>
            <w:rStyle w:val="Hyperlink"/>
            <w:i/>
            <w:iCs/>
          </w:rPr>
          <w:t xml:space="preserve">https://www.tandfonline.com/doi/full/10.1080/10401334.2015.1107492</w:t>
        </w:r>
      </w:hyperlink>
    </w:p>
    <w:p>
      <w:r>
        <w:pict>
          <v:rect style="width:0;height:1.5pt" o:hralign="center" o:hrstd="t" o:hr="t"/>
        </w:pict>
      </w:r>
    </w:p>
    <w:bookmarkEnd w:id="146"/>
    <w:bookmarkStart w:id="147"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7"/>
    <w:bookmarkStart w:id="161"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8">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9">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50">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1">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2">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3">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4">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5">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6">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7">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8">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8">
        <w:r>
          <w:rPr>
            <w:rStyle w:val="Hyperlink"/>
            <w:i/>
            <w:iCs/>
          </w:rPr>
          <w:t xml:space="preserve">https://journals.lww.com/greenjournal/toc/2023/05001</w:t>
        </w:r>
      </w:hyperlink>
      <w:r>
        <w:rPr>
          <w:i/>
          <w:iCs/>
        </w:rPr>
        <w:t xml:space="preserve">;</w:t>
      </w:r>
      <w:r>
        <w:rPr>
          <w:i/>
          <w:iCs/>
        </w:rPr>
        <w:t xml:space="preserve"> </w:t>
      </w:r>
      <w:hyperlink r:id="rId159">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60">
        <w:r>
          <w:rPr>
            <w:rStyle w:val="Hyperlink"/>
            <w:i/>
            <w:iCs/>
          </w:rPr>
          <w:t xml:space="preserve">https://journals.lww.com/greenjournal/Pages/collectiondetails.aspx?TopicalCollectionId=128</w:t>
        </w:r>
      </w:hyperlink>
    </w:p>
    <w:p>
      <w:r>
        <w:pict>
          <v:rect style="width:0;height:1.5pt" o:hralign="center" o:hrstd="t" o:hr="t"/>
        </w:pict>
      </w:r>
    </w:p>
    <w:bookmarkEnd w:id="161"/>
    <w:bookmarkStart w:id="162"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2"/>
    <w:bookmarkEnd w:id="163"/>
    <w:bookmarkStart w:id="174"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4"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4"/>
    <w:bookmarkStart w:id="165"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5"/>
    <w:bookmarkStart w:id="166"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6"/>
    <w:bookmarkStart w:id="167"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7"/>
    <w:bookmarkStart w:id="168"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8"/>
    <w:bookmarkStart w:id="169"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9"/>
    <w:bookmarkStart w:id="173"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70"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70"/>
    <w:bookmarkStart w:id="171"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1"/>
    <w:bookmarkStart w:id="172"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2"/>
    <w:bookmarkEnd w:id="173"/>
    <w:bookmarkEnd w:id="174"/>
    <w:bookmarkStart w:id="183"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5"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178 / 1,051 =</w:t>
      </w:r>
      <w:r>
        <w:t xml:space="preserve"> </w:t>
      </w:r>
      <w:r>
        <w:rPr>
          <w:b/>
          <w:bCs/>
        </w:rPr>
        <w:t xml:space="preserve">16.9%</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5"/>
    <w:bookmarkStart w:id="176"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6"/>
    <w:bookmarkStart w:id="177"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7"/>
    <w:bookmarkStart w:id="178"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8"/>
    <w:bookmarkStart w:id="179"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16.9, but the rate is computed on 1,051. A reader dividing the published count by the stated total obtains 16.1%, not 16.9%.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9"/>
    <w:bookmarkStart w:id="180"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80"/>
    <w:bookmarkStart w:id="181"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16.9%</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16.1%</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1"/>
    <w:bookmarkStart w:id="182"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2"/>
    <w:bookmarkEnd w:id="183"/>
    <w:bookmarkStart w:id="187" w:name="Xa5402b9a21ceddc4361c12a648b457b97e3f8c7"/>
    <w:p>
      <w:pPr>
        <w:pStyle w:val="Heading2"/>
      </w:pPr>
      <w:r>
        <w:t xml:space="preserve">A14. Cohort Truncation at Ingestion (verified, not remediated here)</w:t>
      </w:r>
    </w:p>
    <w:p>
      <w:pPr>
        <w:pStyle w:val="FirstParagraph"/>
      </w:pPr>
      <w:r>
        <w:t xml:space="preserve">Sections A12 and A13 document defects in matching, adjudication and reporting.</w:t>
      </w:r>
      <w:r>
        <w:t xml:space="preserve"> </w:t>
      </w:r>
      <w:r>
        <w:t xml:space="preserve">All of them assume the cohort is what it claims to be: the oral presentations of</w:t>
      </w:r>
      <w:r>
        <w:t xml:space="preserve"> </w:t>
      </w:r>
      <w:r>
        <w:t xml:space="preserve">twelve AAGL Global Congresses. That assumption does not hold. This section</w:t>
      </w:r>
      <w:r>
        <w:t xml:space="preserve"> </w:t>
      </w:r>
      <w:r>
        <w:t xml:space="preserve">records an independent verification of the failure catalogued as F1 in</w:t>
      </w:r>
      <w:r>
        <w:t xml:space="preserve"> </w:t>
      </w:r>
      <w:r>
        <w:rPr>
          <w:rStyle w:val="VerbatimChar"/>
        </w:rPr>
        <w:t xml:space="preserve">docs/FAILURE_MODES.md</w:t>
      </w:r>
      <w:r>
        <w:t xml:space="preserve">, and states plainly what it does to the rest of this</w:t>
      </w:r>
      <w:r>
        <w:t xml:space="preserve"> </w:t>
      </w:r>
      <w:r>
        <w:t xml:space="preserve">appendix.</w:t>
      </w:r>
    </w:p>
    <w:bookmarkStart w:id="184" w:name="a14.1-what-was-verified"/>
    <w:p>
      <w:pPr>
        <w:pStyle w:val="Heading3"/>
      </w:pPr>
      <w:r>
        <w:t xml:space="preserve">A14.1 What was verified</w:t>
      </w:r>
    </w:p>
    <w:p>
      <w:pPr>
        <w:pStyle w:val="FirstParagraph"/>
      </w:pPr>
      <w:r>
        <w:rPr>
          <w:rStyle w:val="VerbatimChar"/>
        </w:rPr>
        <w:t xml:space="preserve">R/01b_parse_web.R</w:t>
      </w:r>
      <w:r>
        <w:t xml:space="preserve"> </w:t>
      </w:r>
      <w:r>
        <w:t xml:space="preserve">fetches one issue-listing page per congress from</w:t>
      </w:r>
      <w:r>
        <w:t xml:space="preserve"> </w:t>
      </w:r>
      <w:r>
        <w:t xml:space="preserve">ScienceDirect. The capture stops after roughly one page of results. Two</w:t>
      </w:r>
      <w:r>
        <w:t xml:space="preserve"> </w:t>
      </w:r>
      <w:r>
        <w:t xml:space="preserve">signatures identify this as a page-size limit rather than a real distribution:</w:t>
      </w:r>
      <w:r>
        <w:t xml:space="preserve"> </w:t>
      </w:r>
      <w:r>
        <w:t xml:space="preserve">every congress yields between 93 and 100 presentations, and the 2022 congress</w:t>
      </w:r>
      <w:r>
        <w:t xml:space="preserve"> </w:t>
      </w:r>
      <w:r>
        <w:t xml:space="preserve">yields</w:t>
      </w:r>
      <w:r>
        <w:t xml:space="preserve"> </w:t>
      </w:r>
      <w:r>
        <w:rPr>
          <w:b/>
          <w:bCs/>
        </w:rPr>
        <w:t xml:space="preserve">exactly 100</w:t>
      </w:r>
      <w:r>
        <w:t xml:space="preserve">.</w:t>
      </w:r>
    </w:p>
    <w:p>
      <w:pPr>
        <w:pStyle w:val="BodyText"/>
      </w:pPr>
      <w:r>
        <w:t xml:space="preserve">Each captured set is contiguous from page S1 and stops between S26 and S60. The</w:t>
      </w:r>
      <w:r>
        <w:t xml:space="preserve"> </w:t>
      </w:r>
      <w:r>
        <w:t xml:space="preserve">supplements themselves are far longer. Counts below come from the Crossref REST</w:t>
      </w:r>
      <w:r>
        <w:t xml:space="preserve"> </w:t>
      </w:r>
      <w:r>
        <w:t xml:space="preserve">API for the</w:t>
      </w:r>
      <w:r>
        <w:t xml:space="preserve"> </w:t>
      </w:r>
      <w:r>
        <w:rPr>
          <w:i/>
          <w:iCs/>
        </w:rPr>
        <w:t xml:space="preserve">Journal of Minimally Invasive Gynecology</w:t>
      </w:r>
      <w:r>
        <w:t xml:space="preserve"> </w:t>
      </w:r>
      <w:r>
        <w:t xml:space="preserve">(ISSN 1553-4650),</w:t>
      </w:r>
      <w:r>
        <w:t xml:space="preserve"> </w:t>
      </w:r>
      <w:r>
        <w:t xml:space="preserve">restricted to each congress’s November issue and to records carrying</w:t>
      </w:r>
      <w:r>
        <w:t xml:space="preserve"> </w:t>
      </w:r>
      <w:r>
        <w:rPr>
          <w:rStyle w:val="VerbatimChar"/>
        </w:rPr>
        <w:t xml:space="preserve">S</w:t>
      </w:r>
      <w:r>
        <w:t xml:space="preserve">-prefixed pagination, retrieved 3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Congress</w:t>
            </w:r>
          </w:p>
        </w:tc>
        <w:tc>
          <w:tcPr/>
          <w:p>
            <w:pPr>
              <w:pStyle w:val="Compact"/>
            </w:pPr>
            <w:r>
              <w:t xml:space="preserve">Captured</w:t>
            </w:r>
          </w:p>
        </w:tc>
        <w:tc>
          <w:tcPr/>
          <w:p>
            <w:pPr>
              <w:pStyle w:val="Compact"/>
            </w:pPr>
            <w:r>
              <w:t xml:space="preserve">Last captured page</w:t>
            </w:r>
          </w:p>
        </w:tc>
        <w:tc>
          <w:tcPr/>
          <w:p>
            <w:pPr>
              <w:pStyle w:val="Compact"/>
            </w:pPr>
            <w:r>
              <w:t xml:space="preserve">Supplement items</w:t>
            </w:r>
          </w:p>
        </w:tc>
        <w:tc>
          <w:tcPr/>
          <w:p>
            <w:pPr>
              <w:pStyle w:val="Compact"/>
            </w:pPr>
            <w:r>
              <w:t xml:space="preserve">Supplement extent</w:t>
            </w:r>
          </w:p>
        </w:tc>
      </w:tr>
      <w:tr>
        <w:tc>
          <w:tcPr/>
          <w:p>
            <w:pPr>
              <w:pStyle w:val="Compact"/>
            </w:pPr>
            <w:r>
              <w:t xml:space="preserve">2012</w:t>
            </w:r>
          </w:p>
        </w:tc>
        <w:tc>
          <w:tcPr/>
          <w:p>
            <w:pPr>
              <w:pStyle w:val="Compact"/>
            </w:pPr>
            <w:r>
              <w:t xml:space="preserve">95</w:t>
            </w:r>
          </w:p>
        </w:tc>
        <w:tc>
          <w:tcPr/>
          <w:p>
            <w:pPr>
              <w:pStyle w:val="Compact"/>
            </w:pPr>
            <w:r>
              <w:t xml:space="preserve">S33-S34</w:t>
            </w:r>
          </w:p>
        </w:tc>
        <w:tc>
          <w:tcPr/>
          <w:p>
            <w:pPr>
              <w:pStyle w:val="Compact"/>
            </w:pPr>
            <w:r>
              <w:t xml:space="preserve">663</w:t>
            </w:r>
          </w:p>
        </w:tc>
        <w:tc>
          <w:tcPr/>
          <w:p>
            <w:pPr>
              <w:pStyle w:val="Compact"/>
            </w:pPr>
            <w:r>
              <w:t xml:space="preserve">S1-S191</w:t>
            </w:r>
          </w:p>
        </w:tc>
      </w:tr>
      <w:tr>
        <w:tc>
          <w:tcPr/>
          <w:p>
            <w:pPr>
              <w:pStyle w:val="Compact"/>
            </w:pPr>
            <w:r>
              <w:t xml:space="preserve">2013</w:t>
            </w:r>
          </w:p>
        </w:tc>
        <w:tc>
          <w:tcPr/>
          <w:p>
            <w:pPr>
              <w:pStyle w:val="Compact"/>
            </w:pPr>
            <w:r>
              <w:t xml:space="preserve">96</w:t>
            </w:r>
          </w:p>
        </w:tc>
        <w:tc>
          <w:tcPr/>
          <w:p>
            <w:pPr>
              <w:pStyle w:val="Compact"/>
            </w:pPr>
            <w:r>
              <w:t xml:space="preserve">S31</w:t>
            </w:r>
          </w:p>
        </w:tc>
        <w:tc>
          <w:tcPr/>
          <w:p>
            <w:pPr>
              <w:pStyle w:val="Compact"/>
            </w:pPr>
            <w:r>
              <w:t xml:space="preserve">698</w:t>
            </w:r>
          </w:p>
        </w:tc>
        <w:tc>
          <w:tcPr/>
          <w:p>
            <w:pPr>
              <w:pStyle w:val="Compact"/>
            </w:pPr>
            <w:r>
              <w:t xml:space="preserve">S1-S195</w:t>
            </w:r>
          </w:p>
        </w:tc>
      </w:tr>
      <w:tr>
        <w:tc>
          <w:tcPr/>
          <w:p>
            <w:pPr>
              <w:pStyle w:val="Compact"/>
            </w:pPr>
            <w:r>
              <w:t xml:space="preserve">2014</w:t>
            </w:r>
          </w:p>
        </w:tc>
        <w:tc>
          <w:tcPr/>
          <w:p>
            <w:pPr>
              <w:pStyle w:val="Compact"/>
            </w:pPr>
            <w:r>
              <w:t xml:space="preserve">93</w:t>
            </w:r>
          </w:p>
        </w:tc>
        <w:tc>
          <w:tcPr/>
          <w:p>
            <w:pPr>
              <w:pStyle w:val="Compact"/>
            </w:pPr>
            <w:r>
              <w:t xml:space="preserve">S26</w:t>
            </w:r>
          </w:p>
        </w:tc>
        <w:tc>
          <w:tcPr/>
          <w:p>
            <w:pPr>
              <w:pStyle w:val="Compact"/>
            </w:pPr>
            <w:r>
              <w:t xml:space="preserve">762</w:t>
            </w:r>
          </w:p>
        </w:tc>
        <w:tc>
          <w:tcPr/>
          <w:p>
            <w:pPr>
              <w:pStyle w:val="Compact"/>
            </w:pPr>
            <w:r>
              <w:t xml:space="preserve">S1-S237</w:t>
            </w:r>
          </w:p>
        </w:tc>
      </w:tr>
      <w:tr>
        <w:tc>
          <w:tcPr/>
          <w:p>
            <w:pPr>
              <w:pStyle w:val="Compact"/>
            </w:pPr>
            <w:r>
              <w:t xml:space="preserve">2015</w:t>
            </w:r>
          </w:p>
        </w:tc>
        <w:tc>
          <w:tcPr/>
          <w:p>
            <w:pPr>
              <w:pStyle w:val="Compact"/>
            </w:pPr>
            <w:r>
              <w:t xml:space="preserve">95</w:t>
            </w:r>
          </w:p>
        </w:tc>
        <w:tc>
          <w:tcPr/>
          <w:p>
            <w:pPr>
              <w:pStyle w:val="Compact"/>
            </w:pPr>
            <w:r>
              <w:t xml:space="preserve">S38</w:t>
            </w:r>
          </w:p>
        </w:tc>
        <w:tc>
          <w:tcPr/>
          <w:p>
            <w:pPr>
              <w:pStyle w:val="Compact"/>
            </w:pPr>
            <w:r>
              <w:t xml:space="preserve">852</w:t>
            </w:r>
          </w:p>
        </w:tc>
        <w:tc>
          <w:tcPr/>
          <w:p>
            <w:pPr>
              <w:pStyle w:val="Compact"/>
            </w:pPr>
            <w:r>
              <w:t xml:space="preserve">S1-S262</w:t>
            </w:r>
          </w:p>
        </w:tc>
      </w:tr>
      <w:tr>
        <w:tc>
          <w:tcPr/>
          <w:p>
            <w:pPr>
              <w:pStyle w:val="Compact"/>
            </w:pPr>
            <w:r>
              <w:t xml:space="preserve">2016</w:t>
            </w:r>
          </w:p>
        </w:tc>
        <w:tc>
          <w:tcPr/>
          <w:p>
            <w:pPr>
              <w:pStyle w:val="Compact"/>
            </w:pPr>
            <w:r>
              <w:t xml:space="preserve">96</w:t>
            </w:r>
          </w:p>
        </w:tc>
        <w:tc>
          <w:tcPr/>
          <w:p>
            <w:pPr>
              <w:pStyle w:val="Compact"/>
            </w:pPr>
            <w:r>
              <w:t xml:space="preserve">S40</w:t>
            </w:r>
          </w:p>
        </w:tc>
        <w:tc>
          <w:tcPr/>
          <w:p>
            <w:pPr>
              <w:pStyle w:val="Compact"/>
            </w:pPr>
            <w:r>
              <w:t xml:space="preserve">793</w:t>
            </w:r>
          </w:p>
        </w:tc>
        <w:tc>
          <w:tcPr/>
          <w:p>
            <w:pPr>
              <w:pStyle w:val="Compact"/>
            </w:pPr>
            <w:r>
              <w:t xml:space="preserve">S1-S261</w:t>
            </w:r>
          </w:p>
        </w:tc>
      </w:tr>
      <w:tr>
        <w:tc>
          <w:tcPr/>
          <w:p>
            <w:pPr>
              <w:pStyle w:val="Compact"/>
            </w:pPr>
            <w:r>
              <w:t xml:space="preserve">2017</w:t>
            </w:r>
          </w:p>
        </w:tc>
        <w:tc>
          <w:tcPr/>
          <w:p>
            <w:pPr>
              <w:pStyle w:val="Compact"/>
            </w:pPr>
            <w:r>
              <w:t xml:space="preserve">97</w:t>
            </w:r>
          </w:p>
        </w:tc>
        <w:tc>
          <w:tcPr/>
          <w:p>
            <w:pPr>
              <w:pStyle w:val="Compact"/>
            </w:pPr>
            <w:r>
              <w:t xml:space="preserve">S59-S60</w:t>
            </w:r>
          </w:p>
        </w:tc>
        <w:tc>
          <w:tcPr/>
          <w:p>
            <w:pPr>
              <w:pStyle w:val="Compact"/>
            </w:pPr>
            <w:r>
              <w:t xml:space="preserve">614</w:t>
            </w:r>
          </w:p>
        </w:tc>
        <w:tc>
          <w:tcPr/>
          <w:p>
            <w:pPr>
              <w:pStyle w:val="Compact"/>
            </w:pPr>
            <w:r>
              <w:t xml:space="preserve">S1-S208</w:t>
            </w:r>
          </w:p>
        </w:tc>
      </w:tr>
      <w:tr>
        <w:tc>
          <w:tcPr/>
          <w:p>
            <w:pPr>
              <w:pStyle w:val="Compact"/>
            </w:pPr>
            <w:r>
              <w:t xml:space="preserve">2018</w:t>
            </w:r>
          </w:p>
        </w:tc>
        <w:tc>
          <w:tcPr/>
          <w:p>
            <w:pPr>
              <w:pStyle w:val="Compact"/>
            </w:pPr>
            <w:r>
              <w:t xml:space="preserve">95</w:t>
            </w:r>
          </w:p>
        </w:tc>
        <w:tc>
          <w:tcPr/>
          <w:p>
            <w:pPr>
              <w:pStyle w:val="Compact"/>
            </w:pPr>
            <w:r>
              <w:t xml:space="preserve">S60</w:t>
            </w:r>
          </w:p>
        </w:tc>
        <w:tc>
          <w:tcPr/>
          <w:p>
            <w:pPr>
              <w:pStyle w:val="Compact"/>
            </w:pPr>
            <w:r>
              <w:t xml:space="preserve">745</w:t>
            </w:r>
          </w:p>
        </w:tc>
        <w:tc>
          <w:tcPr/>
          <w:p>
            <w:pPr>
              <w:pStyle w:val="Compact"/>
            </w:pPr>
            <w:r>
              <w:t xml:space="preserve">S1-S286</w:t>
            </w:r>
          </w:p>
        </w:tc>
      </w:tr>
      <w:tr>
        <w:tc>
          <w:tcPr/>
          <w:p>
            <w:pPr>
              <w:pStyle w:val="Compact"/>
            </w:pPr>
            <w:r>
              <w:t xml:space="preserve">2019</w:t>
            </w:r>
          </w:p>
        </w:tc>
        <w:tc>
          <w:tcPr/>
          <w:p>
            <w:pPr>
              <w:pStyle w:val="Compact"/>
            </w:pPr>
            <w:r>
              <w:t xml:space="preserve">96</w:t>
            </w:r>
          </w:p>
        </w:tc>
        <w:tc>
          <w:tcPr/>
          <w:p>
            <w:pPr>
              <w:pStyle w:val="Compact"/>
            </w:pPr>
            <w:r>
              <w:t xml:space="preserve">S30</w:t>
            </w:r>
          </w:p>
        </w:tc>
        <w:tc>
          <w:tcPr/>
          <w:p>
            <w:pPr>
              <w:pStyle w:val="Compact"/>
            </w:pPr>
            <w:r>
              <w:t xml:space="preserve">744</w:t>
            </w:r>
          </w:p>
        </w:tc>
        <w:tc>
          <w:tcPr/>
          <w:p>
            <w:pPr>
              <w:pStyle w:val="Compact"/>
            </w:pPr>
            <w:r>
              <w:t xml:space="preserve">S1-S239</w:t>
            </w:r>
          </w:p>
        </w:tc>
      </w:tr>
      <w:tr>
        <w:tc>
          <w:tcPr/>
          <w:p>
            <w:pPr>
              <w:pStyle w:val="Compact"/>
            </w:pPr>
            <w:r>
              <w:t xml:space="preserve">2020</w:t>
            </w:r>
          </w:p>
        </w:tc>
        <w:tc>
          <w:tcPr/>
          <w:p>
            <w:pPr>
              <w:pStyle w:val="Compact"/>
            </w:pPr>
            <w:r>
              <w:t xml:space="preserve">95</w:t>
            </w:r>
          </w:p>
        </w:tc>
        <w:tc>
          <w:tcPr/>
          <w:p>
            <w:pPr>
              <w:pStyle w:val="Compact"/>
            </w:pPr>
            <w:r>
              <w:t xml:space="preserve">S33</w:t>
            </w:r>
          </w:p>
        </w:tc>
        <w:tc>
          <w:tcPr/>
          <w:p>
            <w:pPr>
              <w:pStyle w:val="Compact"/>
            </w:pPr>
            <w:r>
              <w:t xml:space="preserve">453</w:t>
            </w:r>
          </w:p>
        </w:tc>
        <w:tc>
          <w:tcPr/>
          <w:p>
            <w:pPr>
              <w:pStyle w:val="Compact"/>
            </w:pPr>
            <w:r>
              <w:t xml:space="preserve">S1-S152</w:t>
            </w:r>
          </w:p>
        </w:tc>
      </w:tr>
      <w:tr>
        <w:tc>
          <w:tcPr/>
          <w:p>
            <w:pPr>
              <w:pStyle w:val="Compact"/>
            </w:pPr>
            <w:r>
              <w:t xml:space="preserve">2021</w:t>
            </w:r>
          </w:p>
        </w:tc>
        <w:tc>
          <w:tcPr/>
          <w:p>
            <w:pPr>
              <w:pStyle w:val="Compact"/>
            </w:pPr>
            <w:r>
              <w:t xml:space="preserve">98</w:t>
            </w:r>
          </w:p>
        </w:tc>
        <w:tc>
          <w:tcPr/>
          <w:p>
            <w:pPr>
              <w:pStyle w:val="Compact"/>
            </w:pPr>
            <w:r>
              <w:t xml:space="preserve">S34</w:t>
            </w:r>
          </w:p>
        </w:tc>
        <w:tc>
          <w:tcPr/>
          <w:p>
            <w:pPr>
              <w:pStyle w:val="Compact"/>
            </w:pPr>
            <w:r>
              <w:t xml:space="preserve">498</w:t>
            </w:r>
          </w:p>
        </w:tc>
        <w:tc>
          <w:tcPr/>
          <w:p>
            <w:pPr>
              <w:pStyle w:val="Compact"/>
            </w:pPr>
            <w:r>
              <w:t xml:space="preserve">S1-S169</w:t>
            </w:r>
          </w:p>
        </w:tc>
      </w:tr>
      <w:tr>
        <w:tc>
          <w:tcPr/>
          <w:p>
            <w:pPr>
              <w:pStyle w:val="Compact"/>
            </w:pPr>
            <w:r>
              <w:t xml:space="preserve">2022</w:t>
            </w:r>
          </w:p>
        </w:tc>
        <w:tc>
          <w:tcPr/>
          <w:p>
            <w:pPr>
              <w:pStyle w:val="Compact"/>
            </w:pPr>
            <w:r>
              <w:t xml:space="preserve">100</w:t>
            </w:r>
          </w:p>
        </w:tc>
        <w:tc>
          <w:tcPr/>
          <w:p>
            <w:pPr>
              <w:pStyle w:val="Compact"/>
            </w:pPr>
            <w:r>
              <w:t xml:space="preserve">S40</w:t>
            </w:r>
          </w:p>
        </w:tc>
        <w:tc>
          <w:tcPr/>
          <w:p>
            <w:pPr>
              <w:pStyle w:val="Compact"/>
            </w:pPr>
            <w:r>
              <w:t xml:space="preserve">497</w:t>
            </w:r>
          </w:p>
        </w:tc>
        <w:tc>
          <w:tcPr/>
          <w:p>
            <w:pPr>
              <w:pStyle w:val="Compact"/>
            </w:pPr>
            <w:r>
              <w:t xml:space="preserve">S1-S167</w:t>
            </w:r>
          </w:p>
        </w:tc>
      </w:tr>
      <w:tr>
        <w:tc>
          <w:tcPr/>
          <w:p>
            <w:pPr>
              <w:pStyle w:val="Compact"/>
            </w:pPr>
            <w:r>
              <w:t xml:space="preserve">2023</w:t>
            </w:r>
          </w:p>
        </w:tc>
        <w:tc>
          <w:tcPr/>
          <w:p>
            <w:pPr>
              <w:pStyle w:val="Compact"/>
            </w:pPr>
            <w:r>
              <w:t xml:space="preserve">98</w:t>
            </w:r>
          </w:p>
        </w:tc>
        <w:tc>
          <w:tcPr/>
          <w:p>
            <w:pPr>
              <w:pStyle w:val="Compact"/>
            </w:pPr>
            <w:r>
              <w:t xml:space="preserve">S38</w:t>
            </w:r>
          </w:p>
        </w:tc>
        <w:tc>
          <w:tcPr/>
          <w:p>
            <w:pPr>
              <w:pStyle w:val="Compact"/>
            </w:pPr>
            <w:r>
              <w:t xml:space="preserve">392</w:t>
            </w:r>
          </w:p>
        </w:tc>
        <w:tc>
          <w:tcPr/>
          <w:p>
            <w:pPr>
              <w:pStyle w:val="Compact"/>
            </w:pPr>
            <w:r>
              <w:t xml:space="preserve">S1-S141</w:t>
            </w:r>
          </w:p>
        </w:tc>
      </w:tr>
    </w:tbl>
    <w:bookmarkEnd w:id="184"/>
    <w:bookmarkStart w:id="185" w:name="Xbb0267dc4073d6b452b4fbd468e89b232540a33"/>
    <w:p>
      <w:pPr>
        <w:pStyle w:val="Heading3"/>
      </w:pPr>
      <w:r>
        <w:t xml:space="preserve">A14.2 The cutoff is mid-block, not at a section boundary</w:t>
      </w:r>
    </w:p>
    <w:p>
      <w:pPr>
        <w:pStyle w:val="FirstParagraph"/>
      </w:pPr>
      <w:r>
        <w:t xml:space="preserve">If the capture happened to stop where the oral block ends, the cohort would</w:t>
      </w:r>
      <w:r>
        <w:t xml:space="preserve"> </w:t>
      </w:r>
      <w:r>
        <w:t xml:space="preserve">still be a valid census of oral presentations. It does not. The 2012 capture</w:t>
      </w:r>
      <w:r>
        <w:t xml:space="preserve"> </w:t>
      </w:r>
      <w:r>
        <w:t xml:space="preserve">ends at S33-S34; the records immediately following are ordinary scientific</w:t>
      </w:r>
      <w:r>
        <w:t xml:space="preserve"> </w:t>
      </w:r>
      <w:r>
        <w:t xml:space="preserve">abstracts of the same kind already in the cohort:</w:t>
      </w:r>
    </w:p>
    <w:p>
      <w:pPr>
        <w:pStyle w:val="BlockText"/>
      </w:pPr>
      <w:r>
        <w:t xml:space="preserve">S33 Endoscopic Midurethral Circumferential Injection of Calcium Hydroxylapatite</w:t>
      </w:r>
      <w:r>
        <w:t xml:space="preserve"> </w:t>
      </w:r>
      <w:r>
        <w:t xml:space="preserve">for Urethral Bulking; S34 Sling Failures: Does the Adjustable Suburethral Sling</w:t>
      </w:r>
      <w:r>
        <w:t xml:space="preserve"> </w:t>
      </w:r>
      <w:r>
        <w:t xml:space="preserve">(Remeex) Bring Hope; S35 Interest of the 3D Ultrasound Evaluation of Suburethral</w:t>
      </w:r>
      <w:r>
        <w:t xml:space="preserve"> </w:t>
      </w:r>
      <w:r>
        <w:t xml:space="preserve">Tape after TVT-O Procedure; S37 The Outcomes of Elderly Patients in the Treatment</w:t>
      </w:r>
      <w:r>
        <w:t xml:space="preserve"> </w:t>
      </w:r>
      <w:r>
        <w:t xml:space="preserve">of Gynecological Malignancy with Robotics.</w:t>
      </w:r>
    </w:p>
    <w:p>
      <w:pPr>
        <w:pStyle w:val="FirstParagraph"/>
      </w:pPr>
      <w:r>
        <w:t xml:space="preserve">Ingestion stopped part-way through the material, not at the end of a category.</w:t>
      </w:r>
    </w:p>
    <w:bookmarkEnd w:id="185"/>
    <w:bookmarkStart w:id="186" w:name="a14.3-consequence-for-this-appendix"/>
    <w:p>
      <w:pPr>
        <w:pStyle w:val="Heading3"/>
      </w:pPr>
      <w:r>
        <w:t xml:space="preserve">A14.3 Consequence for this appendix</w:t>
      </w:r>
    </w:p>
    <w:p>
      <w:pPr>
        <w:pStyle w:val="FirstParagraph"/>
      </w:pPr>
      <w:r>
        <w:t xml:space="preserve">Each supplement mixes oral presentations, posters and videos, so the item counts</w:t>
      </w:r>
      <w:r>
        <w:t xml:space="preserve"> </w:t>
      </w:r>
      <w:r>
        <w:t xml:space="preserve">above are not counts of missing</w:t>
      </w:r>
      <w:r>
        <w:t xml:space="preserve"> </w:t>
      </w:r>
      <w:r>
        <w:rPr>
          <w:i/>
          <w:iCs/>
        </w:rPr>
        <w:t xml:space="preserve">orals</w:t>
      </w:r>
      <w:r>
        <w:t xml:space="preserve">. Establishing the true oral denominator</w:t>
      </w:r>
      <w:r>
        <w:t xml:space="preserve"> </w:t>
      </w:r>
      <w:r>
        <w:t xml:space="preserve">per congress requires the section headers that</w:t>
      </w:r>
      <w:r>
        <w:t xml:space="preserve"> </w:t>
      </w:r>
      <w:r>
        <w:rPr>
          <w:rStyle w:val="VerbatimChar"/>
        </w:rPr>
        <w:t xml:space="preserve">R/01b_parse_web.R</w:t>
      </w:r>
      <w:r>
        <w:t xml:space="preserve"> </w:t>
      </w:r>
      <w:r>
        <w:t xml:space="preserve">reads, which</w:t>
      </w:r>
      <w:r>
        <w:t xml:space="preserve"> </w:t>
      </w:r>
      <w:r>
        <w:t xml:space="preserve">is the same code path that truncates. The size of the shortfall is therefore not</w:t>
      </w:r>
      <w:r>
        <w:t xml:space="preserve"> </w:t>
      </w:r>
      <w:r>
        <w:t xml:space="preserve">established here; only its existence is.</w:t>
      </w:r>
    </w:p>
    <w:p>
      <w:pPr>
        <w:pStyle w:val="BodyText"/>
      </w:pPr>
      <w:r>
        <w:t xml:space="preserve">What is established is that the captured cohort is a</w:t>
      </w:r>
      <w:r>
        <w:t xml:space="preserve"> </w:t>
      </w:r>
      <w:r>
        <w:rPr>
          <w:b/>
          <w:bCs/>
        </w:rPr>
        <w:t xml:space="preserve">contiguous prefix</w:t>
      </w:r>
      <w:r>
        <w:t xml:space="preserve"> </w:t>
      </w:r>
      <w:r>
        <w:t xml:space="preserve">of</w:t>
      </w:r>
      <w:r>
        <w:t xml:space="preserve"> </w:t>
      </w:r>
      <w:r>
        <w:t xml:space="preserve">each supplement rather than a sample of it. It is systematically the</w:t>
      </w:r>
      <w:r>
        <w:t xml:space="preserve"> </w:t>
      </w:r>
      <w:r>
        <w:t xml:space="preserve">earliest-paginated material, which corresponds to particular sessions and topic</w:t>
      </w:r>
      <w:r>
        <w:t xml:space="preserve"> </w:t>
      </w:r>
      <w:r>
        <w:t xml:space="preserve">blocks rather than to a random draw.</w:t>
      </w:r>
    </w:p>
    <w:p>
      <w:pPr>
        <w:pStyle w:val="BodyText"/>
      </w:pPr>
      <w:r>
        <w:t xml:space="preserve">Every quantity reported in this appendix and in the manuscript is arithmetically</w:t>
      </w:r>
      <w:r>
        <w:t xml:space="preserve"> </w:t>
      </w:r>
      <w:r>
        <w:t xml:space="preserve">correct</w:t>
      </w:r>
      <w:r>
        <w:t xml:space="preserve"> </w:t>
      </w:r>
      <w:r>
        <w:rPr>
          <w:b/>
          <w:bCs/>
        </w:rPr>
        <w:t xml:space="preserve">for the 1,106 abstracts that were captured</w:t>
      </w:r>
      <w:r>
        <w:t xml:space="preserve">. None of them describes</w:t>
      </w:r>
      <w:r>
        <w:t xml:space="preserve"> </w:t>
      </w:r>
      <w:r>
        <w:t xml:space="preserve">“all oral presentations at the AAGL Global Congress, 2012-2023”</w:t>
      </w:r>
      <w:r>
        <w:t xml:space="preserve">. The corrections</w:t>
      </w:r>
      <w:r>
        <w:t xml:space="preserve"> </w:t>
      </w:r>
      <w:r>
        <w:t xml:space="preserve">in A12 and A13, the denominator chain in A13.1, and the open decisions recorded</w:t>
      </w:r>
      <w:r>
        <w:t xml:space="preserve"> </w:t>
      </w:r>
      <w:r>
        <w:t xml:space="preserve">in A13.6 and A13.7 all sit downstream of a cohort that has not yet been</w:t>
      </w:r>
      <w:r>
        <w:t xml:space="preserve"> </w:t>
      </w:r>
      <w:r>
        <w:t xml:space="preserve">correctly assembled.</w:t>
      </w:r>
    </w:p>
    <w:p>
      <w:pPr>
        <w:pStyle w:val="BodyText"/>
      </w:pPr>
      <w:r>
        <w:t xml:space="preserve">Remediation is tracked in</w:t>
      </w:r>
      <w:r>
        <w:t xml:space="preserve"> </w:t>
      </w:r>
      <w:r>
        <w:rPr>
          <w:rStyle w:val="VerbatimChar"/>
        </w:rPr>
        <w:t xml:space="preserve">docs/FAILURE_MODES.md</w:t>
      </w:r>
      <w:r>
        <w:t xml:space="preserve"> </w:t>
      </w:r>
      <w:r>
        <w:t xml:space="preserve">and is out of scope for this</w:t>
      </w:r>
      <w:r>
        <w:t xml:space="preserve"> </w:t>
      </w:r>
      <w:r>
        <w:t xml:space="preserve">appendix.</w:t>
      </w:r>
    </w:p>
    <w:p>
      <w:r>
        <w:pict>
          <v:rect style="width:0;height:1.5pt" o:hralign="center" o:hrstd="t" o:hr="t"/>
        </w:pict>
      </w:r>
    </w:p>
    <w:bookmarkEnd w:id="186"/>
    <w:bookmarkEnd w:id="187"/>
    <w:bookmarkStart w:id="197" w:name="a15.-remediation-september-2026"/>
    <w:p>
      <w:pPr>
        <w:pStyle w:val="Heading2"/>
      </w:pPr>
      <w:r>
        <w:t xml:space="preserve">A15. Remediation, September 2026</w:t>
      </w:r>
    </w:p>
    <w:p>
      <w:pPr>
        <w:pStyle w:val="FirstParagraph"/>
      </w:pPr>
      <w:r>
        <w:t xml:space="preserve">Sections A12–A14 catalogue defects. This section records what was done about</w:t>
      </w:r>
      <w:r>
        <w:t xml:space="preserve"> </w:t>
      </w:r>
      <w:r>
        <w:t xml:space="preserve">them on 3–4 September 2026, what it changed, and what was deliberately left</w:t>
      </w:r>
      <w:r>
        <w:t xml:space="preserve"> </w:t>
      </w:r>
      <w:r>
        <w:t xml:space="preserve">alone. It is the counterpart to</w:t>
      </w:r>
      <w:r>
        <w:t xml:space="preserve"> </w:t>
      </w:r>
      <w:r>
        <w:rPr>
          <w:rStyle w:val="VerbatimChar"/>
        </w:rPr>
        <w:t xml:space="preserve">docs/FAILURE_MODES.md</w:t>
      </w:r>
      <w:r>
        <w:t xml:space="preserve">, which holds the</w:t>
      </w:r>
      <w:r>
        <w:t xml:space="preserve"> </w:t>
      </w:r>
      <w:r>
        <w:t xml:space="preserve">mechanism for each entry; this is the narrative and the arithmetic.</w:t>
      </w:r>
    </w:p>
    <w:p>
      <w:pPr>
        <w:pStyle w:val="BodyText"/>
      </w:pPr>
      <w:r>
        <w:t xml:space="preserve">The headline did not move. The publication rate is 178 / 1,051 =</w:t>
      </w:r>
      <w:r>
        <w:t xml:space="preserve"> </w:t>
      </w:r>
      <w:r>
        <w:rPr>
          <w:b/>
          <w:bCs/>
        </w:rPr>
        <w:t xml:space="preserve">16.9%</w:t>
      </w:r>
      <w:r>
        <w:t xml:space="preserve"> </w:t>
      </w:r>
      <w:r>
        <w:t xml:space="preserve">before and after. What</w:t>
      </w:r>
      <w:r>
        <w:t xml:space="preserve"> </w:t>
      </w:r>
      <w:r>
        <w:t xml:space="preserve">moved is the evidence beneath the time-to-event and regression results, and</w:t>
      </w:r>
      <w:r>
        <w:t xml:space="preserve"> </w:t>
      </w:r>
      <w:r>
        <w:t xml:space="preserve">the amount of the pipeline that can be rebuilt on another machine.</w:t>
      </w:r>
    </w:p>
    <w:bookmarkStart w:id="188" w:name="a15.1-the-candidate-pool-f2"/>
    <w:p>
      <w:pPr>
        <w:pStyle w:val="Heading3"/>
      </w:pPr>
      <w:r>
        <w:t xml:space="preserve">A15.1 The candidate pool (F2)</w:t>
      </w:r>
    </w:p>
    <w:p>
      <w:pPr>
        <w:pStyle w:val="FirstParagraph"/>
      </w:pPr>
      <w:r>
        <w:rPr>
          <w:rStyle w:val="VerbatimChar"/>
        </w:rPr>
        <w:t xml:space="preserve">R/03b_search_crossref.R</w:t>
      </w:r>
      <w:r>
        <w:t xml:space="preserve"> </w:t>
      </w:r>
      <w:r>
        <w:t xml:space="preserve">rewrites</w:t>
      </w:r>
      <w:r>
        <w:t xml:space="preserve"> </w:t>
      </w:r>
      <w:r>
        <w:rPr>
          <w:rStyle w:val="VerbatimChar"/>
        </w:rPr>
        <w:t xml:space="preserve">data/processed/pubmed_candidates.csv</w:t>
      </w:r>
      <w:r>
        <w:t xml:space="preserve"> </w:t>
      </w:r>
      <w:r>
        <w:t xml:space="preserve">in</w:t>
      </w:r>
      <w:r>
        <w:t xml:space="preserve"> </w:t>
      </w:r>
      <w:r>
        <w:t xml:space="preserve">place at the end of every supplementary-search run. On 19 April 2026 it ran at</w:t>
      </w:r>
      <w:r>
        <w:t xml:space="preserve"> </w:t>
      </w:r>
      <w:r>
        <w:t xml:space="preserve">09:47, after</w:t>
      </w:r>
      <w:r>
        <w:t xml:space="preserve"> </w:t>
      </w:r>
      <w:r>
        <w:rPr>
          <w:rStyle w:val="VerbatimChar"/>
        </w:rPr>
        <w:t xml:space="preserve">R/04_score_matches.R</w:t>
      </w:r>
      <w:r>
        <w:t xml:space="preserve"> </w:t>
      </w:r>
      <w:r>
        <w:t xml:space="preserve">had scored at 09:21. The file left on disk</w:t>
      </w:r>
      <w:r>
        <w:t xml:space="preserve"> </w:t>
      </w:r>
      <w:r>
        <w:t xml:space="preserve">was a strict subset of the pool the scores were computed against.</w:t>
      </w:r>
    </w:p>
    <w:p>
      <w:pPr>
        <w:pStyle w:val="BodyText"/>
      </w:pPr>
      <w:r>
        <w:rPr>
          <w:rStyle w:val="VerbatimChar"/>
        </w:rPr>
        <w:t xml:space="preserve">scripts/rebuild_candidate_pool.R</w:t>
      </w:r>
      <w:r>
        <w:t xml:space="preserve"> </w:t>
      </w:r>
      <w:r>
        <w:t xml:space="preserve">reconstructs it from</w:t>
      </w:r>
      <w:r>
        <w:t xml:space="preserve"> </w:t>
      </w:r>
      <w:r>
        <w:rPr>
          <w:rStyle w:val="VerbatimChar"/>
        </w:rPr>
        <w:t xml:space="preserve">data/processed/match_scores_detailed.rds</w:t>
      </w:r>
      <w:r>
        <w:t xml:space="preserve"> </w:t>
      </w:r>
      <w:r>
        <w:t xml:space="preserve">— the surviving record of every</w:t>
      </w:r>
      <w:r>
        <w:t xml:space="preserve"> </w:t>
      </w:r>
      <w:r>
        <w:t xml:space="preserve">scored pair — plus every reviewer-supplied</w:t>
      </w:r>
      <w:r>
        <w:t xml:space="preserve"> </w:t>
      </w:r>
      <w:r>
        <w:rPr>
          <w:rStyle w:val="VerbatimChar"/>
        </w:rPr>
        <w:t xml:space="preserve">manual_pmid</w:t>
      </w:r>
      <w:r>
        <w:t xml:space="preserve">, refetching the missing</w:t>
      </w:r>
      <w:r>
        <w:t xml:space="preserve"> </w:t>
      </w:r>
      <w:r>
        <w:t xml:space="preserve">metadata from PubMed in batches of 100. It is resumable and drops rows keyed to</w:t>
      </w:r>
      <w:r>
        <w:t xml:space="preserve"> </w:t>
      </w:r>
      <w:r>
        <w:rPr>
          <w:rStyle w:val="VerbatimChar"/>
        </w:rPr>
        <w:t xml:space="preserve">abstract_id</w:t>
      </w:r>
      <w:r>
        <w:t xml:space="preserve">s outside the 1,154 parsed presentations.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before</w:t>
            </w:r>
          </w:p>
        </w:tc>
        <w:tc>
          <w:tcPr/>
          <w:p>
            <w:pPr>
              <w:pStyle w:val="Compact"/>
              <w:jc w:val="right"/>
            </w:pPr>
            <w:r>
              <w:t xml:space="preserve">after</w:t>
            </w:r>
          </w:p>
        </w:tc>
      </w:tr>
      <w:tr>
        <w:tc>
          <w:tcPr/>
          <w:p>
            <w:pPr>
              <w:pStyle w:val="Compact"/>
            </w:pPr>
            <w:r>
              <w:t xml:space="preserve">Rows in the pool</w:t>
            </w:r>
          </w:p>
        </w:tc>
        <w:tc>
          <w:tcPr/>
          <w:p>
            <w:pPr>
              <w:pStyle w:val="Compact"/>
              <w:jc w:val="right"/>
            </w:pPr>
            <w:r>
              <w:t xml:space="preserve">48,984</w:t>
            </w:r>
          </w:p>
        </w:tc>
        <w:tc>
          <w:tcPr/>
          <w:p>
            <w:pPr>
              <w:pStyle w:val="Compact"/>
              <w:jc w:val="right"/>
            </w:pPr>
            <w:r>
              <w:t xml:space="preserve">65,697</w:t>
            </w:r>
          </w:p>
        </w:tc>
      </w:tr>
      <w:tr>
        <w:tc>
          <w:tcPr/>
          <w:p>
            <w:pPr>
              <w:pStyle w:val="Compact"/>
            </w:pPr>
            <w:r>
              <w:t xml:space="preserve">Cohort pairs vs</w:t>
            </w:r>
            <w:r>
              <w:t xml:space="preserve"> </w:t>
            </w:r>
            <w:r>
              <w:rPr>
                <w:rStyle w:val="VerbatimChar"/>
              </w:rPr>
              <w:t xml:space="preserve">sum(n_candidates)</w:t>
            </w:r>
          </w:p>
        </w:tc>
        <w:tc>
          <w:tcPr/>
          <w:p>
            <w:pPr>
              <w:pStyle w:val="Compact"/>
              <w:jc w:val="right"/>
            </w:pPr>
            <w:r>
              <w:t xml:space="preserve">48,984 vs 64,718</w:t>
            </w:r>
          </w:p>
        </w:tc>
        <w:tc>
          <w:tcPr/>
          <w:p>
            <w:pPr>
              <w:pStyle w:val="Compact"/>
              <w:jc w:val="right"/>
            </w:pPr>
            <w:r>
              <w:t xml:space="preserve">64,728 vs 64,718</w:t>
            </w:r>
          </w:p>
        </w:tc>
      </w:tr>
      <w:tr>
        <w:tc>
          <w:tcPr/>
          <w:p>
            <w:pPr>
              <w:pStyle w:val="Compact"/>
            </w:pPr>
            <w:r>
              <w:t xml:space="preserve">Winning PMIDs unresolvable</w:t>
            </w:r>
          </w:p>
        </w:tc>
        <w:tc>
          <w:tcPr/>
          <w:p>
            <w:pPr>
              <w:pStyle w:val="Compact"/>
              <w:jc w:val="right"/>
            </w:pPr>
            <w:r>
              <w:t xml:space="preserve">283</w:t>
            </w:r>
          </w:p>
        </w:tc>
        <w:tc>
          <w:tcPr/>
          <w:p>
            <w:pPr>
              <w:pStyle w:val="Compact"/>
              <w:jc w:val="right"/>
            </w:pPr>
            <w:r>
              <w:rPr>
                <w:b/>
                <w:bCs/>
              </w:rPr>
              <w:t xml:space="preserve">0</w:t>
            </w:r>
          </w:p>
        </w:tc>
      </w:tr>
      <w:tr>
        <w:tc>
          <w:tcPr/>
          <w:p>
            <w:pPr>
              <w:pStyle w:val="Compact"/>
            </w:pPr>
            <w:r>
              <w:t xml:space="preserve">Published abstracts with a date</w:t>
            </w:r>
          </w:p>
        </w:tc>
        <w:tc>
          <w:tcPr/>
          <w:p>
            <w:pPr>
              <w:pStyle w:val="Compact"/>
              <w:jc w:val="right"/>
            </w:pPr>
            <w:r>
              <w:t xml:space="preserve">104 / 178</w:t>
            </w:r>
          </w:p>
        </w:tc>
        <w:tc>
          <w:tcPr/>
          <w:p>
            <w:pPr>
              <w:pStyle w:val="Compact"/>
              <w:jc w:val="right"/>
            </w:pPr>
            <w:r>
              <w:rPr>
                <w:b/>
                <w:bCs/>
              </w:rPr>
              <w:t xml:space="preserve">178 / 178</w:t>
            </w:r>
          </w:p>
        </w:tc>
      </w:tr>
      <w:tr>
        <w:tc>
          <w:tcPr/>
          <w:p>
            <w:pPr>
              <w:pStyle w:val="Compact"/>
            </w:pPr>
            <w:r>
              <w:t xml:space="preserve">Kaplan–Meier events</w:t>
            </w:r>
          </w:p>
        </w:tc>
        <w:tc>
          <w:tcPr/>
          <w:p>
            <w:pPr>
              <w:pStyle w:val="Compact"/>
              <w:jc w:val="right"/>
            </w:pPr>
            <w:r>
              <w:t xml:space="preserve">104</w:t>
            </w:r>
          </w:p>
        </w:tc>
        <w:tc>
          <w:tcPr/>
          <w:p>
            <w:pPr>
              <w:pStyle w:val="Compact"/>
              <w:jc w:val="right"/>
            </w:pPr>
            <w:r>
              <w:rPr>
                <w:b/>
                <w:bCs/>
              </w:rPr>
              <w:t xml:space="preserve">171</w:t>
            </w:r>
          </w:p>
        </w:tc>
      </w:tr>
      <w:tr>
        <w:tc>
          <w:tcPr/>
          <w:p>
            <w:pPr>
              <w:pStyle w:val="Compact"/>
            </w:pPr>
            <w:r>
              <w:t xml:space="preserve">Median time to publication</w:t>
            </w:r>
          </w:p>
        </w:tc>
        <w:tc>
          <w:tcPr/>
          <w:p>
            <w:pPr>
              <w:pStyle w:val="Compact"/>
              <w:jc w:val="right"/>
            </w:pPr>
            <w:r>
              <w:t xml:space="preserve">13.8 mo (IQR 6.3–25.0)</w:t>
            </w:r>
          </w:p>
        </w:tc>
        <w:tc>
          <w:tcPr/>
          <w:p>
            <w:pPr>
              <w:pStyle w:val="Compact"/>
              <w:jc w:val="right"/>
            </w:pPr>
            <w:r>
              <w:rPr>
                <w:b/>
                <w:bCs/>
              </w:rPr>
              <w:t xml:space="preserve">13.7 mo (IQR 5.7–22.6)</w:t>
            </w:r>
          </w:p>
        </w:tc>
      </w:tr>
    </w:tbl>
    <w:p>
      <w:pPr>
        <w:pStyle w:val="BodyText"/>
      </w:pPr>
      <w:r>
        <w:t xml:space="preserve">One limit is permanent. The</w:t>
      </w:r>
      <w:r>
        <w:t xml:space="preserve"> </w:t>
      </w:r>
      <w:r>
        <w:rPr>
          <w:rStyle w:val="VerbatimChar"/>
        </w:rPr>
        <w:t xml:space="preserve">strategies</w:t>
      </w:r>
      <w:r>
        <w:t xml:space="preserve"> </w:t>
      </w:r>
      <w:r>
        <w:t xml:space="preserve">provenance for a recovered pair lived</w:t>
      </w:r>
      <w:r>
        <w:t xml:space="preserve"> </w:t>
      </w:r>
      <w:r>
        <w:t xml:space="preserve">only in the overwritten file. Recovered rows carry</w:t>
      </w:r>
      <w:r>
        <w:t xml:space="preserve"> </w:t>
      </w:r>
      <w:r>
        <w:rPr>
          <w:rStyle w:val="VerbatimChar"/>
        </w:rPr>
        <w:t xml:space="preserve">strategies = "unrecovered"</w:t>
      </w:r>
      <w:r>
        <w:t xml:space="preserve"> </w:t>
      </w:r>
      <w:r>
        <w:t xml:space="preserve">so Aim 4’s attribution excludes rather than miscounts them.</w:t>
      </w:r>
    </w:p>
    <w:p>
      <w:pPr>
        <w:pStyle w:val="BodyText"/>
      </w:pPr>
      <w:r>
        <w:t xml:space="preserve">Seven confirmed publications appeared</w:t>
      </w:r>
      <w:r>
        <w:t xml:space="preserve"> </w:t>
      </w:r>
      <w:r>
        <w:rPr>
          <w:i/>
          <w:iCs/>
        </w:rPr>
        <w:t xml:space="preserve">before</w:t>
      </w:r>
      <w:r>
        <w:t xml:space="preserve"> </w:t>
      </w:r>
      <w:r>
        <w:t xml:space="preserve">their congress. They belong in</w:t>
      </w:r>
      <w:r>
        <w:t xml:space="preserve"> </w:t>
      </w:r>
      <w:r>
        <w:t xml:space="preserve">the numerator — a reviewer ruled they are the abstract’s publication — but a</w:t>
      </w:r>
      <w:r>
        <w:t xml:space="preserve"> </w:t>
      </w:r>
      <w:r>
        <w:t xml:space="preserve">negative interval is not a time to publication, so Aim 2 now reports</w:t>
      </w:r>
      <w:r>
        <w:t xml:space="preserve"> </w:t>
      </w:r>
      <w:r>
        <w:rPr>
          <w:rStyle w:val="VerbatimChar"/>
        </w:rPr>
        <w:t xml:space="preserve">n_published</w:t>
      </w:r>
      <w:r>
        <w:t xml:space="preserve">,</w:t>
      </w:r>
      <w:r>
        <w:t xml:space="preserve"> </w:t>
      </w:r>
      <w:r>
        <w:rPr>
          <w:rStyle w:val="VerbatimChar"/>
        </w:rPr>
        <w:t xml:space="preserve">n_with_dates</w:t>
      </w:r>
      <w:r>
        <w:t xml:space="preserve">,</w:t>
      </w:r>
      <w:r>
        <w:t xml:space="preserve"> </w:t>
      </w:r>
      <w:r>
        <w:rPr>
          <w:rStyle w:val="VerbatimChar"/>
        </w:rPr>
        <w:t xml:space="preserve">n_pre_congress</w:t>
      </w:r>
      <w:r>
        <w:t xml:space="preserve"> </w:t>
      </w:r>
      <w:r>
        <w:t xml:space="preserve">and</w:t>
      </w:r>
      <w:r>
        <w:t xml:space="preserve"> </w:t>
      </w:r>
      <w:r>
        <w:rPr>
          <w:rStyle w:val="VerbatimChar"/>
        </w:rPr>
        <w:t xml:space="preserve">n_undated</w:t>
      </w:r>
      <w:r>
        <w:t xml:space="preserve"> </w:t>
      </w:r>
      <w:r>
        <w:t xml:space="preserve">and computes the</w:t>
      </w:r>
      <w:r>
        <w:t xml:space="preserve"> </w:t>
      </w:r>
      <w:r>
        <w:t xml:space="preserve">median on post-congress publications only.</w:t>
      </w:r>
    </w:p>
    <w:bookmarkEnd w:id="188"/>
    <w:bookmarkStart w:id="189" w:name="Xf73817677dac78a0596c424c3d0e52489da902d"/>
    <w:p>
      <w:pPr>
        <w:pStyle w:val="Heading3"/>
      </w:pPr>
      <w:r>
        <w:t xml:space="preserve">A15.2 Covariates derived before the text existed (F3)</w:t>
      </w:r>
    </w:p>
    <w:p>
      <w:pPr>
        <w:pStyle w:val="FirstParagraph"/>
      </w:pPr>
      <w:r>
        <w:rPr>
          <w:rStyle w:val="VerbatimChar"/>
        </w:rPr>
        <w:t xml:space="preserve">R/02_clean_abstracts.R</w:t>
      </w:r>
      <w:r>
        <w:t xml:space="preserve"> </w:t>
      </w:r>
      <w:r>
        <w:t xml:space="preserve">derives roughly twenty predictors by regular expression</w:t>
      </w:r>
      <w:r>
        <w:t xml:space="preserve"> </w:t>
      </w:r>
      <w:r>
        <w:t xml:space="preserve">over</w:t>
      </w:r>
      <w:r>
        <w:t xml:space="preserve"> </w:t>
      </w:r>
      <w:r>
        <w:rPr>
          <w:rStyle w:val="VerbatimChar"/>
        </w:rPr>
        <w:t xml:space="preserve">search_text</w:t>
      </w:r>
      <w:r>
        <w:t xml:space="preserve">, but runs</w:t>
      </w:r>
      <w:r>
        <w:t xml:space="preserve"> </w:t>
      </w:r>
      <w:r>
        <w:rPr>
          <w:i/>
          <w:iCs/>
        </w:rPr>
        <w:t xml:space="preserve">before</w:t>
      </w:r>
      <w:r>
        <w:t xml:space="preserve"> </w:t>
      </w:r>
      <w:r>
        <w:t xml:space="preserve">the two text backfills. For congress years</w:t>
      </w:r>
      <w:r>
        <w:t xml:space="preserve"> </w:t>
      </w:r>
      <w:r>
        <w:t xml:space="preserve">2012–2018 it therefore saw the title alone, and nothing recomputed the</w:t>
      </w:r>
      <w:r>
        <w:t xml:space="preserve"> </w:t>
      </w:r>
      <w:r>
        <w:t xml:space="preserve">variables afterwards.</w:t>
      </w:r>
    </w:p>
    <w:p>
      <w:pPr>
        <w:pStyle w:val="BodyText"/>
      </w:pPr>
      <w:r>
        <w:rPr>
          <w:rStyle w:val="VerbatimChar"/>
        </w:rPr>
        <w:t xml:space="preserve">R/02d_rederive_predictors.R</w:t>
      </w:r>
      <w:r>
        <w:t xml:space="preserve"> </w:t>
      </w:r>
      <w:r>
        <w:t xml:space="preserve">re-runs the identical rules over the backfilled</w:t>
      </w:r>
      <w:r>
        <w:t xml:space="preserve"> </w:t>
      </w:r>
      <w:r>
        <w:t xml:space="preserve">text as step 2d. It touches covariates only — not</w:t>
      </w:r>
      <w:r>
        <w:t xml:space="preserve"> </w:t>
      </w:r>
      <w:r>
        <w:rPr>
          <w:rStyle w:val="VerbatimChar"/>
        </w:rPr>
        <w:t xml:space="preserve">title</w:t>
      </w:r>
      <w:r>
        <w:t xml:space="preserve">, the author columns or</w:t>
      </w:r>
      <w:r>
        <w:t xml:space="preserve"> </w:t>
      </w:r>
      <w:r>
        <w:rPr>
          <w:rStyle w:val="VerbatimChar"/>
        </w:rPr>
        <w:t xml:space="preserve">keywords_str</w:t>
      </w:r>
      <w:r>
        <w:t xml:space="preserve">, which feed the search and the score and whose change would</w:t>
      </w:r>
      <w:r>
        <w:t xml:space="preserve"> </w:t>
      </w:r>
      <w:r>
        <w:t xml:space="preserve">invalidate the scores and the human adjudication recorded against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 (cohort TRUE)</w:t>
            </w:r>
          </w:p>
        </w:tc>
        <w:tc>
          <w:tcPr/>
          <w:p>
            <w:pPr>
              <w:pStyle w:val="Compact"/>
              <w:jc w:val="right"/>
            </w:pPr>
            <w:r>
              <w:t xml:space="preserve">before</w:t>
            </w:r>
          </w:p>
        </w:tc>
        <w:tc>
          <w:tcPr/>
          <w:p>
            <w:pPr>
              <w:pStyle w:val="Compact"/>
              <w:jc w:val="right"/>
            </w:pPr>
            <w:r>
              <w:t xml:space="preserve">after</w:t>
            </w:r>
          </w:p>
        </w:tc>
      </w:tr>
      <w:tr>
        <w:tc>
          <w:tcPr/>
          <w:p>
            <w:pPr>
              <w:pStyle w:val="Compact"/>
            </w:pPr>
            <w:r>
              <w:rPr>
                <w:rStyle w:val="VerbatimChar"/>
              </w:rPr>
              <w:t xml:space="preserve">is_rct</w:t>
            </w:r>
          </w:p>
        </w:tc>
        <w:tc>
          <w:tcPr/>
          <w:p>
            <w:pPr>
              <w:pStyle w:val="Compact"/>
              <w:jc w:val="right"/>
            </w:pPr>
            <w:r>
              <w:t xml:space="preserve">71</w:t>
            </w:r>
          </w:p>
        </w:tc>
        <w:tc>
          <w:tcPr/>
          <w:p>
            <w:pPr>
              <w:pStyle w:val="Compact"/>
              <w:jc w:val="right"/>
            </w:pPr>
            <w:r>
              <w:t xml:space="preserve">98</w:t>
            </w:r>
          </w:p>
        </w:tc>
      </w:tr>
      <w:tr>
        <w:tc>
          <w:tcPr/>
          <w:p>
            <w:pPr>
              <w:pStyle w:val="Compact"/>
            </w:pPr>
            <w:r>
              <w:rPr>
                <w:rStyle w:val="VerbatimChar"/>
              </w:rPr>
              <w:t xml:space="preserve">is_academic</w:t>
            </w:r>
          </w:p>
        </w:tc>
        <w:tc>
          <w:tcPr/>
          <w:p>
            <w:pPr>
              <w:pStyle w:val="Compact"/>
              <w:jc w:val="right"/>
            </w:pPr>
            <w:r>
              <w:t xml:space="preserve">148</w:t>
            </w:r>
          </w:p>
        </w:tc>
        <w:tc>
          <w:tcPr/>
          <w:p>
            <w:pPr>
              <w:pStyle w:val="Compact"/>
              <w:jc w:val="right"/>
            </w:pPr>
            <w:r>
              <w:t xml:space="preserve">371</w:t>
            </w:r>
          </w:p>
        </w:tc>
      </w:tr>
      <w:tr>
        <w:tc>
          <w:tcPr/>
          <w:p>
            <w:pPr>
              <w:pStyle w:val="Compact"/>
            </w:pPr>
            <w:r>
              <w:rPr>
                <w:rStyle w:val="VerbatimChar"/>
              </w:rPr>
              <w:t xml:space="preserve">is_us_based</w:t>
            </w:r>
          </w:p>
        </w:tc>
        <w:tc>
          <w:tcPr/>
          <w:p>
            <w:pPr>
              <w:pStyle w:val="Compact"/>
              <w:jc w:val="right"/>
            </w:pPr>
            <w:r>
              <w:t xml:space="preserve">689</w:t>
            </w:r>
          </w:p>
        </w:tc>
        <w:tc>
          <w:tcPr/>
          <w:p>
            <w:pPr>
              <w:pStyle w:val="Compact"/>
              <w:jc w:val="right"/>
            </w:pPr>
            <w:r>
              <w:t xml:space="preserve">907</w:t>
            </w:r>
          </w:p>
        </w:tc>
      </w:tr>
      <w:tr>
        <w:tc>
          <w:tcPr/>
          <w:p>
            <w:pPr>
              <w:pStyle w:val="Compact"/>
            </w:pPr>
            <w:r>
              <w:rPr>
                <w:rStyle w:val="VerbatimChar"/>
              </w:rPr>
              <w:t xml:space="preserve">is_multicenter</w:t>
            </w:r>
          </w:p>
        </w:tc>
        <w:tc>
          <w:tcPr/>
          <w:p>
            <w:pPr>
              <w:pStyle w:val="Compact"/>
              <w:jc w:val="right"/>
            </w:pPr>
            <w:r>
              <w:t xml:space="preserve">38</w:t>
            </w:r>
          </w:p>
        </w:tc>
        <w:tc>
          <w:tcPr/>
          <w:p>
            <w:pPr>
              <w:pStyle w:val="Compact"/>
              <w:jc w:val="right"/>
            </w:pPr>
            <w:r>
              <w:t xml:space="preserve">65</w:t>
            </w:r>
          </w:p>
        </w:tc>
      </w:tr>
      <w:tr>
        <w:tc>
          <w:tcPr/>
          <w:p>
            <w:pPr>
              <w:pStyle w:val="Compact"/>
            </w:pPr>
            <w:r>
              <w:rPr>
                <w:rStyle w:val="VerbatimChar"/>
              </w:rPr>
              <w:t xml:space="preserve">has_numeric_results</w:t>
            </w:r>
          </w:p>
        </w:tc>
        <w:tc>
          <w:tcPr/>
          <w:p>
            <w:pPr>
              <w:pStyle w:val="Compact"/>
              <w:jc w:val="right"/>
            </w:pPr>
            <w:r>
              <w:t xml:space="preserve">276</w:t>
            </w:r>
          </w:p>
        </w:tc>
        <w:tc>
          <w:tcPr/>
          <w:p>
            <w:pPr>
              <w:pStyle w:val="Compact"/>
              <w:jc w:val="right"/>
            </w:pPr>
            <w:r>
              <w:t xml:space="preserve">622</w:t>
            </w:r>
          </w:p>
        </w:tc>
      </w:tr>
    </w:tbl>
    <w:p>
      <w:pPr>
        <w:pStyle w:val="BodyText"/>
      </w:pPr>
      <w:r>
        <w:t xml:space="preserve">Two rules were widened deliberately and are marked as such in the script:</w:t>
      </w:r>
      <w:r>
        <w:t xml:space="preserve"> </w:t>
      </w:r>
      <w:r>
        <w:rPr>
          <w:rStyle w:val="VerbatimChar"/>
        </w:rPr>
        <w:t xml:space="preserve">has_numeric_results</w:t>
      </w:r>
      <w:r>
        <w:t xml:space="preserve"> </w:t>
      </w:r>
      <w:r>
        <w:t xml:space="preserve">and</w:t>
      </w:r>
      <w:r>
        <w:t xml:space="preserve"> </w:t>
      </w:r>
      <w:r>
        <w:rPr>
          <w:rStyle w:val="VerbatimChar"/>
        </w:rPr>
        <w:t xml:space="preserve">result_positivity</w:t>
      </w:r>
      <w:r>
        <w:t xml:space="preserve"> </w:t>
      </w:r>
      <w:r>
        <w:t xml:space="preserve">now fall back to</w:t>
      </w:r>
      <w:r>
        <w:t xml:space="preserve"> </w:t>
      </w:r>
      <w:r>
        <w:rPr>
          <w:rStyle w:val="VerbatimChar"/>
        </w:rPr>
        <w:t xml:space="preserve">abstract_text</w:t>
      </w:r>
      <w:r>
        <w:t xml:space="preserve"> </w:t>
      </w:r>
      <w:r>
        <w:t xml:space="preserve">where the structured section columns are absent, which is every 2012–2018</w:t>
      </w:r>
      <w:r>
        <w:t xml:space="preserve"> </w:t>
      </w:r>
      <w:r>
        <w:t xml:space="preserve">abstract.</w:t>
      </w:r>
    </w:p>
    <w:p>
      <w:pPr>
        <w:pStyle w:val="BodyText"/>
      </w:pPr>
      <w:r>
        <w:t xml:space="preserve">The same script clears</w:t>
      </w:r>
      <w:r>
        <w:t xml:space="preserve"> </w:t>
      </w:r>
      <w:r>
        <w:rPr>
          <w:b/>
          <w:bCs/>
        </w:rPr>
        <w:t xml:space="preserve">96 degenerate</w:t>
      </w:r>
      <w:r>
        <w:rPr>
          <w:b/>
          <w:bCs/>
        </w:rPr>
        <w:t xml:space="preserve"> </w:t>
      </w:r>
      <w:r>
        <w:rPr>
          <w:rStyle w:val="VerbatimChar"/>
          <w:b/>
          <w:bCs/>
        </w:rPr>
        <w:t xml:space="preserve">abstract_text</w:t>
      </w:r>
      <w:r>
        <w:rPr>
          <w:b/>
          <w:bCs/>
        </w:rPr>
        <w:t xml:space="preserve"> </w:t>
      </w:r>
      <w:r>
        <w:rPr>
          <w:b/>
          <w:bCs/>
        </w:rPr>
        <w:t xml:space="preserve">values</w:t>
      </w:r>
      <w:r>
        <w:t xml:space="preserve">. The</w:t>
      </w:r>
      <w:r>
        <w:t xml:space="preserve"> </w:t>
      </w:r>
      <w:r>
        <w:t xml:space="preserve">ScienceDirect snippet backfill had written the page footnote</w:t>
      </w:r>
      <w:r>
        <w:t xml:space="preserve"> </w:t>
      </w:r>
      <w:r>
        <w:rPr>
          <w:rStyle w:val="VerbatimChar"/>
        </w:rPr>
        <w:t xml:space="preserve">"*: Corresponding author."</w:t>
      </w:r>
      <w:r>
        <w:t xml:space="preserve"> </w:t>
      </w:r>
      <w:r>
        <w:t xml:space="preserve">into all 95 abstracts of the 2018 congress and a</w:t>
      </w:r>
      <w:r>
        <w:t xml:space="preserve"> </w:t>
      </w:r>
      <w:r>
        <w:t xml:space="preserve">co-first-author footnote into one 2017 abstract. At 24 characters those passed</w:t>
      </w:r>
      <w:r>
        <w:t xml:space="preserve"> </w:t>
      </w:r>
      <w:r>
        <w:t xml:space="preserve">the</w:t>
      </w:r>
      <w:r>
        <w:t xml:space="preserve"> </w:t>
      </w:r>
      <w:r>
        <w:rPr>
          <w:rStyle w:val="VerbatimChar"/>
        </w:rPr>
        <w:t xml:space="preserve">nchar &gt;= 10</w:t>
      </w:r>
      <w:r>
        <w:t xml:space="preserve"> </w:t>
      </w:r>
      <w:r>
        <w:t xml:space="preserve">gate that</w:t>
      </w:r>
      <w:r>
        <w:t xml:space="preserve"> </w:t>
      </w:r>
      <w:r>
        <w:rPr>
          <w:rStyle w:val="VerbatimChar"/>
        </w:rPr>
        <w:t xml:space="preserve">02b</w:t>
      </w:r>
      <w:r>
        <w:t xml:space="preserve">/</w:t>
      </w:r>
      <w:r>
        <w:rPr>
          <w:rStyle w:val="VerbatimChar"/>
        </w:rPr>
        <w:t xml:space="preserve">02c</w:t>
      </w:r>
      <w:r>
        <w:t xml:space="preserve"> </w:t>
      </w:r>
      <w:r>
        <w:t xml:space="preserve">use to decide a row needs no backfill,</w:t>
      </w:r>
      <w:r>
        <w:t xml:space="preserve"> </w:t>
      </w:r>
      <w:r>
        <w:t xml:space="preserve">so the rows could never be repaired, and they displaced the title as the source</w:t>
      </w:r>
      <w:r>
        <w:t xml:space="preserve"> </w:t>
      </w:r>
      <w:r>
        <w:t xml:space="preserve">for every derived covariate. Clearing them is score-neutral: all 96 already</w:t>
      </w:r>
      <w:r>
        <w:t xml:space="preserve"> </w:t>
      </w:r>
      <w:r>
        <w:t xml:space="preserve">carried</w:t>
      </w:r>
      <w:r>
        <w:t xml:space="preserve"> </w:t>
      </w:r>
      <w:r>
        <w:rPr>
          <w:rStyle w:val="VerbatimChar"/>
        </w:rPr>
        <w:t xml:space="preserve">abstract_pts == 0</w:t>
      </w:r>
      <w:r>
        <w:t xml:space="preserve">, verified before the change.</w:t>
      </w:r>
    </w:p>
    <w:p>
      <w:pPr>
        <w:pStyle w:val="BodyText"/>
      </w:pPr>
      <w:r>
        <w:t xml:space="preserve">The residual year gradient is now confined to 2017 and 2018, which have no</w:t>
      </w:r>
      <w:r>
        <w:t xml:space="preserve"> </w:t>
      </w:r>
      <w:r>
        <w:t xml:space="preserve">recoverable abstract text at all (1 of 97 and 0 of 95) — a true absence of</w:t>
      </w:r>
      <w:r>
        <w:t xml:space="preserve"> </w:t>
      </w:r>
      <w:r>
        <w:t xml:space="preserve">evidence rather than a derivation-ordering artefact.</w:t>
      </w:r>
    </w:p>
    <w:p>
      <w:pPr>
        <w:pStyle w:val="BodyText"/>
      </w:pPr>
      <w:r>
        <w:rPr>
          <w:b/>
          <w:bCs/>
        </w:rPr>
        <w:t xml:space="preserve">This changed the models.</w:t>
      </w:r>
      <w:r>
        <w:t xml:space="preserve"> </w:t>
      </w:r>
      <w:r>
        <w:rPr>
          <w:rStyle w:val="VerbatimChar"/>
        </w:rPr>
        <w:t xml:space="preserve">is_academic</w:t>
      </w:r>
      <w:r>
        <w:t xml:space="preserve"> </w:t>
      </w:r>
      <w:r>
        <w:t xml:space="preserve">moved from HR 0.87 (p = 0.62) to</w:t>
      </w:r>
      <w:r>
        <w:t xml:space="preserve"> </w:t>
      </w:r>
      <w:r>
        <w:t xml:space="preserve">HR 0.62 (p = 0.007) and from OR 0.86 (p = 0.57) to OR 0.60 (p = 0.011). That</w:t>
      </w:r>
      <w:r>
        <w:t xml:space="preserve"> </w:t>
      </w:r>
      <w:r>
        <w:t xml:space="preserve">estimate rests on a covariate whose ascertainment more than doubled and should</w:t>
      </w:r>
      <w:r>
        <w:t xml:space="preserve"> </w:t>
      </w:r>
      <w:r>
        <w:t xml:space="preserve">be read with A15.5 alongside it.</w:t>
      </w:r>
    </w:p>
    <w:bookmarkEnd w:id="189"/>
    <w:bookmarkStart w:id="190" w:name="X0b7ec797966a7b4f52affb936169629a3cbcf12"/>
    <w:p>
      <w:pPr>
        <w:pStyle w:val="Heading3"/>
      </w:pPr>
      <w:r>
        <w:t xml:space="preserve">A15.3 Registry gender, and a dependency that moved</w:t>
      </w:r>
    </w:p>
    <w:p>
      <w:pPr>
        <w:pStyle w:val="FirstParagraph"/>
      </w:pPr>
      <w:r>
        <w:t xml:space="preserve">Tier 1 of the gender waterfall read</w:t>
      </w:r>
      <w:r>
        <w:t xml:space="preserve"> </w:t>
      </w:r>
      <w:r>
        <w:rPr>
          <w:rStyle w:val="VerbatimChar"/>
        </w:rPr>
        <w:t xml:space="preserve">npi_gender</w:t>
      </w:r>
      <w:r>
        <w:t xml:space="preserve"> </w:t>
      </w:r>
      <w:r>
        <w:t xml:space="preserve">from the ABOG</w:t>
      </w:r>
      <w:r>
        <w:t xml:space="preserve"> </w:t>
      </w:r>
      <w:r>
        <w:t xml:space="preserve">board-certification export. That export’s</w:t>
      </w:r>
      <w:r>
        <w:t xml:space="preserve"> </w:t>
      </w:r>
      <w:r>
        <w:rPr>
          <w:rStyle w:val="VerbatimChar"/>
        </w:rPr>
        <w:t xml:space="preserve">LATEST</w:t>
      </w:r>
      <w:r>
        <w:t xml:space="preserve"> </w:t>
      </w:r>
      <w:r>
        <w:t xml:space="preserve">symlink was repointed</w:t>
      </w:r>
      <w:r>
        <w:t xml:space="preserve"> </w:t>
      </w:r>
      <w:r>
        <w:t xml:space="preserve">upstream to a workforce file with</w:t>
      </w:r>
      <w:r>
        <w:t xml:space="preserve"> </w:t>
      </w:r>
      <w:r>
        <w:rPr>
          <w:b/>
          <w:bCs/>
        </w:rPr>
        <w:t xml:space="preserve">no gender column</w:t>
      </w:r>
      <w:r>
        <w:t xml:space="preserve">, 79,400 rows using</w:t>
      </w:r>
      <w:r>
        <w:t xml:space="preserve"> </w:t>
      </w:r>
      <w:r>
        <w:rPr>
          <w:rStyle w:val="VerbatimChar"/>
        </w:rPr>
        <w:t xml:space="preserve">first</w:t>
      </w:r>
      <w:r>
        <w:t xml:space="preserve">/</w:t>
      </w:r>
      <w:r>
        <w:rPr>
          <w:rStyle w:val="VerbatimChar"/>
        </w:rPr>
        <w:t xml:space="preserve">last</w:t>
      </w:r>
      <w:r>
        <w:t xml:space="preserve">/</w:t>
      </w:r>
      <w:r>
        <w:rPr>
          <w:rStyle w:val="VerbatimChar"/>
        </w:rPr>
        <w:t xml:space="preserve">middle</w:t>
      </w:r>
      <w:r>
        <w:t xml:space="preserve"> </w:t>
      </w:r>
      <w:r>
        <w:t xml:space="preserve">instead of</w:t>
      </w:r>
      <w:r>
        <w:t xml:space="preserve"> </w:t>
      </w:r>
      <w:r>
        <w:rPr>
          <w:rStyle w:val="VerbatimChar"/>
        </w:rPr>
        <w:t xml:space="preserve">first_name</w:t>
      </w:r>
      <w:r>
        <w:t xml:space="preserve">/</w:t>
      </w:r>
      <w:r>
        <w:rPr>
          <w:rStyle w:val="VerbatimChar"/>
        </w:rPr>
        <w:t xml:space="preserve">last_name</w:t>
      </w:r>
      <w:r>
        <w:t xml:space="preserve">/</w:t>
      </w:r>
      <w:r>
        <w:rPr>
          <w:rStyle w:val="VerbatimChar"/>
        </w:rPr>
        <w:t xml:space="preserve">middle_name</w:t>
      </w:r>
      <w:r>
        <w:t xml:space="preserve">, and</w:t>
      </w:r>
      <w:r>
        <w:t xml:space="preserve"> </w:t>
      </w:r>
      <w:r>
        <w:t xml:space="preserve">an NPI on only 411 rows. The shipped 256 tier-1 genders could be used but not</w:t>
      </w:r>
      <w:r>
        <w:t xml:space="preserve"> </w:t>
      </w:r>
      <w:r>
        <w:t xml:space="preserve">regenerated.</w:t>
      </w:r>
    </w:p>
    <w:p>
      <w:pPr>
        <w:pStyle w:val="BodyText"/>
      </w:pPr>
      <w:r>
        <w:rPr>
          <w:rStyle w:val="VerbatimChar"/>
        </w:rPr>
        <w:t xml:space="preserve">R/09k_gender_from_nppes.R</w:t>
      </w:r>
      <w:r>
        <w:t xml:space="preserve"> </w:t>
      </w:r>
      <w:r>
        <w:t xml:space="preserve">reads registrant-reported sex from NPPES keyed on</w:t>
      </w:r>
      <w:r>
        <w:t xml:space="preserve"> </w:t>
      </w:r>
      <w:r>
        <w:t xml:space="preserve">the NPI that</w:t>
      </w:r>
      <w:r>
        <w:t xml:space="preserve"> </w:t>
      </w:r>
      <w:r>
        <w:rPr>
          <w:rStyle w:val="VerbatimChar"/>
        </w:rPr>
        <w:t xml:space="preserve">R/10_npi_matching.R</w:t>
      </w:r>
      <w:r>
        <w:t xml:space="preserve"> </w:t>
      </w:r>
      <w:r>
        <w:t xml:space="preserve">already resolved, and is the new tier 1;</w:t>
      </w:r>
      <w:r>
        <w:t xml:space="preserve"> </w:t>
      </w:r>
      <w:r>
        <w:t xml:space="preserve">ABOG is tier 2 and still covers the four abstracts NPPES leaves blank. NPPES</w:t>
      </w:r>
      <w:r>
        <w:t xml:space="preserve"> </w:t>
      </w:r>
      <w:r>
        <w:t xml:space="preserve">resolves</w:t>
      </w:r>
      <w:r>
        <w:t xml:space="preserve"> </w:t>
      </w:r>
      <w:r>
        <w:rPr>
          <w:b/>
          <w:bCs/>
        </w:rPr>
        <w:t xml:space="preserve">263 of 265</w:t>
      </w:r>
      <w:r>
        <w:t xml:space="preserve"> </w:t>
      </w:r>
      <w:r>
        <w:t xml:space="preserve">high-confidence NPIs against ABOG’s 252, and the two</w:t>
      </w:r>
      <w:r>
        <w:t xml:space="preserve"> </w:t>
      </w:r>
      <w:r>
        <w:t xml:space="preserve">agree on</w:t>
      </w:r>
      <w:r>
        <w:t xml:space="preserve"> </w:t>
      </w:r>
      <w:r>
        <w:rPr>
          <w:b/>
          <w:bCs/>
        </w:rPr>
        <w:t xml:space="preserve">251 of 252</w:t>
      </w:r>
      <w:r>
        <w:t xml:space="preserve"> </w:t>
      </w:r>
      <w:r>
        <w:t xml:space="preserve">(99.6%).</w:t>
      </w:r>
    </w:p>
    <w:p>
      <w:pPr>
        <w:pStyle w:val="BodyText"/>
      </w:pPr>
      <w:r>
        <w:t xml:space="preserve">The reordering is justified on reproducibility, not accuracy. Coverage moved</w:t>
      </w:r>
      <w:r>
        <w:t xml:space="preserve"> </w:t>
      </w:r>
      <w:r>
        <w:t xml:space="preserve">only 1,065 → 1,066, but</w:t>
      </w:r>
      <w:r>
        <w:t xml:space="preserve"> </w:t>
      </w:r>
      <w:r>
        <w:rPr>
          <w:b/>
          <w:bCs/>
        </w:rPr>
        <w:t xml:space="preserve">11 abstracts moved from a name-inferred tier to a</w:t>
      </w:r>
      <w:r>
        <w:rPr>
          <w:b/>
          <w:bCs/>
        </w:rPr>
        <w:t xml:space="preserve"> </w:t>
      </w:r>
      <w:r>
        <w:rPr>
          <w:b/>
          <w:bCs/>
        </w:rPr>
        <w:t xml:space="preserve">registry tier</w:t>
      </w:r>
      <w:r>
        <w:t xml:space="preserve">, and four values changed — three of them replacing a name</w:t>
      </w:r>
      <w:r>
        <w:t xml:space="preserve"> </w:t>
      </w:r>
      <w:r>
        <w:t xml:space="preserve">inference, two of those resting on a single first initial: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abstract</w:t>
            </w:r>
          </w:p>
        </w:tc>
        <w:tc>
          <w:tcPr/>
          <w:p>
            <w:pPr>
              <w:pStyle w:val="Compact"/>
            </w:pPr>
            <w:r>
              <w:t xml:space="preserve">was</w:t>
            </w:r>
          </w:p>
        </w:tc>
        <w:tc>
          <w:tcPr/>
          <w:p>
            <w:pPr>
              <w:pStyle w:val="Compact"/>
            </w:pPr>
            <w:r>
              <w:t xml:space="preserve">from</w:t>
            </w:r>
          </w:p>
        </w:tc>
        <w:tc>
          <w:tcPr/>
          <w:p>
            <w:pPr>
              <w:pStyle w:val="Compact"/>
            </w:pPr>
            <w:r>
              <w:t xml:space="preserve">now</w:t>
            </w:r>
          </w:p>
        </w:tc>
      </w:tr>
      <w:tr>
        <w:tc>
          <w:tcPr/>
          <w:p>
            <w:pPr>
              <w:pStyle w:val="Compact"/>
            </w:pPr>
            <w:r>
              <w:rPr>
                <w:rStyle w:val="VerbatimChar"/>
              </w:rPr>
              <w:t xml:space="preserve">AAGL2018_021</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AAGL2021_053</w:t>
            </w:r>
          </w:p>
        </w:tc>
        <w:tc>
          <w:tcPr/>
          <w:p>
            <w:pPr>
              <w:pStyle w:val="Compact"/>
            </w:pPr>
            <w:r>
              <w:t xml:space="preserve">female</w:t>
            </w:r>
          </w:p>
        </w:tc>
        <w:tc>
          <w:tcPr/>
          <w:p>
            <w:pPr>
              <w:pStyle w:val="Compact"/>
            </w:pPr>
            <w:r>
              <w:rPr>
                <w:rStyle w:val="VerbatimChar"/>
              </w:rPr>
              <w:t xml:space="preserve">openalex_search</w:t>
            </w:r>
          </w:p>
        </w:tc>
        <w:tc>
          <w:tcPr/>
          <w:p>
            <w:pPr>
              <w:pStyle w:val="Compact"/>
            </w:pPr>
            <w:r>
              <w:t xml:space="preserve">male</w:t>
            </w:r>
          </w:p>
        </w:tc>
      </w:tr>
      <w:tr>
        <w:tc>
          <w:tcPr/>
          <w:p>
            <w:pPr>
              <w:pStyle w:val="Compact"/>
            </w:pPr>
            <w:r>
              <w:rPr>
                <w:rStyle w:val="VerbatimChar"/>
              </w:rPr>
              <w:t xml:space="preserve">AAGL2022_003</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AAGL2022_031</w:t>
            </w:r>
          </w:p>
        </w:tc>
        <w:tc>
          <w:tcPr/>
          <w:p>
            <w:pPr>
              <w:pStyle w:val="Compact"/>
            </w:pPr>
            <w:r>
              <w:t xml:space="preserve">female</w:t>
            </w:r>
          </w:p>
        </w:tc>
        <w:tc>
          <w:tcPr/>
          <w:p>
            <w:pPr>
              <w:pStyle w:val="Compact"/>
            </w:pPr>
            <w:r>
              <w:rPr>
                <w:rStyle w:val="VerbatimChar"/>
              </w:rPr>
              <w:t xml:space="preserve">npi</w:t>
            </w:r>
            <w:r>
              <w:t xml:space="preserve"> </w:t>
            </w:r>
            <w:r>
              <w:t xml:space="preserve">(ABOG)</w:t>
            </w:r>
          </w:p>
        </w:tc>
        <w:tc>
          <w:tcPr/>
          <w:p>
            <w:pPr>
              <w:pStyle w:val="Compact"/>
            </w:pPr>
            <w:r>
              <w:t xml:space="preserve">male</w:t>
            </w:r>
          </w:p>
        </w:tc>
      </w:tr>
    </w:tbl>
    <w:p>
      <w:pPr>
        <w:pStyle w:val="BodyText"/>
      </w:pPr>
      <w:r>
        <w:t xml:space="preserve">The last is the only NPPES/ABOG disagreement and is logged to</w:t>
      </w:r>
      <w:r>
        <w:t xml:space="preserve"> </w:t>
      </w:r>
      <w:r>
        <w:rPr>
          <w:rStyle w:val="VerbatimChar"/>
        </w:rPr>
        <w:t xml:space="preserve">data/processed/gender_nppes_abog_conflicts.csv</w:t>
      </w:r>
      <w:r>
        <w:t xml:space="preserve"> </w:t>
      </w:r>
      <w:r>
        <w:t xml:space="preserve">rather than resolved silently.</w:t>
      </w:r>
      <w:r>
        <w:t xml:space="preserve"> </w:t>
      </w:r>
      <w:r>
        <w:t xml:space="preserve">267 of the 1,066 resolved genders now come from a registry; 287 still rest on a</w:t>
      </w:r>
      <w:r>
        <w:t xml:space="preserve"> </w:t>
      </w:r>
      <w:r>
        <w:t xml:space="preserve">single initial.</w:t>
      </w:r>
    </w:p>
    <w:p>
      <w:pPr>
        <w:pStyle w:val="BodyText"/>
      </w:pPr>
      <w:r>
        <w:rPr>
          <w:rStyle w:val="VerbatimChar"/>
        </w:rPr>
        <w:t xml:space="preserve">R/10_npi_matching.R</w:t>
      </w:r>
      <w:r>
        <w:t xml:space="preserve"> </w:t>
      </w:r>
      <w:r>
        <w:t xml:space="preserve">was hardened at the same time. Its missing-file guard</w:t>
      </w:r>
      <w:r>
        <w:t xml:space="preserve"> </w:t>
      </w:r>
      <w:r>
        <w:t xml:space="preserve">called</w:t>
      </w:r>
      <w:r>
        <w:t xml:space="preserve"> </w:t>
      </w:r>
      <w:r>
        <w:rPr>
          <w:rStyle w:val="VerbatimChar"/>
        </w:rPr>
        <w:t xml:space="preserve">invisible(NULL)</w:t>
      </w:r>
      <w:r>
        <w:t xml:space="preserve">, which does not stop a sourced script, so a missing</w:t>
      </w:r>
      <w:r>
        <w:t xml:space="preserve"> </w:t>
      </w:r>
      <w:r>
        <w:t xml:space="preserve">pool aborted the whole pipeline at that step; the body is now conditional. The</w:t>
      </w:r>
      <w:r>
        <w:t xml:space="preserve"> </w:t>
      </w:r>
      <w:r>
        <w:t xml:space="preserve">loader maps the renamed ABOG columns and</w:t>
      </w:r>
      <w:r>
        <w:t xml:space="preserve"> </w:t>
      </w:r>
      <w:r>
        <w:rPr>
          <w:b/>
          <w:bCs/>
        </w:rPr>
        <w:t xml:space="preserve">refuses to overwrite a richer sidecar</w:t>
      </w:r>
      <w:r>
        <w:rPr>
          <w:b/>
          <w:bCs/>
        </w:rPr>
        <w:t xml:space="preserve"> </w:t>
      </w:r>
      <w:r>
        <w:rPr>
          <w:b/>
          <w:bCs/>
        </w:rPr>
        <w:t xml:space="preserve">with a poorer one</w:t>
      </w:r>
      <w:r>
        <w:t xml:space="preserve">, writing</w:t>
      </w:r>
      <w:r>
        <w:t xml:space="preserve"> </w:t>
      </w:r>
      <w:r>
        <w:rPr>
          <w:rStyle w:val="VerbatimChar"/>
        </w:rPr>
        <w:t xml:space="preserve">npi_matches_nogender.csv</w:t>
      </w:r>
      <w:r>
        <w:t xml:space="preserve"> </w:t>
      </w:r>
      <w:r>
        <w:t xml:space="preserve">instead. Both external</w:t>
      </w:r>
      <w:r>
        <w:t xml:space="preserve"> </w:t>
      </w:r>
      <w:r>
        <w:t xml:space="preserve">paths moved from hard-coded absolutes into</w:t>
      </w:r>
      <w:r>
        <w:t xml:space="preserve"> </w:t>
      </w:r>
      <w:r>
        <w:rPr>
          <w:rStyle w:val="VerbatimChar"/>
        </w:rPr>
        <w:t xml:space="preserve">config.yml: external_data</w:t>
      </w:r>
      <w:r>
        <w:t xml:space="preserve">,</w:t>
      </w:r>
      <w:r>
        <w:t xml:space="preserve"> </w:t>
      </w:r>
      <w:r>
        <w:t xml:space="preserve">overridable by</w:t>
      </w:r>
      <w:r>
        <w:t xml:space="preserve"> </w:t>
      </w:r>
      <w:r>
        <w:rPr>
          <w:rStyle w:val="VerbatimChar"/>
        </w:rPr>
        <w:t xml:space="preserve">ABOG_NPI_PATH</w:t>
      </w:r>
      <w:r>
        <w:t xml:space="preserve"> </w:t>
      </w:r>
      <w:r>
        <w:t xml:space="preserve">and</w:t>
      </w:r>
      <w:r>
        <w:t xml:space="preserve"> </w:t>
      </w:r>
      <w:r>
        <w:rPr>
          <w:rStyle w:val="VerbatimChar"/>
        </w:rPr>
        <w:t xml:space="preserve">NPPES_DUCKDB_PATH</w:t>
      </w:r>
      <w:r>
        <w:t xml:space="preserve">.</w:t>
      </w:r>
    </w:p>
    <w:bookmarkEnd w:id="190"/>
    <w:bookmarkStart w:id="191" w:name="a15.4-the-model-variable-screen"/>
    <w:p>
      <w:pPr>
        <w:pStyle w:val="Heading3"/>
      </w:pPr>
      <w:r>
        <w:t xml:space="preserve">A15.4 The model variable screen</w:t>
      </w:r>
    </w:p>
    <w:p>
      <w:pPr>
        <w:pStyle w:val="FirstParagraph"/>
      </w:pPr>
      <w:r>
        <w:t xml:space="preserve">Both models selected their terms with an inline</w:t>
      </w:r>
      <w:r>
        <w:t xml:space="preserve"> </w:t>
      </w:r>
      <w:r>
        <w:t xml:space="preserve">“&lt; 50% missing and &gt;= 2 distinct</w:t>
      </w:r>
      <w:r>
        <w:t xml:space="preserve"> </w:t>
      </w:r>
      <w:r>
        <w:t xml:space="preserve">values”</w:t>
      </w:r>
      <w:r>
        <w:t xml:space="preserve"> </w:t>
      </w:r>
      <w:r>
        <w:t xml:space="preserve">rule, written out twice and recording nothing.</w:t>
      </w:r>
      <w:r>
        <w:t xml:space="preserve"> </w:t>
      </w:r>
      <w:r>
        <w:rPr>
          <w:rStyle w:val="VerbatimChar"/>
        </w:rPr>
        <w:t xml:space="preserve">screen_model_vars()</w:t>
      </w:r>
      <w:r>
        <w:t xml:space="preserve"> </w:t>
      </w:r>
      <w:r>
        <w:t xml:space="preserve">in</w:t>
      </w:r>
      <w:r>
        <w:t xml:space="preserve"> </w:t>
      </w:r>
      <w:r>
        <w:rPr>
          <w:rStyle w:val="VerbatimChar"/>
        </w:rPr>
        <w:t xml:space="preserve">R/06_analyze_results.R</w:t>
      </w:r>
      <w:r>
        <w:t xml:space="preserve"> </w:t>
      </w:r>
      <w:r>
        <w:t xml:space="preserve">now applies one rule to both and writes a decision and</w:t>
      </w:r>
      <w:r>
        <w:t xml:space="preserve"> </w:t>
      </w:r>
      <w:r>
        <w:t xml:space="preserve">a reason for every candidate to</w:t>
      </w:r>
      <w:r>
        <w:t xml:space="preserve"> </w:t>
      </w:r>
      <w:r>
        <w:rPr>
          <w:rStyle w:val="VerbatimChar"/>
        </w:rPr>
        <w:t xml:space="preserve">output/model_variable_screen.csv</w:t>
      </w:r>
      <w:r>
        <w:t xml:space="preserve">, so the</w:t>
      </w:r>
      <w:r>
        <w:t xml:space="preserve"> </w:t>
      </w:r>
      <w:r>
        <w:t xml:space="preserve">specification is reconstructible from the outputs alone.</w:t>
      </w:r>
    </w:p>
    <w:p>
      <w:pPr>
        <w:pStyle w:val="BodyText"/>
      </w:pPr>
      <w:r>
        <w:t xml:space="preserve">Three criteria, in order: more than 50% missing; fewer than two distinct values;</w:t>
      </w:r>
      <w:r>
        <w:t xml:space="preserve"> </w:t>
      </w:r>
      <w:r>
        <w:t xml:space="preserve">and</w:t>
      </w:r>
      <w:r>
        <w:t xml:space="preserve"> </w:t>
      </w:r>
      <w:r>
        <w:rPr>
          <w:b/>
          <w:bCs/>
        </w:rPr>
        <w:t xml:space="preserve">near-zero variance</w:t>
      </w:r>
      <w:r>
        <w:t xml:space="preserve"> </w:t>
      </w:r>
      <w:r>
        <w:t xml:space="preserve">by the conventional rule (frequency ratio above 19</w:t>
      </w:r>
      <w:r>
        <w:t xml:space="preserve"> </w:t>
      </w:r>
      <w:r>
        <w:t xml:space="preserve">and distinct values below 10%). A candidate absent from the model frame is</w:t>
      </w:r>
      <w:r>
        <w:t xml:space="preserve"> </w:t>
      </w:r>
      <w:r>
        <w:t xml:space="preserve">recorded as</w:t>
      </w:r>
      <w:r>
        <w:t xml:space="preserve"> </w:t>
      </w:r>
      <w:r>
        <w:rPr>
          <w:rStyle w:val="VerbatimChar"/>
        </w:rPr>
        <w:t xml:space="preserve">absent</w:t>
      </w:r>
      <w:r>
        <w:t xml:space="preserve"> </w:t>
      </w:r>
      <w:r>
        <w:t xml:space="preserve">rather than silently removed — the candidate list is no</w:t>
      </w:r>
      <w:r>
        <w:t xml:space="preserve"> </w:t>
      </w:r>
      <w:r>
        <w:t xml:space="preserve">longer pre-intersected with</w:t>
      </w:r>
      <w:r>
        <w:t xml:space="preserve"> </w:t>
      </w:r>
      <w:r>
        <w:rPr>
          <w:rStyle w:val="VerbatimChar"/>
        </w:rPr>
        <w:t xml:space="preserve">names(km_data)</w:t>
      </w:r>
      <w:r>
        <w:t xml:space="preserve">.</w:t>
      </w:r>
    </w:p>
    <w:p>
      <w:pPr>
        <w:pStyle w:val="BodyText"/>
      </w:pPr>
      <w:r>
        <w:t xml:space="preserve">Two things this surfaced:</w:t>
      </w:r>
    </w:p>
    <w:p>
      <w:pPr>
        <w:pStyle w:val="Compact"/>
        <w:numPr>
          <w:ilvl w:val="0"/>
          <w:numId w:val="1010"/>
        </w:numPr>
      </w:pPr>
      <w:r>
        <w:rPr>
          <w:rStyle w:val="VerbatimChar"/>
          <w:b/>
          <w:bCs/>
        </w:rPr>
        <w:t xml:space="preserve">has_funding</w:t>
      </w:r>
      <w:r>
        <w:rPr>
          <w:b/>
          <w:bCs/>
        </w:rPr>
        <w:t xml:space="preserve"> </w:t>
      </w:r>
      <w:r>
        <w:rPr>
          <w:b/>
          <w:bCs/>
        </w:rPr>
        <w:t xml:space="preserve">is dropped from both models.</w:t>
      </w:r>
      <w:r>
        <w:t xml:space="preserve"> </w:t>
      </w:r>
      <w:r>
        <w:t xml:space="preserve">TRUE for 7 of 1,051 evaluated</w:t>
      </w:r>
      <w:r>
        <w:t xml:space="preserve"> </w:t>
      </w:r>
      <w:r>
        <w:t xml:space="preserve">abstracts, a frequency ratio of about 149:1. Its interval spanned an order of</w:t>
      </w:r>
      <w:r>
        <w:t xml:space="preserve"> </w:t>
      </w:r>
      <w:r>
        <w:t xml:space="preserve">magnitude in both models.</w:t>
      </w:r>
    </w:p>
    <w:p>
      <w:pPr>
        <w:pStyle w:val="Compact"/>
        <w:numPr>
          <w:ilvl w:val="0"/>
          <w:numId w:val="1010"/>
        </w:numPr>
      </w:pPr>
      <w:r>
        <w:rPr>
          <w:rStyle w:val="VerbatimChar"/>
          <w:b/>
          <w:bCs/>
        </w:rPr>
        <w:t xml:space="preserve">log_sample_size</w:t>
      </w:r>
      <w:r>
        <w:rPr>
          <w:b/>
          <w:bCs/>
        </w:rPr>
        <w:t xml:space="preserve"> </w:t>
      </w:r>
      <w:r>
        <w:rPr>
          <w:b/>
          <w:bCs/>
        </w:rPr>
        <w:t xml:space="preserve">is recorded as absent from the Cox model frame.</w:t>
      </w:r>
      <w:r>
        <w:t xml:space="preserve"> </w:t>
      </w:r>
      <w:r>
        <w:t xml:space="preserve">It has</w:t>
      </w:r>
      <w:r>
        <w:t xml:space="preserve"> </w:t>
      </w:r>
      <w:r>
        <w:t xml:space="preserve">always been listed as a Cox candidate and has never once entered the model,</w:t>
      </w:r>
      <w:r>
        <w:t xml:space="preserve"> </w:t>
      </w:r>
      <w:r>
        <w:t xml:space="preserve">because it is created inside the Aim 3 block only. That was invisible while</w:t>
      </w:r>
      <w:r>
        <w:t xml:space="preserve"> </w:t>
      </w:r>
      <w:r>
        <w:t xml:space="preserve">the candidate list was pre-intersected.</w:t>
      </w:r>
    </w:p>
    <w:p>
      <w:pPr>
        <w:pStyle w:val="FirstParagraph"/>
      </w:pPr>
      <w:r>
        <w:t xml:space="preserve">Every other coefficient moved by less than 0.03. But the Cox proportional</w:t>
      </w:r>
      <w:r>
        <w:t xml:space="preserve"> </w:t>
      </w:r>
      <w:r>
        <w:t xml:space="preserve">hazards global test moved from p = 0.056 to</w:t>
      </w:r>
      <w:r>
        <w:t xml:space="preserve"> </w:t>
      </w:r>
      <w:r>
        <w:rPr>
          <w:b/>
          <w:bCs/>
        </w:rPr>
        <w:t xml:space="preserve">p = 0.043</w:t>
      </w:r>
      <w:r>
        <w:t xml:space="preserve">, so the assumption is</w:t>
      </w:r>
      <w:r>
        <w:t xml:space="preserve"> </w:t>
      </w:r>
      <w:r>
        <w:t xml:space="preserve">now violated at α = 0.05. Removing a near-constant term made a latent violation</w:t>
      </w:r>
      <w:r>
        <w:t xml:space="preserve"> </w:t>
      </w:r>
      <w:r>
        <w:t xml:space="preserve">visible rather than creating one: the test was already only marginal at 171</w:t>
      </w:r>
      <w:r>
        <w:t xml:space="preserve"> </w:t>
      </w:r>
      <w:r>
        <w:t xml:space="preserve">events, against p = 0.32 when it had 104. The response — stratify, allow</w:t>
      </w:r>
      <w:r>
        <w:t xml:space="preserve"> </w:t>
      </w:r>
      <w:r>
        <w:t xml:space="preserve">time-varying coefficients, or report the hazard ratios explicitly as averages</w:t>
      </w:r>
      <w:r>
        <w:t xml:space="preserve"> </w:t>
      </w:r>
      <w:r>
        <w:t xml:space="preserve">over follow-up — is a methodological decision and has not been taken.</w:t>
      </w:r>
    </w:p>
    <w:p>
      <w:pPr>
        <w:pStyle w:val="BlockText"/>
      </w:pPr>
      <w:r>
        <w:rPr>
          <w:b/>
          <w:bCs/>
        </w:rPr>
        <w:t xml:space="preserve">Superseded.</w:t>
      </w:r>
      <w:r>
        <w:t xml:space="preserve"> </w:t>
      </w:r>
      <w:r>
        <w:t xml:space="preserve">That decision was taken on 2026-09-04 and is recorded in A16.</w:t>
      </w:r>
      <w:r>
        <w:t xml:space="preserve"> </w:t>
      </w:r>
      <w:r>
        <w:t xml:space="preserve">The p-values in this subsection are the values of 2026-09-04 and are left</w:t>
      </w:r>
      <w:r>
        <w:t xml:space="preserve"> </w:t>
      </w:r>
      <w:r>
        <w:t xml:space="preserve">unedited as the record of that day; every model term moved again on</w:t>
      </w:r>
      <w:r>
        <w:t xml:space="preserve"> </w:t>
      </w:r>
      <w:r>
        <w:t xml:space="preserve">2026-09-05 when the author-gender waterfall was corrected. For current</w:t>
      </w:r>
      <w:r>
        <w:t xml:space="preserve"> </w:t>
      </w:r>
      <w:r>
        <w:t xml:space="preserve">figures see A16 and</w:t>
      </w:r>
      <w:r>
        <w:t xml:space="preserve"> </w:t>
      </w:r>
      <w:r>
        <w:rPr>
          <w:rStyle w:val="VerbatimChar"/>
        </w:rPr>
        <w:t xml:space="preserve">output/</w:t>
      </w:r>
      <w:r>
        <w:t xml:space="preserve">.</w:t>
      </w:r>
      <w:r>
        <w:t xml:space="preserve"> </w:t>
      </w:r>
      <w:r>
        <w:rPr>
          <w:rStyle w:val="VerbatimChar"/>
        </w:rPr>
        <w:t xml:space="preserve">tests/testthat/test-pipeline_semantics.R</w:t>
      </w:r>
      <w:r>
        <w:t xml:space="preserve"> </w:t>
      </w:r>
      <w:r>
        <w:t xml:space="preserve">is left failing with an explanatory</w:t>
      </w:r>
      <w:r>
        <w:t xml:space="preserve"> </w:t>
      </w:r>
      <w:r>
        <w:t xml:space="preserve">message rather than relaxed.</w:t>
      </w:r>
    </w:p>
    <w:bookmarkEnd w:id="191"/>
    <w:bookmarkStart w:id="192" w:name="a15.5-how-stable-are-the-findings"/>
    <w:p>
      <w:pPr>
        <w:pStyle w:val="Heading3"/>
      </w:pPr>
      <w:r>
        <w:t xml:space="preserve">A15.5 How stable are the findings?</w:t>
      </w:r>
    </w:p>
    <w:p>
      <w:pPr>
        <w:pStyle w:val="FirstParagraph"/>
      </w:pPr>
      <w:r>
        <w:t xml:space="preserve">Neither model previously carried an influence, leave-one-out or stability</w:t>
      </w:r>
      <w:r>
        <w:t xml:space="preserve"> </w:t>
      </w:r>
      <w:r>
        <w:t xml:space="preserve">diagnostic.</w:t>
      </w:r>
      <w:r>
        <w:t xml:space="preserve"> </w:t>
      </w:r>
      <w:r>
        <w:rPr>
          <w:rStyle w:val="VerbatimChar"/>
        </w:rPr>
        <w:t xml:space="preserve">R/06d_model_stability.R</w:t>
      </w:r>
      <w:r>
        <w:t xml:space="preserve"> </w:t>
      </w:r>
      <w:r>
        <w:t xml:space="preserve">adds two, seeded from</w:t>
      </w:r>
      <w:r>
        <w:t xml:space="preserve"> </w:t>
      </w:r>
      <w:r>
        <w:rPr>
          <w:rStyle w:val="VerbatimChar"/>
        </w:rPr>
        <w:t xml:space="preserve">config.yml: pipeline$seed</w:t>
      </w:r>
      <w:r>
        <w:t xml:space="preserve">.</w:t>
      </w:r>
    </w:p>
    <w:p>
      <w:pPr>
        <w:pStyle w:val="BodyText"/>
      </w:pPr>
      <w:r>
        <w:rPr>
          <w:b/>
          <w:bCs/>
        </w:rPr>
        <w:t xml:space="preserve">Bootstrap predictor retention</w:t>
      </w:r>
      <w:r>
        <w:t xml:space="preserve">, 500 refits of the logistic model</w:t>
      </w:r>
      <w:r>
        <w:t xml:space="preserve"> </w:t>
      </w:r>
      <w:r>
        <w:t xml:space="preserve">(n = 1,011), counting how often each term stays significant at p &lt; 0.05.</w:t>
      </w:r>
      <w:r>
        <w:t xml:space="preserve"> </w:t>
      </w:r>
      <w:r>
        <w:t xml:space="preserve">These are the 2026-09-04 values, kept as the record of that run; the model was</w:t>
      </w:r>
      <w:r>
        <w:t xml:space="preserve"> </w:t>
      </w:r>
      <w:r>
        <w:t xml:space="preserve">refitted on 2026-09-05 after the gender correction and the current retention</w:t>
      </w:r>
      <w:r>
        <w:t xml:space="preserve"> </w:t>
      </w:r>
      <w:r>
        <w:t xml:space="preserve">figures are in</w:t>
      </w:r>
      <w:r>
        <w:t xml:space="preserve"> </w:t>
      </w:r>
      <w:r>
        <w:rPr>
          <w:rStyle w:val="VerbatimChar"/>
        </w:rPr>
        <w:t xml:space="preserve">output/model_predictor_stability.csv</w:t>
      </w:r>
      <w:r>
        <w:t xml:space="preserve"> </w:t>
      </w:r>
      <w:r>
        <w:t xml:space="preserve">and</w:t>
      </w:r>
      <w:r>
        <w:t xml:space="preserve"> </w:t>
      </w:r>
      <w:r>
        <w:t xml:space="preserve">docs/STATISTICAL_ANALYSIS.md: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jc w:val="right"/>
            </w:pPr>
            <w:r>
              <w:t xml:space="preserve">retained</w:t>
            </w:r>
          </w:p>
        </w:tc>
      </w:tr>
      <w:tr>
        <w:tc>
          <w:tcPr/>
          <w:p>
            <w:pPr>
              <w:pStyle w:val="Compact"/>
            </w:pPr>
            <w:r>
              <w:rPr>
                <w:rStyle w:val="VerbatimChar"/>
              </w:rPr>
              <w:t xml:space="preserve">n_authors</w:t>
            </w:r>
          </w:p>
        </w:tc>
        <w:tc>
          <w:tcPr/>
          <w:p>
            <w:pPr>
              <w:pStyle w:val="Compact"/>
              <w:jc w:val="right"/>
            </w:pPr>
            <w:r>
              <w:rPr>
                <w:b/>
                <w:bCs/>
              </w:rPr>
              <w:t xml:space="preserve">97.2%</w:t>
            </w:r>
          </w:p>
        </w:tc>
      </w:tr>
      <w:tr>
        <w:tc>
          <w:tcPr/>
          <w:p>
            <w:pPr>
              <w:pStyle w:val="Compact"/>
            </w:pPr>
            <w:r>
              <w:rPr>
                <w:rStyle w:val="VerbatimChar"/>
              </w:rPr>
              <w:t xml:space="preserve">is_rct</w:t>
            </w:r>
          </w:p>
        </w:tc>
        <w:tc>
          <w:tcPr/>
          <w:p>
            <w:pPr>
              <w:pStyle w:val="Compact"/>
              <w:jc w:val="right"/>
            </w:pPr>
            <w:r>
              <w:rPr>
                <w:b/>
                <w:bCs/>
              </w:rPr>
              <w:t xml:space="preserve">93.6%</w:t>
            </w:r>
          </w:p>
        </w:tc>
      </w:tr>
      <w:tr>
        <w:tc>
          <w:tcPr/>
          <w:p>
            <w:pPr>
              <w:pStyle w:val="Compact"/>
            </w:pPr>
            <w:r>
              <w:rPr>
                <w:rStyle w:val="VerbatimChar"/>
              </w:rPr>
              <w:t xml:space="preserve">is_academic</w:t>
            </w:r>
          </w:p>
        </w:tc>
        <w:tc>
          <w:tcPr/>
          <w:p>
            <w:pPr>
              <w:pStyle w:val="Compact"/>
              <w:jc w:val="right"/>
            </w:pPr>
            <w:r>
              <w:t xml:space="preserve">67.4%</w:t>
            </w:r>
          </w:p>
        </w:tc>
      </w:tr>
      <w:tr>
        <w:tc>
          <w:tcPr/>
          <w:p>
            <w:pPr>
              <w:pStyle w:val="Compact"/>
            </w:pPr>
            <w:r>
              <w:rPr>
                <w:rStyle w:val="VerbatimChar"/>
              </w:rPr>
              <w:t xml:space="preserve">is_us_based</w:t>
            </w:r>
          </w:p>
        </w:tc>
        <w:tc>
          <w:tcPr/>
          <w:p>
            <w:pPr>
              <w:pStyle w:val="Compact"/>
              <w:jc w:val="right"/>
            </w:pPr>
            <w:r>
              <w:t xml:space="preserve">42.4%</w:t>
            </w:r>
          </w:p>
        </w:tc>
      </w:tr>
      <w:tr>
        <w:tc>
          <w:tcPr/>
          <w:p>
            <w:pPr>
              <w:pStyle w:val="Compact"/>
            </w:pPr>
            <w:r>
              <w:rPr>
                <w:rStyle w:val="VerbatimChar"/>
              </w:rPr>
              <w:t xml:space="preserve">log_sample_size</w:t>
            </w:r>
          </w:p>
        </w:tc>
        <w:tc>
          <w:tcPr/>
          <w:p>
            <w:pPr>
              <w:pStyle w:val="Compact"/>
              <w:jc w:val="right"/>
            </w:pPr>
            <w:r>
              <w:t xml:space="preserve">27.4%</w:t>
            </w:r>
          </w:p>
        </w:tc>
      </w:tr>
      <w:tr>
        <w:tc>
          <w:tcPr/>
          <w:p>
            <w:pPr>
              <w:pStyle w:val="Compact"/>
            </w:pPr>
            <w:r>
              <w:rPr>
                <w:rStyle w:val="VerbatimChar"/>
              </w:rPr>
              <w:t xml:space="preserve">is_multicenter</w:t>
            </w:r>
          </w:p>
        </w:tc>
        <w:tc>
          <w:tcPr/>
          <w:p>
            <w:pPr>
              <w:pStyle w:val="Compact"/>
              <w:jc w:val="right"/>
            </w:pPr>
            <w:r>
              <w:t xml:space="preserve">25.0%</w:t>
            </w:r>
          </w:p>
        </w:tc>
      </w:tr>
      <w:tr>
        <w:tc>
          <w:tcPr/>
          <w:p>
            <w:pPr>
              <w:pStyle w:val="Compact"/>
            </w:pPr>
            <w:r>
              <w:rPr>
                <w:rStyle w:val="VerbatimChar"/>
              </w:rPr>
              <w:t xml:space="preserve">gender_unified</w:t>
            </w:r>
          </w:p>
        </w:tc>
        <w:tc>
          <w:tcPr/>
          <w:p>
            <w:pPr>
              <w:pStyle w:val="Compact"/>
              <w:jc w:val="right"/>
            </w:pPr>
            <w:r>
              <w:t xml:space="preserve">17.0%</w:t>
            </w:r>
          </w:p>
        </w:tc>
      </w:tr>
    </w:tbl>
    <w:p>
      <w:pPr>
        <w:pStyle w:val="BodyText"/>
      </w:pPr>
      <w:r>
        <w:rPr>
          <w:b/>
          <w:bCs/>
        </w:rPr>
        <w:t xml:space="preserve">Leave-one-congress-out</w:t>
      </w:r>
      <w:r>
        <w:t xml:space="preserve">, the model refitted twelve times dropping each</w:t>
      </w:r>
      <w:r>
        <w:t xml:space="preserve"> </w:t>
      </w:r>
      <w:r>
        <w:t xml:space="preserve">congress in turn, for all seven terms — 84 refits, all converged, no term</w:t>
      </w:r>
      <w:r>
        <w:t xml:space="preserve"> </w:t>
      </w:r>
      <w:r>
        <w:t xml:space="preserve">changing direction. This matters specifically because 2017 and 2018 have no</w:t>
      </w:r>
      <w:r>
        <w:t xml:space="preserve"> </w:t>
      </w:r>
      <w:r>
        <w:t xml:space="preserve">recoverable abstract text and their covariates are near-constant; a finding</w:t>
      </w:r>
      <w:r>
        <w:t xml:space="preserve"> </w:t>
      </w:r>
      <w:r>
        <w:t xml:space="preserve">resting on either would be an artefact.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ratio range</w:t>
            </w:r>
          </w:p>
        </w:tc>
        <w:tc>
          <w:tcPr/>
          <w:p>
            <w:pPr>
              <w:pStyle w:val="Compact"/>
              <w:jc w:val="right"/>
            </w:pPr>
            <w:r>
              <w:t xml:space="preserve">significant in</w:t>
            </w:r>
          </w:p>
        </w:tc>
      </w:tr>
      <w:tr>
        <w:tc>
          <w:tcPr/>
          <w:p>
            <w:pPr>
              <w:pStyle w:val="Compact"/>
            </w:pPr>
            <w:r>
              <w:rPr>
                <w:rStyle w:val="VerbatimChar"/>
              </w:rPr>
              <w:t xml:space="preserve">is_rctTRUE</w:t>
            </w:r>
          </w:p>
        </w:tc>
        <w:tc>
          <w:tcPr/>
          <w:p>
            <w:pPr>
              <w:pStyle w:val="Compact"/>
            </w:pPr>
            <w:r>
              <w:t xml:space="preserve">2.12 – 3.21</w:t>
            </w:r>
          </w:p>
        </w:tc>
        <w:tc>
          <w:tcPr/>
          <w:p>
            <w:pPr>
              <w:pStyle w:val="Compact"/>
              <w:jc w:val="right"/>
            </w:pPr>
            <w:r>
              <w:t xml:space="preserve">12 / 12</w:t>
            </w:r>
          </w:p>
        </w:tc>
      </w:tr>
      <w:tr>
        <w:tc>
          <w:tcPr/>
          <w:p>
            <w:pPr>
              <w:pStyle w:val="Compact"/>
            </w:pPr>
            <w:r>
              <w:rPr>
                <w:rStyle w:val="VerbatimChar"/>
              </w:rPr>
              <w:t xml:space="preserve">n_authors</w:t>
            </w:r>
          </w:p>
        </w:tc>
        <w:tc>
          <w:tcPr/>
          <w:p>
            <w:pPr>
              <w:pStyle w:val="Compact"/>
            </w:pPr>
            <w:r>
              <w:t xml:space="preserve">1.27 – 1.38</w:t>
            </w:r>
          </w:p>
        </w:tc>
        <w:tc>
          <w:tcPr/>
          <w:p>
            <w:pPr>
              <w:pStyle w:val="Compact"/>
              <w:jc w:val="right"/>
            </w:pPr>
            <w:r>
              <w:t xml:space="preserve">12 / 12</w:t>
            </w:r>
          </w:p>
        </w:tc>
      </w:tr>
      <w:tr>
        <w:tc>
          <w:tcPr/>
          <w:p>
            <w:pPr>
              <w:pStyle w:val="Compact"/>
            </w:pPr>
            <w:r>
              <w:rPr>
                <w:rStyle w:val="VerbatimChar"/>
              </w:rPr>
              <w:t xml:space="preserve">is_academicTRUE</w:t>
            </w:r>
          </w:p>
        </w:tc>
        <w:tc>
          <w:tcPr/>
          <w:p>
            <w:pPr>
              <w:pStyle w:val="Compact"/>
            </w:pPr>
            <w:r>
              <w:t xml:space="preserve">0.55 – 0.66</w:t>
            </w:r>
          </w:p>
        </w:tc>
        <w:tc>
          <w:tcPr/>
          <w:p>
            <w:pPr>
              <w:pStyle w:val="Compact"/>
              <w:jc w:val="right"/>
            </w:pPr>
            <w:r>
              <w:t xml:space="preserve">12 / 12</w:t>
            </w:r>
          </w:p>
        </w:tc>
      </w:tr>
      <w:tr>
        <w:tc>
          <w:tcPr/>
          <w:p>
            <w:pPr>
              <w:pStyle w:val="Compact"/>
            </w:pPr>
            <w:r>
              <w:rPr>
                <w:rStyle w:val="VerbatimChar"/>
              </w:rPr>
              <w:t xml:space="preserve">is_us_basedTRUE</w:t>
            </w:r>
          </w:p>
        </w:tc>
        <w:tc>
          <w:tcPr/>
          <w:p>
            <w:pPr>
              <w:pStyle w:val="Compact"/>
            </w:pPr>
            <w:r>
              <w:t xml:space="preserve">1.15 – 5.31</w:t>
            </w:r>
          </w:p>
        </w:tc>
        <w:tc>
          <w:tcPr/>
          <w:p>
            <w:pPr>
              <w:pStyle w:val="Compact"/>
              <w:jc w:val="right"/>
            </w:pPr>
            <w:r>
              <w:t xml:space="preserve">3 / 12</w:t>
            </w:r>
          </w:p>
        </w:tc>
      </w:tr>
      <w:tr>
        <w:tc>
          <w:tcPr/>
          <w:p>
            <w:pPr>
              <w:pStyle w:val="Compact"/>
            </w:pPr>
            <w:r>
              <w:rPr>
                <w:rStyle w:val="VerbatimChar"/>
              </w:rPr>
              <w:t xml:space="preserve">is_multicenterTRUE</w:t>
            </w:r>
          </w:p>
        </w:tc>
        <w:tc>
          <w:tcPr/>
          <w:p>
            <w:pPr>
              <w:pStyle w:val="Compact"/>
            </w:pPr>
            <w:r>
              <w:t xml:space="preserve">1.28 – 1.82</w:t>
            </w:r>
          </w:p>
        </w:tc>
        <w:tc>
          <w:tcPr/>
          <w:p>
            <w:pPr>
              <w:pStyle w:val="Compact"/>
              <w:jc w:val="right"/>
            </w:pPr>
            <w:r>
              <w:t xml:space="preserve">0 / 12</w:t>
            </w:r>
          </w:p>
        </w:tc>
      </w:tr>
      <w:tr>
        <w:tc>
          <w:tcPr/>
          <w:p>
            <w:pPr>
              <w:pStyle w:val="Compact"/>
            </w:pPr>
            <w:r>
              <w:rPr>
                <w:rStyle w:val="VerbatimChar"/>
              </w:rPr>
              <w:t xml:space="preserve">gender_unifiedmale</w:t>
            </w:r>
          </w:p>
        </w:tc>
        <w:tc>
          <w:tcPr/>
          <w:p>
            <w:pPr>
              <w:pStyle w:val="Compact"/>
            </w:pPr>
            <w:r>
              <w:t xml:space="preserve">0.78 – 0.90</w:t>
            </w:r>
          </w:p>
        </w:tc>
        <w:tc>
          <w:tcPr/>
          <w:p>
            <w:pPr>
              <w:pStyle w:val="Compact"/>
              <w:jc w:val="right"/>
            </w:pPr>
            <w:r>
              <w:t xml:space="preserve">0 / 12</w:t>
            </w:r>
          </w:p>
        </w:tc>
      </w:tr>
      <w:tr>
        <w:tc>
          <w:tcPr/>
          <w:p>
            <w:pPr>
              <w:pStyle w:val="Compact"/>
            </w:pPr>
            <w:r>
              <w:rPr>
                <w:rStyle w:val="VerbatimChar"/>
              </w:rPr>
              <w:t xml:space="preserve">log_sample_size</w:t>
            </w:r>
          </w:p>
        </w:tc>
        <w:tc>
          <w:tcPr/>
          <w:p>
            <w:pPr>
              <w:pStyle w:val="Compact"/>
            </w:pPr>
            <w:r>
              <w:t xml:space="preserve">0.92 – 0.97</w:t>
            </w:r>
          </w:p>
        </w:tc>
        <w:tc>
          <w:tcPr/>
          <w:p>
            <w:pPr>
              <w:pStyle w:val="Compact"/>
              <w:jc w:val="right"/>
            </w:pPr>
            <w:r>
              <w:t xml:space="preserve">1 / 12</w:t>
            </w:r>
          </w:p>
        </w:tc>
      </w:tr>
    </w:tbl>
    <w:p>
      <w:pPr>
        <w:pStyle w:val="BodyText"/>
      </w:pPr>
      <w:r>
        <w:t xml:space="preserve">The two diagnostics disagree about</w:t>
      </w:r>
      <w:r>
        <w:t xml:space="preserve"> </w:t>
      </w:r>
      <w:r>
        <w:rPr>
          <w:rStyle w:val="VerbatimChar"/>
        </w:rPr>
        <w:t xml:space="preserve">is_academic</w:t>
      </w:r>
      <w:r>
        <w:t xml:space="preserve">, and the disagreement is the</w:t>
      </w:r>
      <w:r>
        <w:t xml:space="preserve"> </w:t>
      </w:r>
      <w:r>
        <w:t xml:space="preserve">useful part. It is significant in</w:t>
      </w:r>
      <w:r>
        <w:t xml:space="preserve"> </w:t>
      </w:r>
      <w:r>
        <w:rPr>
          <w:b/>
          <w:bCs/>
        </w:rPr>
        <w:t xml:space="preserve">all twelve</w:t>
      </w:r>
      <w:r>
        <w:t xml:space="preserve"> </w:t>
      </w:r>
      <w:r>
        <w:t xml:space="preserve">congress-drop refits, so it is</w:t>
      </w:r>
      <w:r>
        <w:t xml:space="preserve"> </w:t>
      </w:r>
      <w:r>
        <w:t xml:space="preserve">not driven by any single congress, but survives only</w:t>
      </w:r>
      <w:r>
        <w:t xml:space="preserve"> </w:t>
      </w:r>
      <w:r>
        <w:rPr>
          <w:b/>
          <w:bCs/>
        </w:rPr>
        <w:t xml:space="preserve">67.4%</w:t>
      </w:r>
      <w:r>
        <w:t xml:space="preserve"> </w:t>
      </w:r>
      <w:r>
        <w:t xml:space="preserve">of bootstrap</w:t>
      </w:r>
      <w:r>
        <w:t xml:space="preserve"> </w:t>
      </w:r>
      <w:r>
        <w:t xml:space="preserve">resamples, so it is sensitive to which</w:t>
      </w:r>
      <w:r>
        <w:t xml:space="preserve"> </w:t>
      </w:r>
      <w:r>
        <w:rPr>
          <w:i/>
          <w:iCs/>
        </w:rPr>
        <w:t xml:space="preserve">abstracts</w:t>
      </w:r>
      <w:r>
        <w:t xml:space="preserve"> </w:t>
      </w:r>
      <w:r>
        <w:t xml:space="preserve">are drawn. They measure</w:t>
      </w:r>
      <w:r>
        <w:t xml:space="preserve"> </w:t>
      </w:r>
      <w:r>
        <w:t xml:space="preserve">different things.</w:t>
      </w:r>
      <w:r>
        <w:t xml:space="preserve"> </w:t>
      </w:r>
      <w:r>
        <w:rPr>
          <w:rStyle w:val="VerbatimChar"/>
        </w:rPr>
        <w:t xml:space="preserve">is_academic</w:t>
      </w:r>
      <w:r>
        <w:t xml:space="preserve"> </w:t>
      </w:r>
      <w:r>
        <w:t xml:space="preserve">should be reported with that qualification</w:t>
      </w:r>
      <w:r>
        <w:t xml:space="preserve"> </w:t>
      </w:r>
      <w:r>
        <w:t xml:space="preserve">rather than as a headline.</w:t>
      </w:r>
      <w:r>
        <w:t xml:space="preserve"> </w:t>
      </w: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pass both.</w:t>
      </w:r>
    </w:p>
    <w:bookmarkEnd w:id="192"/>
    <w:bookmarkStart w:id="193" w:name="a15.6-missing-data"/>
    <w:p>
      <w:pPr>
        <w:pStyle w:val="Heading3"/>
      </w:pPr>
      <w:r>
        <w:t xml:space="preserve">A15.6 Missing data</w:t>
      </w:r>
    </w:p>
    <w:p>
      <w:pPr>
        <w:pStyle w:val="FirstParagraph"/>
      </w:pPr>
      <w:r>
        <w:t xml:space="preserve">The Methods stated</w:t>
      </w:r>
      <w:r>
        <w:t xml:space="preserve"> </w:t>
      </w:r>
      <w:r>
        <w:t xml:space="preserve">“complete-case throughout, no imputation”</w:t>
      </w:r>
      <w:r>
        <w:t xml:space="preserve"> </w:t>
      </w:r>
      <w:r>
        <w:t xml:space="preserve">and reported no</w:t>
      </w:r>
      <w:r>
        <w:t xml:space="preserve"> </w:t>
      </w:r>
      <w:r>
        <w:t xml:space="preserve">missingness table and no mechanism test.</w:t>
      </w:r>
      <w:r>
        <w:t xml:space="preserve"> </w:t>
      </w:r>
      <w:r>
        <w:rPr>
          <w:rStyle w:val="VerbatimChar"/>
        </w:rPr>
        <w:t xml:space="preserve">R/06b_missingness.R</w:t>
      </w:r>
      <w:r>
        <w:t xml:space="preserve"> </w:t>
      </w:r>
      <w:r>
        <w:t xml:space="preserve">produces both.</w:t>
      </w:r>
    </w:p>
    <w:p>
      <w:pPr>
        <w:pStyle w:val="BodyText"/>
      </w:pPr>
      <w:r>
        <w:t xml:space="preserve">Little’s MCAR test over the numeric block gives chi-square 28.8, df 7,</w:t>
      </w:r>
      <w:r>
        <w:t xml:space="preserve"> </w:t>
      </w:r>
      <w:r>
        <w:rPr>
          <w:b/>
          <w:bCs/>
        </w:rPr>
        <w:t xml:space="preserve">p = 0.00015</w:t>
      </w:r>
      <w:r>
        <w:t xml:space="preserve"> </w:t>
      </w:r>
      <w:r>
        <w:t xml:space="preserve">— MCAR is rejected. Two caveats travel with that and are written</w:t>
      </w:r>
      <w:r>
        <w:t xml:space="preserve"> </w:t>
      </w:r>
      <w:r>
        <w:t xml:space="preserve">into</w:t>
      </w:r>
      <w:r>
        <w:t xml:space="preserve"> </w:t>
      </w:r>
      <w:r>
        <w:rPr>
          <w:rStyle w:val="VerbatimChar"/>
        </w:rPr>
        <w:t xml:space="preserve">output/missingness_mcar.csv</w:t>
      </w:r>
      <w:r>
        <w:t xml:space="preserve"> </w:t>
      </w:r>
      <w:r>
        <w:t xml:space="preserve">rather than left implicit: the test covers</w:t>
      </w:r>
      <w:r>
        <w:t xml:space="preserve"> </w:t>
      </w:r>
      <w:r>
        <w:t xml:space="preserve">only the numeric variables, and at N = 1,106 it is powered enough to reject on</w:t>
      </w:r>
      <w:r>
        <w:t xml:space="preserve"> </w:t>
      </w:r>
      <w:r>
        <w:t xml:space="preserve">minor deviations.</w:t>
      </w:r>
    </w:p>
    <w:p>
      <w:pPr>
        <w:pStyle w:val="BodyText"/>
      </w:pPr>
      <w:r>
        <w:t xml:space="preserve">More consequentially, the script tests the assumption the denominator rests on</w:t>
      </w:r>
      <w:r>
        <w:t xml:space="preserve"> </w:t>
      </w:r>
      <w:r>
        <w:t xml:space="preserve">by comparing the 55 unresolved abstracts against the 1,051 evaluated across</w:t>
      </w:r>
      <w:r>
        <w:t xml:space="preserve"> </w:t>
      </w:r>
      <w:r>
        <w:t xml:space="preserve">every model covariate: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covariate</w:t>
            </w:r>
          </w:p>
        </w:tc>
        <w:tc>
          <w:tcPr/>
          <w:p>
            <w:pPr>
              <w:pStyle w:val="Compact"/>
              <w:jc w:val="right"/>
            </w:pPr>
            <w:r>
              <w:t xml:space="preserve">unresolved</w:t>
            </w:r>
          </w:p>
        </w:tc>
        <w:tc>
          <w:tcPr/>
          <w:p>
            <w:pPr>
              <w:pStyle w:val="Compact"/>
              <w:jc w:val="right"/>
            </w:pPr>
            <w:r>
              <w:t xml:space="preserve">evaluated</w:t>
            </w:r>
          </w:p>
        </w:tc>
        <w:tc>
          <w:tcPr/>
          <w:p>
            <w:pPr>
              <w:pStyle w:val="Compact"/>
              <w:jc w:val="right"/>
            </w:pPr>
            <w:r>
              <w:t xml:space="preserve">p</w:t>
            </w:r>
          </w:p>
        </w:tc>
        <w:tc>
          <w:tcPr/>
          <w:p>
            <w:pPr>
              <w:pStyle w:val="Compact"/>
            </w:pPr>
          </w:p>
        </w:tc>
      </w:tr>
      <w:tr>
        <w:tc>
          <w:tcPr/>
          <w:p>
            <w:pPr>
              <w:pStyle w:val="Compact"/>
            </w:pPr>
            <w:r>
              <w:rPr>
                <w:rStyle w:val="VerbatimChar"/>
              </w:rPr>
              <w:t xml:space="preserve">study_design</w:t>
            </w:r>
          </w:p>
        </w:tc>
        <w:tc>
          <w:tcPr/>
          <w:p>
            <w:pPr>
              <w:pStyle w:val="Compact"/>
              <w:jc w:val="right"/>
            </w:pPr>
            <w:r>
              <w:t xml:space="preserve">—</w:t>
            </w:r>
          </w:p>
        </w:tc>
        <w:tc>
          <w:tcPr/>
          <w:p>
            <w:pPr>
              <w:pStyle w:val="Compact"/>
              <w:jc w:val="right"/>
            </w:pPr>
            <w:r>
              <w:t xml:space="preserve">—</w:t>
            </w:r>
          </w:p>
        </w:tc>
        <w:tc>
          <w:tcPr/>
          <w:p>
            <w:pPr>
              <w:pStyle w:val="Compact"/>
              <w:jc w:val="right"/>
            </w:pPr>
            <w:r>
              <w:t xml:space="preserve">0.0004</w:t>
            </w:r>
          </w:p>
        </w:tc>
        <w:tc>
          <w:tcPr/>
          <w:p>
            <w:pPr>
              <w:pStyle w:val="Compact"/>
            </w:pPr>
            <w:r>
              <w:rPr>
                <w:b/>
                <w:bCs/>
              </w:rPr>
              <w:t xml:space="preserve">substantive</w:t>
            </w:r>
          </w:p>
        </w:tc>
      </w:tr>
      <w:tr>
        <w:tc>
          <w:tcPr/>
          <w:p>
            <w:pPr>
              <w:pStyle w:val="Compact"/>
            </w:pPr>
            <w:r>
              <w:rPr>
                <w:rStyle w:val="VerbatimChar"/>
              </w:rPr>
              <w:t xml:space="preserve">n_authors</w:t>
            </w:r>
          </w:p>
        </w:tc>
        <w:tc>
          <w:tcPr/>
          <w:p>
            <w:pPr>
              <w:pStyle w:val="Compact"/>
              <w:jc w:val="right"/>
            </w:pPr>
            <w:r>
              <w:t xml:space="preserve">3.51</w:t>
            </w:r>
          </w:p>
        </w:tc>
        <w:tc>
          <w:tcPr/>
          <w:p>
            <w:pPr>
              <w:pStyle w:val="Compact"/>
              <w:jc w:val="right"/>
            </w:pPr>
            <w:r>
              <w:t xml:space="preserve">3.90</w:t>
            </w:r>
          </w:p>
        </w:tc>
        <w:tc>
          <w:tcPr/>
          <w:p>
            <w:pPr>
              <w:pStyle w:val="Compact"/>
              <w:jc w:val="right"/>
            </w:pPr>
            <w:r>
              <w:t xml:space="preserve">0.013</w:t>
            </w:r>
          </w:p>
        </w:tc>
        <w:tc>
          <w:tcPr/>
          <w:p>
            <w:pPr>
              <w:pStyle w:val="Compact"/>
            </w:pPr>
            <w:r>
              <w:rPr>
                <w:b/>
                <w:bCs/>
              </w:rPr>
              <w:t xml:space="preserve">substantive</w:t>
            </w:r>
          </w:p>
        </w:tc>
      </w:tr>
      <w:tr>
        <w:tc>
          <w:tcPr/>
          <w:p>
            <w:pPr>
              <w:pStyle w:val="Compact"/>
            </w:pPr>
            <w:r>
              <w:rPr>
                <w:rStyle w:val="VerbatimChar"/>
              </w:rPr>
              <w:t xml:space="preserve">best_score</w:t>
            </w:r>
          </w:p>
        </w:tc>
        <w:tc>
          <w:tcPr/>
          <w:p>
            <w:pPr>
              <w:pStyle w:val="Compact"/>
              <w:jc w:val="right"/>
            </w:pPr>
            <w:r>
              <w:t xml:space="preserve">4.72</w:t>
            </w:r>
          </w:p>
        </w:tc>
        <w:tc>
          <w:tcPr/>
          <w:p>
            <w:pPr>
              <w:pStyle w:val="Compact"/>
              <w:jc w:val="right"/>
            </w:pPr>
            <w:r>
              <w:t xml:space="preserve">3.23</w:t>
            </w:r>
          </w:p>
        </w:tc>
        <w:tc>
          <w:tcPr/>
          <w:p>
            <w:pPr>
              <w:pStyle w:val="Compact"/>
              <w:jc w:val="right"/>
            </w:pPr>
            <w:r>
              <w:t xml:space="preserve">&lt;0.001</w:t>
            </w:r>
          </w:p>
        </w:tc>
        <w:tc>
          <w:tcPr/>
          <w:p>
            <w:pPr>
              <w:pStyle w:val="Compact"/>
            </w:pPr>
            <w:r>
              <w:t xml:space="preserve">definitional</w:t>
            </w:r>
          </w:p>
        </w:tc>
      </w:tr>
      <w:tr>
        <w:tc>
          <w:tcPr/>
          <w:p>
            <w:pPr>
              <w:pStyle w:val="Compact"/>
            </w:pPr>
            <w:r>
              <w:rPr>
                <w:rStyle w:val="VerbatimChar"/>
              </w:rPr>
              <w:t xml:space="preserve">n_candidates</w:t>
            </w:r>
          </w:p>
        </w:tc>
        <w:tc>
          <w:tcPr/>
          <w:p>
            <w:pPr>
              <w:pStyle w:val="Compact"/>
              <w:jc w:val="right"/>
            </w:pPr>
            <w:r>
              <w:t xml:space="preserve">94.6</w:t>
            </w:r>
          </w:p>
        </w:tc>
        <w:tc>
          <w:tcPr/>
          <w:p>
            <w:pPr>
              <w:pStyle w:val="Compact"/>
              <w:jc w:val="right"/>
            </w:pPr>
            <w:r>
              <w:t xml:space="preserve">56.6</w:t>
            </w:r>
          </w:p>
        </w:tc>
        <w:tc>
          <w:tcPr/>
          <w:p>
            <w:pPr>
              <w:pStyle w:val="Compact"/>
              <w:jc w:val="right"/>
            </w:pPr>
            <w:r>
              <w:t xml:space="preserve">0.22</w:t>
            </w:r>
          </w:p>
        </w:tc>
        <w:tc>
          <w:tcPr/>
          <w:p>
            <w:pPr>
              <w:pStyle w:val="Compact"/>
            </w:pPr>
            <w:r>
              <w:t xml:space="preserve">definitional</w:t>
            </w:r>
          </w:p>
        </w:tc>
      </w:tr>
    </w:tbl>
    <w:p>
      <w:pPr>
        <w:pStyle w:val="BodyText"/>
      </w:pPr>
      <w:r>
        <w:rPr>
          <w:rStyle w:val="VerbatimChar"/>
        </w:rPr>
        <w:t xml:space="preserve">best_score</w:t>
      </w:r>
      <w:r>
        <w:t xml:space="preserve"> </w:t>
      </w:r>
      <w:r>
        <w:t xml:space="preserve">and</w:t>
      </w:r>
      <w:r>
        <w:t xml:space="preserve"> </w:t>
      </w:r>
      <w:r>
        <w:rPr>
          <w:rStyle w:val="VerbatimChar"/>
        </w:rPr>
        <w:t xml:space="preserve">n_candidates</w:t>
      </w:r>
      <w:r>
        <w:t xml:space="preserve"> </w:t>
      </w:r>
      <w:r>
        <w:t xml:space="preserve">must differ: the unresolved are the mid-score</w:t>
      </w:r>
      <w:r>
        <w:t xml:space="preserve"> </w:t>
      </w:r>
      <w:r>
        <w:t xml:space="preserve">band by construction and the comparison group holds 709</w:t>
      </w:r>
      <w:r>
        <w:t xml:space="preserve"> </w:t>
      </w:r>
      <w:r>
        <w:rPr>
          <w:rStyle w:val="VerbatimChar"/>
        </w:rPr>
        <w:t xml:space="preserve">no_match</w:t>
      </w:r>
      <w:r>
        <w:t xml:space="preserve"> </w:t>
      </w:r>
      <w:r>
        <w:t xml:space="preserve">abstracts.</w:t>
      </w:r>
      <w:r>
        <w:t xml:space="preserve"> </w:t>
      </w:r>
      <w:r>
        <w:t xml:space="preserve">They are labelled definitional and excluded from the verdict.</w:t>
      </w:r>
    </w:p>
    <w:p>
      <w:pPr>
        <w:pStyle w:val="BodyText"/>
      </w:pPr>
      <w:r>
        <w:rPr>
          <w:b/>
          <w:bCs/>
        </w:rPr>
        <w:t xml:space="preserve">The 55 are not missing completely at random.</w:t>
      </w:r>
      <w:r>
        <w:t xml:space="preserve"> </w:t>
      </w:r>
      <w:r>
        <w:t xml:space="preserve">They differ on</w:t>
      </w:r>
      <w:r>
        <w:t xml:space="preserve"> </w:t>
      </w:r>
      <w:r>
        <w:rPr>
          <w:rStyle w:val="VerbatimChar"/>
        </w:rPr>
        <w:t xml:space="preserve">study_design</w:t>
      </w:r>
      <w:r>
        <w:t xml:space="preserve"> </w:t>
      </w:r>
      <w:r>
        <w:t xml:space="preserve">and on</w:t>
      </w:r>
      <w:r>
        <w:t xml:space="preserve"> </w:t>
      </w:r>
      <w:r>
        <w:rPr>
          <w:rStyle w:val="VerbatimChar"/>
        </w:rPr>
        <w:t xml:space="preserve">n_authors</w:t>
      </w:r>
      <w:r>
        <w:t xml:space="preserve">, and</w:t>
      </w:r>
      <w:r>
        <w:t xml:space="preserve"> </w:t>
      </w:r>
      <w:r>
        <w:rPr>
          <w:rStyle w:val="VerbatimChar"/>
        </w:rPr>
        <w:t xml:space="preserve">n_authors</w:t>
      </w:r>
      <w:r>
        <w:t xml:space="preserve"> </w:t>
      </w:r>
      <w:r>
        <w:t xml:space="preserve">is a significant predictor in both models.</w:t>
      </w:r>
      <w:r>
        <w:t xml:space="preserve"> </w:t>
      </w:r>
      <w:r>
        <w:t xml:space="preserve">Dropping them from the denominator assumes missing-at-random</w:t>
      </w:r>
      <w:r>
        <w:t xml:space="preserve"> </w:t>
      </w:r>
      <w:r>
        <w:rPr>
          <w:i/>
          <w:iCs/>
        </w:rPr>
        <w:t xml:space="preserve">given the observed</w:t>
      </w:r>
      <w:r>
        <w:rPr>
          <w:i/>
          <w:iCs/>
        </w:rPr>
        <w:t xml:space="preserve"> </w:t>
      </w:r>
      <w:r>
        <w:rPr>
          <w:i/>
          <w:iCs/>
        </w:rPr>
        <w:t xml:space="preserve">data</w:t>
      </w:r>
      <w:r>
        <w:t xml:space="preserve">, which is weaker and untestable. The bounds in A13 — 16.1% if all were</w:t>
      </w:r>
      <w:r>
        <w:t xml:space="preserve"> </w:t>
      </w:r>
      <w:r>
        <w:t xml:space="preserve">unpublished, 21.1% if all were published — are the honest envelope, and this</w:t>
      </w:r>
      <w:r>
        <w:t xml:space="preserve"> </w:t>
      </w:r>
      <w:r>
        <w:t xml:space="preserve">result is the reason to quote them.</w:t>
      </w:r>
    </w:p>
    <w:bookmarkEnd w:id="193"/>
    <w:bookmarkStart w:id="194" w:name="X246f9010855e97a42de4a4bd99cdda120c13eb6"/>
    <w:p>
      <w:pPr>
        <w:pStyle w:val="Heading3"/>
      </w:pPr>
      <w:r>
        <w:t xml:space="preserve">A15.7 Structural fixes with no effect on the numbers</w:t>
      </w:r>
    </w:p>
    <w:p>
      <w:pPr>
        <w:pStyle w:val="Compact"/>
        <w:numPr>
          <w:ilvl w:val="0"/>
          <w:numId w:val="1011"/>
        </w:numPr>
      </w:pPr>
      <w:r>
        <w:rPr>
          <w:rStyle w:val="VerbatimChar"/>
          <w:b/>
          <w:bCs/>
        </w:rPr>
        <w:t xml:space="preserve">R/05_adjudicate.R</w:t>
      </w:r>
      <w:r>
        <w:rPr>
          <w:b/>
          <w:bCs/>
        </w:rPr>
        <w:t xml:space="preserve"> </w:t>
      </w:r>
      <w:r>
        <w:rPr>
          <w:b/>
          <w:bCs/>
        </w:rPr>
        <w:t xml:space="preserve">no longer destroys the enrichment columns.</w:t>
      </w:r>
      <w:r>
        <w:t xml:space="preserve"> </w:t>
      </w:r>
      <w:r>
        <w:t xml:space="preserve">It rebuilds</w:t>
      </w:r>
      <w:r>
        <w:t xml:space="preserve"> </w:t>
      </w:r>
      <w:r>
        <w:rPr>
          <w:rStyle w:val="VerbatimChar"/>
        </w:rPr>
        <w:t xml:space="preserve">output/abstracts_with_matches.csv</w:t>
      </w:r>
      <w:r>
        <w:t xml:space="preserve"> </w:t>
      </w:r>
      <w:r>
        <w:t xml:space="preserve">from scratch with 46 columns while six</w:t>
      </w:r>
      <w:r>
        <w:t xml:space="preserve"> </w:t>
      </w:r>
      <w:r>
        <w:t xml:space="preserve">later stages add the rest in place, so re-running step 5 alone used to delete</w:t>
      </w:r>
      <w:r>
        <w:t xml:space="preserve"> </w:t>
      </w:r>
      <w:r>
        <w:t xml:space="preserve">41 columns and</w:t>
      </w:r>
      <w:r>
        <w:t xml:space="preserve"> </w:t>
      </w:r>
      <w:r>
        <w:rPr>
          <w:rStyle w:val="VerbatimChar"/>
        </w:rPr>
        <w:t xml:space="preserve">06</w:t>
      </w:r>
      <w:r>
        <w:t xml:space="preserve"> </w:t>
      </w:r>
      <w:r>
        <w:t xml:space="preserve">would then silently drop those model terms. It now</w:t>
      </w:r>
      <w:r>
        <w:t xml:space="preserve"> </w:t>
      </w:r>
      <w:r>
        <w:t xml:space="preserve">re-joins any column it does not own.</w:t>
      </w:r>
    </w:p>
    <w:p>
      <w:pPr>
        <w:pStyle w:val="Compact"/>
        <w:numPr>
          <w:ilvl w:val="0"/>
          <w:numId w:val="1011"/>
        </w:numPr>
      </w:pPr>
      <w:r>
        <w:rPr>
          <w:rStyle w:val="VerbatimChar"/>
          <w:b/>
          <w:bCs/>
        </w:rPr>
        <w:t xml:space="preserve">00_run_all.R</w:t>
      </w:r>
      <w:r>
        <w:rPr>
          <w:b/>
          <w:bCs/>
        </w:rPr>
        <w:t xml:space="preserve"> </w:t>
      </w:r>
      <w:r>
        <w:rPr>
          <w:b/>
          <w:bCs/>
        </w:rPr>
        <w:t xml:space="preserve">runs the demographics merge.</w:t>
      </w:r>
      <w:r>
        <w:t xml:space="preserve"> </w:t>
      </w:r>
      <w:r>
        <w:rPr>
          <w:rStyle w:val="VerbatimChar"/>
        </w:rPr>
        <w:t xml:space="preserve">R/10e_merge_demographics.R</w:t>
      </w:r>
      <w:r>
        <w:t xml:space="preserve"> </w:t>
      </w:r>
      <w:r>
        <w:t xml:space="preserve">and its four upstream scripts were reachable only through</w:t>
      </w:r>
      <w:r>
        <w:t xml:space="preserve"> </w:t>
      </w:r>
      <w:r>
        <w:rPr>
          <w:rStyle w:val="VerbatimChar"/>
        </w:rPr>
        <w:t xml:space="preserve">R/run_demographics.R</w:t>
      </w:r>
      <w:r>
        <w:t xml:space="preserve">, so a clean run of the master pipeline produced a</w:t>
      </w:r>
      <w:r>
        <w:t xml:space="preserve"> </w:t>
      </w:r>
      <w:r>
        <w:t xml:space="preserve">dataset with no</w:t>
      </w:r>
      <w:r>
        <w:t xml:space="preserve"> </w:t>
      </w:r>
      <w:r>
        <w:rPr>
          <w:rStyle w:val="VerbatimChar"/>
        </w:rPr>
        <w:t xml:space="preserve">gender_unified</w:t>
      </w:r>
      <w:r>
        <w:t xml:space="preserve">, no</w:t>
      </w:r>
      <w:r>
        <w:t xml:space="preserve"> </w:t>
      </w:r>
      <w:r>
        <w:rPr>
          <w:rStyle w:val="VerbatimChar"/>
        </w:rPr>
        <w:t xml:space="preserve">npi_*</w:t>
      </w:r>
      <w:r>
        <w:t xml:space="preserve"> </w:t>
      </w:r>
      <w:r>
        <w:t xml:space="preserve">and no</w:t>
      </w:r>
      <w:r>
        <w:t xml:space="preserve"> </w:t>
      </w:r>
      <w:r>
        <w:rPr>
          <w:rStyle w:val="VerbatimChar"/>
        </w:rPr>
        <w:t xml:space="preserve">state_unified</w:t>
      </w:r>
      <w:r>
        <w:t xml:space="preserve">.</w:t>
      </w:r>
    </w:p>
    <w:p>
      <w:pPr>
        <w:pStyle w:val="Compact"/>
        <w:numPr>
          <w:ilvl w:val="0"/>
          <w:numId w:val="1011"/>
        </w:numPr>
      </w:pPr>
      <w:r>
        <w:rPr>
          <w:rStyle w:val="VerbatimChar"/>
          <w:b/>
          <w:bCs/>
        </w:rPr>
        <w:t xml:space="preserve">07</w:t>
      </w:r>
      <w:r>
        <w:rPr>
          <w:b/>
          <w:bCs/>
        </w:rPr>
        <w:t xml:space="preserve"> </w:t>
      </w:r>
      <w:r>
        <w:rPr>
          <w:b/>
          <w:bCs/>
        </w:rPr>
        <w:t xml:space="preserve">and</w:t>
      </w:r>
      <w:r>
        <w:rPr>
          <w:b/>
          <w:bCs/>
        </w:rPr>
        <w:t xml:space="preserve"> </w:t>
      </w:r>
      <w:r>
        <w:rPr>
          <w:rStyle w:val="VerbatimChar"/>
          <w:b/>
          <w:bCs/>
        </w:rPr>
        <w:t xml:space="preserve">08</w:t>
      </w:r>
      <w:r>
        <w:rPr>
          <w:b/>
          <w:bCs/>
        </w:rPr>
        <w:t xml:space="preserve"> </w:t>
      </w:r>
      <w:r>
        <w:rPr>
          <w:b/>
          <w:bCs/>
        </w:rPr>
        <w:t xml:space="preserve">source</w:t>
      </w:r>
      <w:r>
        <w:rPr>
          <w:b/>
          <w:bCs/>
        </w:rPr>
        <w:t xml:space="preserve"> </w:t>
      </w:r>
      <w:r>
        <w:rPr>
          <w:rStyle w:val="VerbatimChar"/>
          <w:b/>
          <w:bCs/>
        </w:rPr>
        <w:t xml:space="preserve">R/utils_decisions.R</w:t>
      </w:r>
      <w:r>
        <w:t xml:space="preserve"> </w:t>
      </w:r>
      <w:r>
        <w:t xml:space="preserve">instead of each carrying an</w:t>
      </w:r>
      <w:r>
        <w:t xml:space="preserve"> </w:t>
      </w:r>
      <w:r>
        <w:t xml:space="preserve">inline copy of the outcome cascade that omitted the human-outranks-AUTO rule.</w:t>
      </w:r>
    </w:p>
    <w:p>
      <w:pPr>
        <w:pStyle w:val="Compact"/>
        <w:numPr>
          <w:ilvl w:val="0"/>
          <w:numId w:val="1011"/>
        </w:numPr>
      </w:pPr>
      <w:r>
        <w:rPr>
          <w:rStyle w:val="VerbatimChar"/>
          <w:b/>
          <w:bCs/>
        </w:rPr>
        <w:t xml:space="preserve">result_positivity</w:t>
      </w:r>
      <w:r>
        <w:rPr>
          <w:b/>
          <w:bCs/>
        </w:rPr>
        <w:t xml:space="preserve"> </w:t>
      </w:r>
      <w:r>
        <w:rPr>
          <w:b/>
          <w:bCs/>
        </w:rPr>
        <w:t xml:space="preserve">restored</w:t>
      </w:r>
      <w:r>
        <w:t xml:space="preserve"> </w:t>
      </w:r>
      <w:r>
        <w:t xml:space="preserve">to</w:t>
      </w:r>
      <w:r>
        <w:t xml:space="preserve"> </w:t>
      </w:r>
      <w:r>
        <w:rPr>
          <w:rStyle w:val="VerbatimChar"/>
        </w:rPr>
        <w:t xml:space="preserve">05</w:t>
      </w:r>
      <w:r>
        <w:t xml:space="preserve">’s</w:t>
      </w:r>
      <w:r>
        <w:t xml:space="preserve"> </w:t>
      </w:r>
      <w:r>
        <w:rPr>
          <w:rStyle w:val="VerbatimChar"/>
        </w:rPr>
        <w:t xml:space="preserve">select()</w:t>
      </w:r>
      <w:r>
        <w:t xml:space="preserve">, so the Aim 5</w:t>
      </w:r>
      <w:r>
        <w:t xml:space="preserve"> </w:t>
      </w:r>
      <w:r>
        <w:t xml:space="preserve">publication-bias block runs again after being silently gated off since</w:t>
      </w:r>
      <w:r>
        <w:t xml:space="preserve"> </w:t>
      </w:r>
      <w:r>
        <w:t xml:space="preserve">17 April 2026.</w:t>
      </w:r>
    </w:p>
    <w:p>
      <w:pPr>
        <w:pStyle w:val="Compact"/>
        <w:numPr>
          <w:ilvl w:val="0"/>
          <w:numId w:val="1011"/>
        </w:numPr>
      </w:pPr>
      <w:r>
        <w:rPr>
          <w:rStyle w:val="VerbatimChar"/>
          <w:b/>
          <w:bCs/>
        </w:rPr>
        <w:t xml:space="preserve">subspecialty_unified</w:t>
      </w:r>
      <w:r>
        <w:rPr>
          <w:b/>
          <w:bCs/>
        </w:rPr>
        <w:t xml:space="preserve"> </w:t>
      </w:r>
      <w:r>
        <w:rPr>
          <w:b/>
          <w:bCs/>
        </w:rPr>
        <w:t xml:space="preserve">harmonised</w:t>
      </w:r>
      <w:r>
        <w:t xml:space="preserve"> </w:t>
      </w:r>
      <w:r>
        <w:t xml:space="preserve">from 13 levels to 8.</w:t>
      </w:r>
      <w:r>
        <w:t xml:space="preserve"> </w:t>
      </w:r>
      <w:r>
        <w:rPr>
          <w:rStyle w:val="VerbatimChar"/>
        </w:rPr>
        <w:t xml:space="preserve">MIG</w:t>
      </w:r>
      <w:r>
        <w:t xml:space="preserve">/</w:t>
      </w:r>
      <w:r>
        <w:rPr>
          <w:rStyle w:val="VerbatimChar"/>
        </w:rPr>
        <w:t xml:space="preserve">MIGS</w:t>
      </w:r>
      <w:r>
        <w:t xml:space="preserve">,</w:t>
      </w:r>
      <w:r>
        <w:t xml:space="preserve"> </w:t>
      </w:r>
      <w:r>
        <w:rPr>
          <w:rStyle w:val="VerbatimChar"/>
        </w:rPr>
        <w:t xml:space="preserve">FPMRS</w:t>
      </w:r>
      <w:r>
        <w:t xml:space="preserve"> </w:t>
      </w:r>
      <w:r>
        <w:t xml:space="preserve">and its spelled-out form,</w:t>
      </w:r>
      <w:r>
        <w:t xml:space="preserve"> </w:t>
      </w:r>
      <w:r>
        <w:rPr>
          <w:rStyle w:val="VerbatimChar"/>
        </w:rPr>
        <w:t xml:space="preserve">Generalist</w:t>
      </w:r>
      <w:r>
        <w:t xml:space="preserve">/</w:t>
      </w:r>
      <w:r>
        <w:rPr>
          <w:rStyle w:val="VerbatimChar"/>
        </w:rPr>
        <w:t xml:space="preserve">general_OBGYN</w:t>
      </w:r>
      <w:r>
        <w:t xml:space="preserve"> </w:t>
      </w:r>
      <w:r>
        <w:t xml:space="preserve">were splitting</w:t>
      </w:r>
      <w:r>
        <w:t xml:space="preserve"> </w:t>
      </w:r>
      <w:r>
        <w:t xml:space="preserve">real categories in two.</w:t>
      </w:r>
    </w:p>
    <w:p>
      <w:pPr>
        <w:pStyle w:val="Compact"/>
        <w:numPr>
          <w:ilvl w:val="0"/>
          <w:numId w:val="1011"/>
        </w:numPr>
      </w:pPr>
      <w:r>
        <w:rPr>
          <w:b/>
          <w:bCs/>
        </w:rPr>
        <w:t xml:space="preserve">Thirteen joins in</w:t>
      </w:r>
      <w:r>
        <w:rPr>
          <w:b/>
          <w:bCs/>
        </w:rPr>
        <w:t xml:space="preserve"> </w:t>
      </w:r>
      <w:r>
        <w:rPr>
          <w:rStyle w:val="VerbatimChar"/>
          <w:b/>
          <w:bCs/>
        </w:rPr>
        <w:t xml:space="preserve">10e</w:t>
      </w:r>
      <w:r>
        <w:t xml:space="preserve"> </w:t>
      </w:r>
      <w:r>
        <w:t xml:space="preserve">now validate key uniqueness on the right table</w:t>
      </w:r>
      <w:r>
        <w:t xml:space="preserve"> </w:t>
      </w:r>
      <w:r>
        <w:t xml:space="preserve">before joining rather than checking the row count afterwards.</w:t>
      </w:r>
    </w:p>
    <w:p>
      <w:pPr>
        <w:pStyle w:val="Compact"/>
        <w:numPr>
          <w:ilvl w:val="0"/>
          <w:numId w:val="1011"/>
        </w:numPr>
      </w:pPr>
      <w:r>
        <w:rPr>
          <w:b/>
          <w:bCs/>
        </w:rPr>
        <w:t xml:space="preserve">The Shiny deploy verifies before it can publish</w:t>
      </w:r>
      <w:r>
        <w:t xml:space="preserve"> </w:t>
      </w:r>
      <w:r>
        <w:t xml:space="preserve">and is opt-in behind</w:t>
      </w:r>
      <w:r>
        <w:t xml:space="preserve"> </w:t>
      </w:r>
      <w:r>
        <w:rPr>
          <w:rStyle w:val="VerbatimChar"/>
        </w:rPr>
        <w:t xml:space="preserve">SHINY_DEPLOY</w:t>
      </w:r>
      <w:r>
        <w:t xml:space="preserve">. The bundle had been 135 days stale, so reviewers were</w:t>
      </w:r>
      <w:r>
        <w:t xml:space="preserve"> </w:t>
      </w:r>
      <w:r>
        <w:t xml:space="preserve">adjudicating against a pre-denominator-fix cohort and a candidate pool missing</w:t>
      </w:r>
      <w:r>
        <w:t xml:space="preserve"> </w:t>
      </w:r>
      <w:r>
        <w:t xml:space="preserve">283 winning PMIDs.</w:t>
      </w:r>
    </w:p>
    <w:bookmarkEnd w:id="194"/>
    <w:bookmarkStart w:id="195" w:name="a15.8-borrowed-code"/>
    <w:p>
      <w:pPr>
        <w:pStyle w:val="Heading3"/>
      </w:pPr>
      <w:r>
        <w:t xml:space="preserve">A15.8 Borrowed code</w:t>
      </w:r>
    </w:p>
    <w:p>
      <w:pPr>
        <w:pStyle w:val="FirstParagraph"/>
      </w:pPr>
      <w:r>
        <w:t xml:space="preserve">Five functions come from the</w:t>
      </w:r>
      <w:r>
        <w:t xml:space="preserve"> </w:t>
      </w:r>
      <w:r>
        <w:rPr>
          <w:rStyle w:val="VerbatimChar"/>
        </w:rPr>
        <w:t xml:space="preserve">mysterycall</w:t>
      </w:r>
      <w:r>
        <w:t xml:space="preserve"> </w:t>
      </w:r>
      <w:r>
        <w:t xml:space="preserve">package, pinned at commit</w:t>
      </w:r>
      <w:r>
        <w:t xml:space="preserve"> </w:t>
      </w:r>
      <w:r>
        <w:rPr>
          <w:rStyle w:val="VerbatimChar"/>
        </w:rPr>
        <w:t xml:space="preserve">42d66d92</w:t>
      </w:r>
      <w:r>
        <w:t xml:space="preserve"> </w:t>
      </w:r>
      <w:r>
        <w:t xml:space="preserve">in</w:t>
      </w:r>
      <w:r>
        <w:t xml:space="preserve"> </w:t>
      </w:r>
      <w:r>
        <w:rPr>
          <w:rStyle w:val="VerbatimChar"/>
        </w:rPr>
        <w:t xml:space="preserve">docs/REPRODUCIBILITY.md</w:t>
      </w:r>
      <w:r>
        <w:t xml:space="preserve">. Every use degrades to the previous</w:t>
      </w:r>
      <w:r>
        <w:t xml:space="preserve"> </w:t>
      </w:r>
      <w:r>
        <w:t xml:space="preserve">behaviour if the package is absent.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what it replaced</w:t>
            </w:r>
          </w:p>
        </w:tc>
      </w:tr>
      <w:tr>
        <w:tc>
          <w:tcPr/>
          <w:p>
            <w:pPr>
              <w:pStyle w:val="Compact"/>
            </w:pPr>
            <w:r>
              <w:rPr>
                <w:rStyle w:val="VerbatimChar"/>
              </w:rPr>
              <w:t xml:space="preserve">mysterycall_nppes_gender()</w:t>
            </w:r>
          </w:p>
        </w:tc>
        <w:tc>
          <w:tcPr/>
          <w:p>
            <w:pPr>
              <w:pStyle w:val="Compact"/>
            </w:pPr>
            <w:r>
              <w:t xml:space="preserve">the unregenerable ABOG gender column (A15.3)</w:t>
            </w:r>
          </w:p>
        </w:tc>
      </w:tr>
      <w:tr>
        <w:tc>
          <w:tcPr/>
          <w:p>
            <w:pPr>
              <w:pStyle w:val="Compact"/>
            </w:pPr>
            <w:r>
              <w:rPr>
                <w:rStyle w:val="VerbatimChar"/>
              </w:rPr>
              <w:t xml:space="preserve">mysterycall_table1()</w:t>
            </w:r>
          </w:p>
        </w:tc>
        <w:tc>
          <w:tcPr/>
          <w:p>
            <w:pPr>
              <w:pStyle w:val="Compact"/>
            </w:pPr>
            <w:r>
              <w:t xml:space="preserve">a five-variable summarise with no test, now 35 rows over 10 variables with p-values</w:t>
            </w:r>
          </w:p>
        </w:tc>
      </w:tr>
      <w:tr>
        <w:tc>
          <w:tcPr/>
          <w:p>
            <w:pPr>
              <w:pStyle w:val="Compact"/>
            </w:pPr>
            <w:r>
              <w:rPr>
                <w:rStyle w:val="VerbatimChar"/>
              </w:rPr>
              <w:t xml:space="preserve">mysterycall_safe_left_join()</w:t>
            </w:r>
          </w:p>
        </w:tc>
        <w:tc>
          <w:tcPr/>
          <w:p>
            <w:pPr>
              <w:pStyle w:val="Compact"/>
            </w:pPr>
            <w:r>
              <w:t xml:space="preserve">a row-count assertion after the fact</w:t>
            </w:r>
          </w:p>
        </w:tc>
      </w:tr>
      <w:tr>
        <w:tc>
          <w:tcPr/>
          <w:p>
            <w:pPr>
              <w:pStyle w:val="Compact"/>
            </w:pPr>
            <w:r>
              <w:rPr>
                <w:rStyle w:val="VerbatimChar"/>
              </w:rPr>
              <w:t xml:space="preserve">build_missingness_mcar_table()</w:t>
            </w:r>
          </w:p>
        </w:tc>
        <w:tc>
          <w:tcPr/>
          <w:p>
            <w:pPr>
              <w:pStyle w:val="Compact"/>
            </w:pPr>
            <w:r>
              <w:t xml:space="preserve">nothing — there was no missingness reporting (A15.6)</w:t>
            </w:r>
          </w:p>
        </w:tc>
      </w:tr>
      <w:tr>
        <w:tc>
          <w:tcPr/>
          <w:p>
            <w:pPr>
              <w:pStyle w:val="Compact"/>
            </w:pPr>
            <w:r>
              <w:rPr>
                <w:rStyle w:val="VerbatimChar"/>
              </w:rPr>
              <w:t xml:space="preserve">mysterycall_bootstrap_predictor_stability()</w:t>
            </w:r>
            <w:r>
              <w:t xml:space="preserve">,</w:t>
            </w:r>
            <w:r>
              <w:t xml:space="preserve"> </w:t>
            </w:r>
            <w:r>
              <w:rPr>
                <w:rStyle w:val="VerbatimChar"/>
              </w:rPr>
              <w:t xml:space="preserve">mysterycall_leave_one_out()</w:t>
            </w:r>
          </w:p>
        </w:tc>
        <w:tc>
          <w:tcPr/>
          <w:p>
            <w:pPr>
              <w:pStyle w:val="Compact"/>
            </w:pPr>
            <w:r>
              <w:t xml:space="preserve">nothing — there were no stability diagnostics (A15.5)</w:t>
            </w:r>
          </w:p>
        </w:tc>
      </w:tr>
      <w:tr>
        <w:tc>
          <w:tcPr/>
          <w:p>
            <w:pPr>
              <w:pStyle w:val="Compact"/>
            </w:pPr>
            <w:r>
              <w:rPr>
                <w:rStyle w:val="VerbatimChar"/>
              </w:rPr>
              <w:t xml:space="preserve">mysterycall_remove_near_zero()</w:t>
            </w:r>
          </w:p>
        </w:tc>
        <w:tc>
          <w:tcPr/>
          <w:p>
            <w:pPr>
              <w:pStyle w:val="Compact"/>
            </w:pPr>
            <w:r>
              <w:t xml:space="preserve">a judgement call about sparse terms, now a rule (A15.4)</w:t>
            </w:r>
          </w:p>
        </w:tc>
      </w:tr>
      <w:tr>
        <w:tc>
          <w:tcPr/>
          <w:p>
            <w:pPr>
              <w:pStyle w:val="Compact"/>
            </w:pPr>
            <w:r>
              <w:rPr>
                <w:rStyle w:val="VerbatimChar"/>
              </w:rPr>
              <w:t xml:space="preserve">mysterycall_session_snapshot()</w:t>
            </w:r>
          </w:p>
        </w:tc>
        <w:tc>
          <w:tcPr/>
          <w:p>
            <w:pPr>
              <w:pStyle w:val="Compact"/>
            </w:pPr>
            <w:r>
              <w:t xml:space="preserve">nothing — the environment was unrecorded</w:t>
            </w:r>
          </w:p>
        </w:tc>
      </w:tr>
    </w:tbl>
    <w:p>
      <w:pPr>
        <w:pStyle w:val="BodyText"/>
      </w:pPr>
      <w:r>
        <w:t xml:space="preserve">Assessed and</w:t>
      </w:r>
      <w:r>
        <w:t xml:space="preserve"> </w:t>
      </w:r>
      <w:r>
        <w:rPr>
          <w:b/>
          <w:bCs/>
        </w:rPr>
        <w:t xml:space="preserve">not</w:t>
      </w:r>
      <w:r>
        <w:t xml:space="preserve"> </w:t>
      </w:r>
      <w:r>
        <w:t xml:space="preserve">taken:</w:t>
      </w:r>
      <w:r>
        <w:t xml:space="preserve"> </w:t>
      </w:r>
      <w:r>
        <w:rPr>
          <w:rStyle w:val="VerbatimChar"/>
        </w:rPr>
        <w:t xml:space="preserve">model_metrics()</w:t>
      </w:r>
      <w:r>
        <w:t xml:space="preserve"> </w:t>
      </w:r>
      <w:r>
        <w:t xml:space="preserve">returns only MAE and RMSE;</w:t>
      </w:r>
      <w:r>
        <w:t xml:space="preserve"> </w:t>
      </w:r>
      <w:r>
        <w:rPr>
          <w:rStyle w:val="VerbatimChar"/>
        </w:rPr>
        <w:t xml:space="preserve">parse_physician_name()</w:t>
      </w:r>
      <w:r>
        <w:t xml:space="preserve"> </w:t>
      </w:r>
      <w:r>
        <w:t xml:space="preserve">is no better than</w:t>
      </w:r>
      <w:r>
        <w:t xml:space="preserve"> </w:t>
      </w:r>
      <w:r>
        <w:rPr>
          <w:rStyle w:val="VerbatimChar"/>
        </w:rPr>
        <w:t xml:space="preserve">normalize_author()</w:t>
      </w:r>
      <w:r>
        <w:t xml:space="preserve"> </w:t>
      </w:r>
      <w:r>
        <w:t xml:space="preserve">on these author</w:t>
      </w:r>
      <w:r>
        <w:t xml:space="preserve"> </w:t>
      </w:r>
      <w:r>
        <w:t xml:space="preserve">strings; the</w:t>
      </w:r>
      <w:r>
        <w:t xml:space="preserve"> </w:t>
      </w:r>
      <w:r>
        <w:rPr>
          <w:rStyle w:val="VerbatimChar"/>
        </w:rPr>
        <w:t xml:space="preserve">utils-logging</w:t>
      </w:r>
      <w:r>
        <w:t xml:space="preserve"> </w:t>
      </w:r>
      <w:r>
        <w:t xml:space="preserve">functions are not exported;</w:t>
      </w:r>
      <w:r>
        <w:t xml:space="preserve"> </w:t>
      </w:r>
      <w:r>
        <w:rPr>
          <w:rStyle w:val="VerbatimChar"/>
        </w:rPr>
        <w:t xml:space="preserve">verify_artifact()</w:t>
      </w:r>
      <w:r>
        <w:t xml:space="preserve"> </w:t>
      </w:r>
      <w:r>
        <w:t xml:space="preserve">requires the package’s own audit JSON;</w:t>
      </w:r>
      <w:r>
        <w:t xml:space="preserve"> </w:t>
      </w:r>
      <w:r>
        <w:rPr>
          <w:rStyle w:val="VerbatimChar"/>
        </w:rPr>
        <w:t xml:space="preserve">exclusion_summary()</w:t>
      </w:r>
      <w:r>
        <w:t xml:space="preserve"> </w:t>
      </w:r>
      <w:r>
        <w:t xml:space="preserve">and</w:t>
      </w:r>
      <w:r>
        <w:t xml:space="preserve"> </w:t>
      </w:r>
      <w:r>
        <w:rPr>
          <w:rStyle w:val="VerbatimChar"/>
        </w:rPr>
        <w:t xml:space="preserve">reconcile_inclusion()</w:t>
      </w:r>
      <w:r>
        <w:t xml:space="preserve"> </w:t>
      </w:r>
      <w:r>
        <w:t xml:space="preserve">are hard-wired to mystery-caller exclusion codes.</w:t>
      </w:r>
    </w:p>
    <w:p>
      <w:pPr>
        <w:pStyle w:val="BodyText"/>
      </w:pPr>
      <w:r>
        <w:t xml:space="preserve">One useful negative:</w:t>
      </w:r>
      <w:r>
        <w:t xml:space="preserve"> </w:t>
      </w:r>
      <w:r>
        <w:rPr>
          <w:rStyle w:val="VerbatimChar"/>
        </w:rPr>
        <w:t xml:space="preserve">mysterycall_flag_near_duplicate_keys()</w:t>
      </w:r>
      <w:r>
        <w:t xml:space="preserve"> </w:t>
      </w:r>
      <w:r>
        <w:t xml:space="preserve">over all 1,106</w:t>
      </w:r>
      <w:r>
        <w:t xml:space="preserve"> </w:t>
      </w:r>
      <w:r>
        <w:t xml:space="preserve">titles found</w:t>
      </w:r>
      <w:r>
        <w:t xml:space="preserve"> </w:t>
      </w:r>
      <w:r>
        <w:rPr>
          <w:b/>
          <w:bCs/>
        </w:rPr>
        <w:t xml:space="preserve">zero</w:t>
      </w:r>
      <w:r>
        <w:t xml:space="preserve"> </w:t>
      </w:r>
      <w:r>
        <w:t xml:space="preserve">near-duplicate pairs. The cohort holds no duplicate</w:t>
      </w:r>
      <w:r>
        <w:t xml:space="preserve"> </w:t>
      </w:r>
      <w:r>
        <w:t xml:space="preserve">submissions, and the two 2019</w:t>
      </w:r>
      <w:r>
        <w:t xml:space="preserve"> </w:t>
      </w:r>
      <w:r>
        <w:t xml:space="preserve">“Occult Uterine Malignancy”</w:t>
      </w:r>
      <w:r>
        <w:t xml:space="preserve"> </w:t>
      </w:r>
      <w:r>
        <w:t xml:space="preserve">abstracts that share a</w:t>
      </w:r>
      <w:r>
        <w:t xml:space="preserve"> </w:t>
      </w:r>
      <w:r>
        <w:t xml:space="preserve">publication are genuinely different abstracts rather than a duplication error.</w:t>
      </w:r>
    </w:p>
    <w:bookmarkEnd w:id="195"/>
    <w:bookmarkStart w:id="196" w:name="a15.9-what-was-deliberately-not-fixed"/>
    <w:p>
      <w:pPr>
        <w:pStyle w:val="Heading3"/>
      </w:pPr>
      <w:r>
        <w:t xml:space="preserve">A15.9 What was deliberately not fixed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why</w:t>
            </w:r>
          </w:p>
        </w:tc>
      </w:tr>
      <w:tr>
        <w:tc>
          <w:tcPr/>
          <w:p>
            <w:pPr>
              <w:pStyle w:val="Compact"/>
            </w:pPr>
            <w:r>
              <w:rPr>
                <w:b/>
                <w:bCs/>
              </w:rPr>
              <w:t xml:space="preserve">Cohort truncation (A14, F1)</w:t>
            </w:r>
          </w:p>
        </w:tc>
        <w:tc>
          <w:tcPr/>
          <w:p>
            <w:pPr>
              <w:pStyle w:val="Compact"/>
            </w:pPr>
            <w:r>
              <w:t xml:space="preserve">Re-ingesting the supplements would expand the cohort several-fold and require the entire search and human adjudication to be redone.</w:t>
            </w:r>
          </w:p>
        </w:tc>
      </w:tr>
      <w:tr>
        <w:tc>
          <w:tcPr/>
          <w:p>
            <w:pPr>
              <w:pStyle w:val="Compact"/>
            </w:pPr>
            <w:r>
              <w:rPr>
                <w:b/>
                <w:bCs/>
              </w:rPr>
              <w:t xml:space="preserve">The inert</w:t>
            </w:r>
            <w:r>
              <w:rPr>
                <w:b/>
                <w:bCs/>
              </w:rPr>
              <w:t xml:space="preserve"> </w:t>
            </w:r>
            <w:r>
              <w:rPr>
                <w:rStyle w:val="VerbatimChar"/>
                <w:b/>
                <w:bCs/>
              </w:rPr>
              <w:t xml:space="preserve">keyword_pts</w:t>
            </w:r>
            <w:r>
              <w:rPr>
                <w:b/>
                <w:bCs/>
              </w:rPr>
              <w:t xml:space="preserve"> </w:t>
            </w:r>
            <w:r>
              <w:rPr>
                <w:b/>
                <w:bCs/>
              </w:rPr>
              <w:t xml:space="preserve">component</w:t>
            </w:r>
          </w:p>
        </w:tc>
        <w:tc>
          <w:tcPr/>
          <w:p>
            <w:pPr>
              <w:pStyle w:val="Compact"/>
            </w:pPr>
            <w:r>
              <w:rPr>
                <w:rStyle w:val="VerbatimChar"/>
              </w:rPr>
              <w:t xml:space="preserve">keyword_pts</w:t>
            </w:r>
            <w:r>
              <w:t xml:space="preserve"> </w:t>
            </w:r>
            <w:r>
              <w:t xml:space="preserve">is 0 for all 1,106 abstracts, so the</w:t>
            </w:r>
            <w:r>
              <w:t xml:space="preserve"> </w:t>
            </w:r>
            <w:r>
              <w:t xml:space="preserve">“10-component”</w:t>
            </w:r>
            <w:r>
              <w:t xml:space="preserve"> </w:t>
            </w:r>
            <w:r>
              <w:t xml:space="preserve">score has nine live components. Fixing it changes every score and therefore every classification, invalidating the adjudication.</w:t>
            </w:r>
          </w:p>
        </w:tc>
      </w:tr>
      <w:tr>
        <w:tc>
          <w:tcPr/>
          <w:p>
            <w:pPr>
              <w:pStyle w:val="Compact"/>
            </w:pPr>
            <w:r>
              <w:rPr>
                <w:rStyle w:val="VerbatimChar"/>
                <w:b/>
                <w:bCs/>
              </w:rPr>
              <w:t xml:space="preserve">ArticleDate</w:t>
            </w:r>
            <w:r>
              <w:rPr>
                <w:b/>
                <w:bCs/>
              </w:rPr>
              <w:t xml:space="preserve"> </w:t>
            </w:r>
            <w:r>
              <w:rPr>
                <w:b/>
                <w:bCs/>
              </w:rPr>
              <w:t xml:space="preserve">for publication dating (F14)</w:t>
            </w:r>
          </w:p>
        </w:tc>
        <w:tc>
          <w:tcPr/>
          <w:p>
            <w:pPr>
              <w:pStyle w:val="Compact"/>
            </w:pPr>
            <w:r>
              <w:t xml:space="preserve">Same re-scoring consequence. Eleven pre-congress exclusions rest on year-only dates resolved to 1 January.</w:t>
            </w:r>
          </w:p>
        </w:tc>
      </w:tr>
      <w:tr>
        <w:tc>
          <w:tcPr/>
          <w:p>
            <w:pPr>
              <w:pStyle w:val="Compact"/>
            </w:pPr>
            <w:r>
              <w:rPr>
                <w:b/>
                <w:bCs/>
              </w:rPr>
              <w:t xml:space="preserve">Three PMIDs credited to two abstracts each (F17)</w:t>
            </w:r>
          </w:p>
        </w:tc>
        <w:tc>
          <w:tcPr/>
          <w:p>
            <w:pPr>
              <w:pStyle w:val="Compact"/>
            </w:pPr>
            <w:r>
              <w:t xml:space="preserve">Deciding which abstract owns each PMID is adjudication. Surfaced in</w:t>
            </w:r>
            <w:r>
              <w:t xml:space="preserve"> </w:t>
            </w:r>
            <w:r>
              <w:rPr>
                <w:rStyle w:val="VerbatimChar"/>
              </w:rPr>
              <w:t xml:space="preserve">final_pmid_shared</w:t>
            </w:r>
            <w:r>
              <w:t xml:space="preserve"> </w:t>
            </w:r>
            <w:r>
              <w:t xml:space="preserve">and</w:t>
            </w:r>
            <w:r>
              <w:t xml:space="preserve"> </w:t>
            </w:r>
            <w:r>
              <w:rPr>
                <w:rStyle w:val="VerbatimChar"/>
              </w:rPr>
              <w:t xml:space="preserve">output/shared_publication_matches.csv</w:t>
            </w:r>
            <w:r>
              <w:t xml:space="preserve">. One is counted published against an explicit reviewer</w:t>
            </w:r>
            <w:r>
              <w:t xml:space="preserve"> </w:t>
            </w:r>
            <w:r>
              <w:rPr>
                <w:rStyle w:val="VerbatimChar"/>
              </w:rPr>
              <w:t xml:space="preserve">no_match</w:t>
            </w:r>
            <w:r>
              <w:t xml:space="preserve">.</w:t>
            </w:r>
          </w:p>
        </w:tc>
      </w:tr>
      <w:tr>
        <w:tc>
          <w:tcPr/>
          <w:p>
            <w:pPr>
              <w:pStyle w:val="Compact"/>
            </w:pPr>
            <w:r>
              <w:rPr>
                <w:strike/>
              </w:rPr>
              <w:t xml:space="preserve">The proportional-hazards violation (A15.4)</w:t>
            </w:r>
          </w:p>
        </w:tc>
        <w:tc>
          <w:tcPr/>
          <w:p>
            <w:pPr>
              <w:pStyle w:val="Compact"/>
            </w:pPr>
            <w:r>
              <w:rPr>
                <w:b/>
                <w:bCs/>
              </w:rPr>
              <w:t xml:space="preserve">Resolved 2026-09-04.</w:t>
            </w:r>
            <w:r>
              <w:t xml:space="preserve"> </w:t>
            </w:r>
            <w:r>
              <w:t xml:space="preserve">See A16.</w:t>
            </w:r>
          </w:p>
        </w:tc>
      </w:tr>
      <w:tr>
        <w:tc>
          <w:tcPr/>
          <w:p>
            <w:pPr>
              <w:pStyle w:val="Compact"/>
            </w:pPr>
            <w:r>
              <w:rPr>
                <w:rStyle w:val="VerbatimChar"/>
                <w:b/>
                <w:bCs/>
              </w:rPr>
              <w:t xml:space="preserve">search_strategy_efficacy.csv</w:t>
            </w:r>
          </w:p>
        </w:tc>
        <w:tc>
          <w:tcPr/>
          <w:p>
            <w:pPr>
              <w:pStyle w:val="Compact"/>
            </w:pPr>
            <w:r>
              <w:t xml:space="preserve">Regenerating it means re-running the whole search layer.</w:t>
            </w:r>
          </w:p>
        </w:tc>
      </w:tr>
      <w:tr>
        <w:tc>
          <w:tcPr/>
          <w:p>
            <w:pPr>
              <w:pStyle w:val="Compact"/>
            </w:pPr>
            <w:r>
              <w:rPr>
                <w:b/>
                <w:bCs/>
              </w:rPr>
              <w:t xml:space="preserve">The branch order in</w:t>
            </w:r>
            <w:r>
              <w:rPr>
                <w:b/>
                <w:bCs/>
              </w:rPr>
              <w:t xml:space="preserve"> </w:t>
            </w:r>
            <w:r>
              <w:rPr>
                <w:rStyle w:val="VerbatimChar"/>
                <w:b/>
                <w:bCs/>
              </w:rPr>
              <w:t xml:space="preserve">assign_final_published()</w:t>
            </w:r>
          </w:p>
        </w:tc>
        <w:tc>
          <w:tcPr/>
          <w:p>
            <w:pPr>
              <w:pStyle w:val="Compact"/>
            </w:pPr>
            <w:r>
              <w:rPr>
                <w:rStyle w:val="VerbatimChar"/>
              </w:rPr>
              <w:t xml:space="preserve">classification == "definite"</w:t>
            </w:r>
            <w:r>
              <w:t xml:space="preserve"> </w:t>
            </w:r>
            <w:r>
              <w:t xml:space="preserve">precedes every reviewer branch, so four reviewer</w:t>
            </w:r>
            <w:r>
              <w:t xml:space="preserve"> </w:t>
            </w:r>
            <w:r>
              <w:rPr>
                <w:rStyle w:val="VerbatimChar"/>
              </w:rPr>
              <w:t xml:space="preserve">no_match</w:t>
            </w:r>
            <w:r>
              <w:t xml:space="preserve"> </w:t>
            </w:r>
            <w:r>
              <w:t xml:space="preserve">and 44 reviewer</w:t>
            </w:r>
            <w:r>
              <w:t xml:space="preserve"> </w:t>
            </w:r>
            <w:r>
              <w:rPr>
                <w:rStyle w:val="VerbatimChar"/>
              </w:rPr>
              <w:t xml:space="preserve">skip</w:t>
            </w:r>
            <w:r>
              <w:t xml:space="preserve"> </w:t>
            </w:r>
            <w:r>
              <w:t xml:space="preserve">decisions are recorded as published. Reordering moves 48 abstracts.</w:t>
            </w:r>
          </w:p>
        </w:tc>
      </w:tr>
      <w:tr>
        <w:tc>
          <w:tcPr/>
          <w:p>
            <w:pPr>
              <w:pStyle w:val="Compact"/>
            </w:pPr>
            <w:r>
              <w:rPr>
                <w:b/>
                <w:bCs/>
              </w:rPr>
              <w:t xml:space="preserve">The live Shiny deployment</w:t>
            </w:r>
          </w:p>
        </w:tc>
        <w:tc>
          <w:tcPr/>
          <w:p>
            <w:pPr>
              <w:pStyle w:val="Compact"/>
            </w:pPr>
            <w:r>
              <w:t xml:space="preserve">An outward-facing publish to an application reviewers are using.</w:t>
            </w:r>
          </w:p>
        </w:tc>
      </w:tr>
    </w:tbl>
    <w:bookmarkEnd w:id="196"/>
    <w:bookmarkEnd w:id="197"/>
    <w:bookmarkStart w:id="208" w:name="X206686a76d8e40269304f0ed15b7246cb0fb3c6"/>
    <w:p>
      <w:pPr>
        <w:pStyle w:val="Heading2"/>
      </w:pPr>
      <w:r>
        <w:t xml:space="preserve">A16. The Proportional-Hazards Violation, Resolved</w:t>
      </w:r>
    </w:p>
    <w:p>
      <w:pPr>
        <w:pStyle w:val="FirstParagraph"/>
      </w:pPr>
      <w:r>
        <w:t xml:space="preserve">A15.4 recorded the Cox proportional-hazards violation as an open methodological</w:t>
      </w:r>
      <w:r>
        <w:t xml:space="preserve"> </w:t>
      </w:r>
      <w:r>
        <w:t xml:space="preserve">decision and deliberately left a failing test in place to mark it. This appendix</w:t>
      </w:r>
      <w:r>
        <w:t xml:space="preserve"> </w:t>
      </w:r>
      <w:r>
        <w:t xml:space="preserve">records how the decision was taken, on 2026-09-04, and what it changed.</w:t>
      </w:r>
    </w:p>
    <w:bookmarkStart w:id="198" w:name="X2207d6b678b679b35816c5356af5747b142fcf9"/>
    <w:p>
      <w:pPr>
        <w:pStyle w:val="Heading3"/>
      </w:pPr>
      <w:r>
        <w:t xml:space="preserve">A16.1 Why a global test was not enough to act on</w:t>
      </w:r>
    </w:p>
    <w:p>
      <w:pPr>
        <w:pStyle w:val="FirstParagraph"/>
      </w:pPr>
      <w:r>
        <w:t xml:space="preserve">The complaint was a single number:</w:t>
      </w:r>
      <w:r>
        <w:t xml:space="preserve"> </w:t>
      </w:r>
      <w:r>
        <w:rPr>
          <w:rStyle w:val="VerbatimChar"/>
        </w:rPr>
        <w:t xml:space="preserve">cox.zph(cox_model)</w:t>
      </w:r>
      <w:r>
        <w:t xml:space="preserve"> </w:t>
      </w:r>
      <w:r>
        <w:t xml:space="preserve">global χ² = 13.13 on</w:t>
      </w:r>
      <w:r>
        <w:t xml:space="preserve"> </w:t>
      </w:r>
      <w:r>
        <w:t xml:space="preserve">6 df,</w:t>
      </w:r>
      <w:r>
        <w:t xml:space="preserve"> </w:t>
      </w:r>
      <w:r>
        <w:rPr>
          <w:b/>
          <w:bCs/>
        </w:rPr>
        <w:t xml:space="preserve">p = 0.041</w:t>
      </w:r>
      <w:r>
        <w:t xml:space="preserve">. Three responses are conventional — report the hazard ratios</w:t>
      </w:r>
      <w:r>
        <w:t xml:space="preserve"> </w:t>
      </w:r>
      <w:r>
        <w:t xml:space="preserve">as averages over follow-up, stratify, or allow time-varying coefficients — and</w:t>
      </w:r>
      <w:r>
        <w:t xml:space="preserve"> </w:t>
      </w:r>
      <w:r>
        <w:t xml:space="preserve">they are not interchangeable. Which one is right depends entirely on</w:t>
      </w:r>
      <w:r>
        <w:t xml:space="preserve"> </w:t>
      </w:r>
      <w:r>
        <w:rPr>
          <w:i/>
          <w:iCs/>
        </w:rPr>
        <w:t xml:space="preserve">which</w:t>
      </w:r>
      <w:r>
        <w:t xml:space="preserve"> </w:t>
      </w:r>
      <w:r>
        <w:t xml:space="preserve">covariate is non-proportional and whether that covariate is of interest. A</w:t>
      </w:r>
      <w:r>
        <w:t xml:space="preserve"> </w:t>
      </w:r>
      <w:r>
        <w:t xml:space="preserve">global test cannot answer either question, so the first change was to write the</w:t>
      </w:r>
      <w:r>
        <w:t xml:space="preserve"> </w:t>
      </w:r>
      <w:r>
        <w:t xml:space="preserve">per-term Schoenfeld tests to</w:t>
      </w:r>
      <w:r>
        <w:t xml:space="preserve"> </w:t>
      </w:r>
      <w:r>
        <w:rPr>
          <w:rStyle w:val="VerbatimChar"/>
        </w:rPr>
        <w:t xml:space="preserve">output/cox_ph_terms.csv</w:t>
      </w:r>
      <w:r>
        <w:t xml:space="preserve">.</w:t>
      </w:r>
    </w:p>
    <w:p>
      <w:pPr>
        <w:pStyle w:val="TableCaption"/>
      </w:pPr>
      <w:r>
        <w:t xml:space="preserve">Per-term Schoenfeld tests for the Cox model.</w:t>
      </w:r>
    </w:p>
    <w:tbl>
      <w:tblPr>
        <w:tblStyle w:val="Table"/>
        <w:tblW w:type="auto" w:w="0"/>
        <w:tblLook w:firstRow="1" w:lastRow="0" w:firstColumn="0" w:lastColumn="0" w:noHBand="0" w:noVBand="0" w:val="0020"/>
        <w:tblCaption w:val="Per-term Schoenfeld tests for the Cox model."/>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chisq</w:t>
            </w:r>
          </w:p>
        </w:tc>
        <w:tc>
          <w:tcPr/>
          <w:p>
            <w:pPr>
              <w:pStyle w:val="Compact"/>
              <w:jc w:val="right"/>
            </w:pPr>
            <w:r>
              <w:t xml:space="preserve">df</w:t>
            </w:r>
          </w:p>
        </w:tc>
        <w:tc>
          <w:tcPr/>
          <w:p>
            <w:pPr>
              <w:pStyle w:val="Compact"/>
              <w:jc w:val="right"/>
            </w:pPr>
            <w:r>
              <w:t xml:space="preserve">p</w:t>
            </w:r>
          </w:p>
        </w:tc>
      </w:tr>
      <w:tr>
        <w:tc>
          <w:tcPr/>
          <w:p>
            <w:pPr>
              <w:pStyle w:val="Compact"/>
              <w:jc w:val="left"/>
            </w:pPr>
            <w:r>
              <w:t xml:space="preserve">is_rct</w:t>
            </w:r>
          </w:p>
        </w:tc>
        <w:tc>
          <w:tcPr/>
          <w:p>
            <w:pPr>
              <w:pStyle w:val="Compact"/>
              <w:jc w:val="right"/>
            </w:pPr>
            <w:r>
              <w:t xml:space="preserve">2.0838</w:t>
            </w:r>
          </w:p>
        </w:tc>
        <w:tc>
          <w:tcPr/>
          <w:p>
            <w:pPr>
              <w:pStyle w:val="Compact"/>
              <w:jc w:val="right"/>
            </w:pPr>
            <w:r>
              <w:t xml:space="preserve">1</w:t>
            </w:r>
          </w:p>
        </w:tc>
        <w:tc>
          <w:tcPr/>
          <w:p>
            <w:pPr>
              <w:pStyle w:val="Compact"/>
              <w:jc w:val="right"/>
            </w:pPr>
            <w:r>
              <w:t xml:space="preserve">0.1489</w:t>
            </w:r>
          </w:p>
        </w:tc>
      </w:tr>
      <w:tr>
        <w:tc>
          <w:tcPr/>
          <w:p>
            <w:pPr>
              <w:pStyle w:val="Compact"/>
              <w:jc w:val="left"/>
            </w:pPr>
            <w:r>
              <w:t xml:space="preserve">is_academic</w:t>
            </w:r>
          </w:p>
        </w:tc>
        <w:tc>
          <w:tcPr/>
          <w:p>
            <w:pPr>
              <w:pStyle w:val="Compact"/>
              <w:jc w:val="right"/>
            </w:pPr>
            <w:r>
              <w:t xml:space="preserve">0.2114</w:t>
            </w:r>
          </w:p>
        </w:tc>
        <w:tc>
          <w:tcPr/>
          <w:p>
            <w:pPr>
              <w:pStyle w:val="Compact"/>
              <w:jc w:val="right"/>
            </w:pPr>
            <w:r>
              <w:t xml:space="preserve">1</w:t>
            </w:r>
          </w:p>
        </w:tc>
        <w:tc>
          <w:tcPr/>
          <w:p>
            <w:pPr>
              <w:pStyle w:val="Compact"/>
              <w:jc w:val="right"/>
            </w:pPr>
            <w:r>
              <w:t xml:space="preserve">0.6456</w:t>
            </w:r>
          </w:p>
        </w:tc>
      </w:tr>
      <w:tr>
        <w:tc>
          <w:tcPr/>
          <w:p>
            <w:pPr>
              <w:pStyle w:val="Compact"/>
              <w:jc w:val="left"/>
            </w:pPr>
            <w:r>
              <w:t xml:space="preserve">is_us_based</w:t>
            </w:r>
          </w:p>
        </w:tc>
        <w:tc>
          <w:tcPr/>
          <w:p>
            <w:pPr>
              <w:pStyle w:val="Compact"/>
              <w:jc w:val="right"/>
            </w:pPr>
            <w:r>
              <w:t xml:space="preserve">0.8282</w:t>
            </w:r>
          </w:p>
        </w:tc>
        <w:tc>
          <w:tcPr/>
          <w:p>
            <w:pPr>
              <w:pStyle w:val="Compact"/>
              <w:jc w:val="right"/>
            </w:pPr>
            <w:r>
              <w:t xml:space="preserve">1</w:t>
            </w:r>
          </w:p>
        </w:tc>
        <w:tc>
          <w:tcPr/>
          <w:p>
            <w:pPr>
              <w:pStyle w:val="Compact"/>
              <w:jc w:val="right"/>
            </w:pPr>
            <w:r>
              <w:t xml:space="preserve">0.3628</w:t>
            </w:r>
          </w:p>
        </w:tc>
      </w:tr>
      <w:tr>
        <w:tc>
          <w:tcPr/>
          <w:p>
            <w:pPr>
              <w:pStyle w:val="Compact"/>
              <w:jc w:val="left"/>
            </w:pPr>
            <w:r>
              <w:t xml:space="preserve">n_authors</w:t>
            </w:r>
          </w:p>
        </w:tc>
        <w:tc>
          <w:tcPr/>
          <w:p>
            <w:pPr>
              <w:pStyle w:val="Compact"/>
              <w:jc w:val="right"/>
            </w:pPr>
            <w:r>
              <w:t xml:space="preserve">9.6805</w:t>
            </w:r>
          </w:p>
        </w:tc>
        <w:tc>
          <w:tcPr/>
          <w:p>
            <w:pPr>
              <w:pStyle w:val="Compact"/>
              <w:jc w:val="right"/>
            </w:pPr>
            <w:r>
              <w:t xml:space="preserve">1</w:t>
            </w:r>
          </w:p>
        </w:tc>
        <w:tc>
          <w:tcPr/>
          <w:p>
            <w:pPr>
              <w:pStyle w:val="Compact"/>
              <w:jc w:val="right"/>
            </w:pPr>
            <w:r>
              <w:t xml:space="preserve">0.0019</w:t>
            </w:r>
          </w:p>
        </w:tc>
      </w:tr>
      <w:tr>
        <w:tc>
          <w:tcPr/>
          <w:p>
            <w:pPr>
              <w:pStyle w:val="Compact"/>
              <w:jc w:val="left"/>
            </w:pPr>
            <w:r>
              <w:t xml:space="preserve">gender_unified</w:t>
            </w:r>
          </w:p>
        </w:tc>
        <w:tc>
          <w:tcPr/>
          <w:p>
            <w:pPr>
              <w:pStyle w:val="Compact"/>
              <w:jc w:val="right"/>
            </w:pPr>
            <w:r>
              <w:t xml:space="preserve">0.0193</w:t>
            </w:r>
          </w:p>
        </w:tc>
        <w:tc>
          <w:tcPr/>
          <w:p>
            <w:pPr>
              <w:pStyle w:val="Compact"/>
              <w:jc w:val="right"/>
            </w:pPr>
            <w:r>
              <w:t xml:space="preserve">1</w:t>
            </w:r>
          </w:p>
        </w:tc>
        <w:tc>
          <w:tcPr/>
          <w:p>
            <w:pPr>
              <w:pStyle w:val="Compact"/>
              <w:jc w:val="right"/>
            </w:pPr>
            <w:r>
              <w:t xml:space="preserve">0.8894</w:t>
            </w:r>
          </w:p>
        </w:tc>
      </w:tr>
      <w:tr>
        <w:tc>
          <w:tcPr/>
          <w:p>
            <w:pPr>
              <w:pStyle w:val="Compact"/>
              <w:jc w:val="left"/>
            </w:pPr>
            <w:r>
              <w:t xml:space="preserve">is_multicenter</w:t>
            </w:r>
          </w:p>
        </w:tc>
        <w:tc>
          <w:tcPr/>
          <w:p>
            <w:pPr>
              <w:pStyle w:val="Compact"/>
              <w:jc w:val="right"/>
            </w:pPr>
            <w:r>
              <w:t xml:space="preserve">0.2563</w:t>
            </w:r>
          </w:p>
        </w:tc>
        <w:tc>
          <w:tcPr/>
          <w:p>
            <w:pPr>
              <w:pStyle w:val="Compact"/>
              <w:jc w:val="right"/>
            </w:pPr>
            <w:r>
              <w:t xml:space="preserve">1</w:t>
            </w:r>
          </w:p>
        </w:tc>
        <w:tc>
          <w:tcPr/>
          <w:p>
            <w:pPr>
              <w:pStyle w:val="Compact"/>
              <w:jc w:val="right"/>
            </w:pPr>
            <w:r>
              <w:t xml:space="preserve">0.6127</w:t>
            </w:r>
          </w:p>
        </w:tc>
      </w:tr>
      <w:tr>
        <w:tc>
          <w:tcPr/>
          <w:p>
            <w:pPr>
              <w:pStyle w:val="Compact"/>
              <w:jc w:val="left"/>
            </w:pPr>
            <w:r>
              <w:t xml:space="preserve">GLOBAL</w:t>
            </w:r>
          </w:p>
        </w:tc>
        <w:tc>
          <w:tcPr/>
          <w:p>
            <w:pPr>
              <w:pStyle w:val="Compact"/>
              <w:jc w:val="right"/>
            </w:pPr>
            <w:r>
              <w:t xml:space="preserve">13.1289</w:t>
            </w:r>
          </w:p>
        </w:tc>
        <w:tc>
          <w:tcPr/>
          <w:p>
            <w:pPr>
              <w:pStyle w:val="Compact"/>
              <w:jc w:val="right"/>
            </w:pPr>
            <w:r>
              <w:t xml:space="preserve">6</w:t>
            </w:r>
          </w:p>
        </w:tc>
        <w:tc>
          <w:tcPr/>
          <w:p>
            <w:pPr>
              <w:pStyle w:val="Compact"/>
              <w:jc w:val="right"/>
            </w:pPr>
            <w:r>
              <w:t xml:space="preserve">0.0410</w:t>
            </w:r>
          </w:p>
        </w:tc>
      </w:tr>
    </w:tbl>
    <w:p>
      <w:pPr>
        <w:pStyle w:val="BodyText"/>
      </w:pPr>
      <w:r>
        <w:t xml:space="preserve">The answer was unambiguous.</w:t>
      </w:r>
      <w:r>
        <w:t xml:space="preserve"> </w:t>
      </w:r>
      <w:r>
        <w:rPr>
          <w:rStyle w:val="VerbatimChar"/>
        </w:rPr>
        <w:t xml:space="preserve">n_authors</w:t>
      </w:r>
      <w:r>
        <w:t xml:space="preserve"> </w:t>
      </w:r>
      <w:r>
        <w:t xml:space="preserve">fails at</w:t>
      </w:r>
      <w:r>
        <w:t xml:space="preserve"> </w:t>
      </w:r>
      <w:r>
        <w:rPr>
          <w:b/>
          <w:bCs/>
        </w:rPr>
        <w:t xml:space="preserve">p = 0.002</w:t>
      </w:r>
      <w:r>
        <w:t xml:space="preserve">; the other five</w:t>
      </w:r>
      <w:r>
        <w:t xml:space="preserve"> </w:t>
      </w:r>
      <w:r>
        <w:t xml:space="preserve">terms fall between p = 0.15 and p = 0.89. Refitting the model without</w:t>
      </w:r>
      <w:r>
        <w:t xml:space="preserve"> </w:t>
      </w:r>
      <w:r>
        <w:rPr>
          <w:rStyle w:val="VerbatimChar"/>
        </w:rPr>
        <w:t xml:space="preserve">n_authors</w:t>
      </w:r>
      <w:r>
        <w:t xml:space="preserve"> </w:t>
      </w:r>
      <w:r>
        <w:t xml:space="preserve">returns the global test to</w:t>
      </w:r>
      <w:r>
        <w:t xml:space="preserve"> </w:t>
      </w:r>
      <w:r>
        <w:rPr>
          <w:b/>
          <w:bCs/>
        </w:rPr>
        <w:t xml:space="preserve">p = 0.53</w:t>
      </w:r>
      <w:r>
        <w:t xml:space="preserve">, confirming that the whole</w:t>
      </w:r>
      <w:r>
        <w:t xml:space="preserve"> </w:t>
      </w:r>
      <w:r>
        <w:t xml:space="preserve">of the global violation is that one term. Its Schoenfeld residuals correlate</w:t>
      </w:r>
      <w:r>
        <w:t xml:space="preserve"> </w:t>
      </w:r>
      <w:r>
        <w:t xml:space="preserve">positively with time (Spearman ρ = +0.257), so the effect grows over follow-up</w:t>
      </w:r>
      <w:r>
        <w:t xml:space="preserve"> </w:t>
      </w:r>
      <w:r>
        <w:t xml:space="preserve">rather than being constant.</w:t>
      </w:r>
    </w:p>
    <w:bookmarkEnd w:id="198"/>
    <w:bookmarkStart w:id="199" w:name="a16.2-the-choice-and-the-reason-for-it"/>
    <w:p>
      <w:pPr>
        <w:pStyle w:val="Heading3"/>
      </w:pPr>
      <w:r>
        <w:t xml:space="preserve">A16.2 The choice, and the reason for it</w:t>
      </w:r>
    </w:p>
    <w:p>
      <w:pPr>
        <w:pStyle w:val="FirstParagraph"/>
      </w:pPr>
      <w:r>
        <w:t xml:space="preserve">All three remedies were fitted before one was chosen.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option</w:t>
            </w:r>
          </w:p>
        </w:tc>
        <w:tc>
          <w:tcPr/>
          <w:p>
            <w:pPr>
              <w:pStyle w:val="Compact"/>
              <w:jc w:val="right"/>
            </w:pPr>
            <w:r>
              <w:t xml:space="preserve">global p after</w:t>
            </w:r>
          </w:p>
        </w:tc>
        <w:tc>
          <w:tcPr/>
          <w:p>
            <w:pPr>
              <w:pStyle w:val="Compact"/>
            </w:pPr>
            <w:r>
              <w:t xml:space="preserve">why it was or was not chosen</w:t>
            </w:r>
          </w:p>
        </w:tc>
      </w:tr>
      <w:tr>
        <w:tc>
          <w:tcPr/>
          <w:p>
            <w:pPr>
              <w:pStyle w:val="Compact"/>
            </w:pPr>
            <w:r>
              <w:t xml:space="preserve">Report as averages over follow-up</w:t>
            </w:r>
          </w:p>
        </w:tc>
        <w:tc>
          <w:tcPr/>
          <w:p>
            <w:pPr>
              <w:pStyle w:val="Compact"/>
              <w:jc w:val="right"/>
            </w:pPr>
            <w:r>
              <w:t xml:space="preserve">0.041</w:t>
            </w:r>
          </w:p>
        </w:tc>
        <w:tc>
          <w:tcPr/>
          <w:p>
            <w:pPr>
              <w:pStyle w:val="Compact"/>
            </w:pPr>
            <w:r>
              <w:t xml:space="preserve">Names the problem without measuring it. The</w:t>
            </w:r>
            <w:r>
              <w:t xml:space="preserve"> </w:t>
            </w:r>
            <w:r>
              <w:rPr>
                <w:rStyle w:val="VerbatimChar"/>
              </w:rPr>
              <w:t xml:space="preserve">n_authors</w:t>
            </w:r>
            <w:r>
              <w:t xml:space="preserve"> </w:t>
            </w:r>
            <w:r>
              <w:t xml:space="preserve">row would still read as a constant to anyone quoting the table.</w:t>
            </w:r>
          </w:p>
        </w:tc>
      </w:tr>
      <w:tr>
        <w:tc>
          <w:tcPr/>
          <w:p>
            <w:pPr>
              <w:pStyle w:val="Compact"/>
            </w:pPr>
            <w:r>
              <w:t xml:space="preserve">Stratify on</w:t>
            </w:r>
            <w:r>
              <w:t xml:space="preserve"> </w:t>
            </w:r>
            <w:r>
              <w:rPr>
                <w:rStyle w:val="VerbatimChar"/>
              </w:rPr>
              <w:t xml:space="preserve">n_authors</w:t>
            </w:r>
          </w:p>
        </w:tc>
        <w:tc>
          <w:tcPr/>
          <w:p>
            <w:pPr>
              <w:pStyle w:val="Compact"/>
              <w:jc w:val="right"/>
            </w:pPr>
            <w:r>
              <w:t xml:space="preserve">0.71</w:t>
            </w:r>
          </w:p>
        </w:tc>
        <w:tc>
          <w:tcPr/>
          <w:p>
            <w:pPr>
              <w:pStyle w:val="Compact"/>
            </w:pPr>
            <w:r>
              <w:t xml:space="preserve">Restores the assumption, but</w:t>
            </w:r>
            <w:r>
              <w:t xml:space="preserve"> </w:t>
            </w:r>
            <w:r>
              <w:rPr>
                <w:b/>
                <w:bCs/>
              </w:rPr>
              <w:t xml:space="preserve">discards the estimate</w:t>
            </w:r>
            <w:r>
              <w:t xml:space="preserve">.</w:t>
            </w:r>
            <w:r>
              <w:t xml:space="preserve"> </w:t>
            </w:r>
            <w:r>
              <w:rPr>
                <w:rStyle w:val="VerbatimChar"/>
              </w:rPr>
              <w:t xml:space="preserve">n_authors</w:t>
            </w:r>
            <w:r>
              <w:t xml:space="preserve"> </w:t>
            </w:r>
            <w:r>
              <w:t xml:space="preserve">is retained in 98.8% of 500 bootstrap refits (A15.7) — one of only two robust predictors. This trades a finding for a diagnostic.</w:t>
            </w:r>
          </w:p>
        </w:tc>
      </w:tr>
      <w:tr>
        <w:tc>
          <w:tcPr/>
          <w:p>
            <w:pPr>
              <w:pStyle w:val="Compact"/>
            </w:pPr>
            <w:r>
              <w:rPr>
                <w:b/>
                <w:bCs/>
              </w:rPr>
              <w:t xml:space="preserve">Time-varying coefficient</w:t>
            </w:r>
          </w:p>
        </w:tc>
        <w:tc>
          <w:tcPr/>
          <w:p>
            <w:pPr>
              <w:pStyle w:val="Compact"/>
              <w:jc w:val="right"/>
            </w:pPr>
            <w:r>
              <w:t xml:space="preserve">—</w:t>
            </w:r>
          </w:p>
        </w:tc>
        <w:tc>
          <w:tcPr/>
          <w:p>
            <w:pPr>
              <w:pStyle w:val="Compact"/>
            </w:pPr>
            <w:r>
              <w:t xml:space="preserve">Chosen. Keeps the term and estimates its drift. AIC 2295.4 against 2303.6; the log-time interaction is significant at p = 0.001.</w:t>
            </w:r>
          </w:p>
        </w:tc>
      </w:tr>
    </w:tbl>
    <w:p>
      <w:pPr>
        <w:pStyle w:val="BodyText"/>
      </w:pPr>
      <w:r>
        <w:t xml:space="preserve">The interaction is</w:t>
      </w:r>
      <w:r>
        <w:t xml:space="preserve"> </w:t>
      </w:r>
      <w:r>
        <w:rPr>
          <w:rStyle w:val="VerbatimChar"/>
        </w:rPr>
        <w:t xml:space="preserve">x * log(t)</w:t>
      </w:r>
      <w:r>
        <w:t xml:space="preserve">. That form was not chosen for convenience: it is</w:t>
      </w:r>
      <w:r>
        <w:t xml:space="preserve"> </w:t>
      </w:r>
      <w:r>
        <w:t xml:space="preserve">the transform</w:t>
      </w:r>
      <w:r>
        <w:t xml:space="preserve"> </w:t>
      </w:r>
      <w:r>
        <w:rPr>
          <w:rStyle w:val="VerbatimChar"/>
        </w:rPr>
        <w:t xml:space="preserve">cox.zph</w:t>
      </w:r>
      <w:r>
        <w:t xml:space="preserve"> </w:t>
      </w:r>
      <w:r>
        <w:t xml:space="preserve">plots the residuals against by default, so the remedy</w:t>
      </w:r>
      <w:r>
        <w:t xml:space="preserve"> </w:t>
      </w:r>
      <w:r>
        <w:t xml:space="preserve">tests the same alternative the diagnostic raised rather than a different one</w:t>
      </w:r>
      <w:r>
        <w:t xml:space="preserve"> </w:t>
      </w:r>
      <w:r>
        <w:t xml:space="preserve">selected after seeing the result.</w:t>
      </w:r>
    </w:p>
    <w:p>
      <w:pPr>
        <w:pStyle w:val="BodyText"/>
      </w:pPr>
      <w:r>
        <w:t xml:space="preserve">The stratified fit is not discarded — it is retained as the sensitivity analysis</w:t>
      </w:r>
      <w:r>
        <w:t xml:space="preserve"> </w:t>
      </w:r>
      <w:r>
        <w:t xml:space="preserve">for the five covariates that did</w:t>
      </w:r>
      <w:r>
        <w:t xml:space="preserve"> </w:t>
      </w:r>
      <w:r>
        <w:rPr>
          <w:i/>
          <w:iCs/>
        </w:rPr>
        <w:t xml:space="preserve">not</w:t>
      </w:r>
      <w:r>
        <w:t xml:space="preserve"> </w:t>
      </w:r>
      <w:r>
        <w:t xml:space="preserve">violate, written to</w:t>
      </w:r>
      <w:r>
        <w:t xml:space="preserve"> </w:t>
      </w:r>
      <w:r>
        <w:rPr>
          <w:rStyle w:val="VerbatimChar"/>
        </w:rPr>
        <w:t xml:space="preserve">output/aim2b_cox_regression_stratified.csv</w:t>
      </w:r>
      <w:r>
        <w:t xml:space="preserve">. Their hazard ratios are all within</w:t>
      </w:r>
      <w:r>
        <w:t xml:space="preserve"> </w:t>
      </w:r>
      <w:r>
        <w:t xml:space="preserve">2% of the primary fit, so none of the reported effects depends on how</w:t>
      </w:r>
      <w:r>
        <w:t xml:space="preserve"> </w:t>
      </w:r>
      <w:r>
        <w:rPr>
          <w:rStyle w:val="VerbatimChar"/>
        </w:rPr>
        <w:t xml:space="preserve">n_authors</w:t>
      </w:r>
      <w:r>
        <w:t xml:space="preserve"> </w:t>
      </w:r>
      <w:r>
        <w:t xml:space="preserve">was handled.</w:t>
      </w:r>
      <w:r>
        <w:t xml:space="preserve"> </w:t>
      </w:r>
      <w:r>
        <w:rPr>
          <w:rStyle w:val="VerbatimChar"/>
        </w:rPr>
        <w:t xml:space="preserve">tests/testthat/test-pipeline_semantics.R</w:t>
      </w:r>
      <w:r>
        <w:t xml:space="preserve"> </w:t>
      </w:r>
      <w:r>
        <w:t xml:space="preserve">now enforces</w:t>
      </w:r>
      <w:r>
        <w:t xml:space="preserve"> </w:t>
      </w:r>
      <w:r>
        <w:t xml:space="preserve">that as a contract at a 15% tolerance.</w:t>
      </w:r>
    </w:p>
    <w:bookmarkEnd w:id="199"/>
    <w:bookmarkStart w:id="203" w:name="Xa3f3ba6fa57b2915a9ae0214fea68193d244f01"/>
    <w:p>
      <w:pPr>
        <w:pStyle w:val="Heading3"/>
      </w:pPr>
      <w:r>
        <w:t xml:space="preserve">A16.3 What the constant hazard ratio was concealing</w:t>
      </w:r>
    </w:p>
    <w:p>
      <w:pPr>
        <w:pStyle w:val="TableCaption"/>
      </w:pPr>
      <w:r>
        <w:t xml:space="preserve">Hazard ratio per additional author, by follow-up time.</w:t>
      </w:r>
    </w:p>
    <w:tbl>
      <w:tblPr>
        <w:tblStyle w:val="Table"/>
        <w:tblW w:type="auto" w:w="0"/>
        <w:tblLook w:firstRow="1" w:lastRow="0" w:firstColumn="0" w:lastColumn="0" w:noHBand="0" w:noVBand="0" w:val="0020"/>
        <w:tblCaption w:val="Hazard ratio per additional author, by follow-up time."/>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months</w:t>
            </w:r>
          </w:p>
        </w:tc>
        <w:tc>
          <w:tcPr/>
          <w:p>
            <w:pPr>
              <w:pStyle w:val="Compact"/>
              <w:jc w:val="right"/>
            </w:pPr>
            <w:r>
              <w:t xml:space="preserve">hazard_ratio</w:t>
            </w:r>
          </w:p>
        </w:tc>
        <w:tc>
          <w:tcPr/>
          <w:p>
            <w:pPr>
              <w:pStyle w:val="Compact"/>
              <w:jc w:val="right"/>
            </w:pPr>
            <w:r>
              <w:t xml:space="preserve">conf_low</w:t>
            </w:r>
          </w:p>
        </w:tc>
        <w:tc>
          <w:tcPr/>
          <w:p>
            <w:pPr>
              <w:pStyle w:val="Compact"/>
              <w:jc w:val="right"/>
            </w:pPr>
            <w:r>
              <w:t xml:space="preserve">conf_high</w:t>
            </w:r>
          </w:p>
        </w:tc>
      </w:tr>
      <w:tr>
        <w:tc>
          <w:tcPr/>
          <w:p>
            <w:pPr>
              <w:pStyle w:val="Compact"/>
              <w:jc w:val="left"/>
            </w:pPr>
            <w:r>
              <w:t xml:space="preserve">n_authors</w:t>
            </w:r>
          </w:p>
        </w:tc>
        <w:tc>
          <w:tcPr/>
          <w:p>
            <w:pPr>
              <w:pStyle w:val="Compact"/>
              <w:jc w:val="right"/>
            </w:pPr>
            <w:r>
              <w:t xml:space="preserve">3</w:t>
            </w:r>
          </w:p>
        </w:tc>
        <w:tc>
          <w:tcPr/>
          <w:p>
            <w:pPr>
              <w:pStyle w:val="Compact"/>
              <w:jc w:val="right"/>
            </w:pPr>
            <w:r>
              <w:t xml:space="preserve">1.010</w:t>
            </w:r>
          </w:p>
        </w:tc>
        <w:tc>
          <w:tcPr/>
          <w:p>
            <w:pPr>
              <w:pStyle w:val="Compact"/>
              <w:jc w:val="right"/>
            </w:pPr>
            <w:r>
              <w:t xml:space="preserve">0.839</w:t>
            </w:r>
          </w:p>
        </w:tc>
        <w:tc>
          <w:tcPr/>
          <w:p>
            <w:pPr>
              <w:pStyle w:val="Compact"/>
              <w:jc w:val="right"/>
            </w:pPr>
            <w:r>
              <w:t xml:space="preserve">1.216</w:t>
            </w:r>
          </w:p>
        </w:tc>
      </w:tr>
      <w:tr>
        <w:tc>
          <w:tcPr/>
          <w:p>
            <w:pPr>
              <w:pStyle w:val="Compact"/>
              <w:jc w:val="left"/>
            </w:pPr>
            <w:r>
              <w:t xml:space="preserve">n_authors</w:t>
            </w:r>
          </w:p>
        </w:tc>
        <w:tc>
          <w:tcPr/>
          <w:p>
            <w:pPr>
              <w:pStyle w:val="Compact"/>
              <w:jc w:val="right"/>
            </w:pPr>
            <w:r>
              <w:t xml:space="preserve">6</w:t>
            </w:r>
          </w:p>
        </w:tc>
        <w:tc>
          <w:tcPr/>
          <w:p>
            <w:pPr>
              <w:pStyle w:val="Compact"/>
              <w:jc w:val="right"/>
            </w:pPr>
            <w:r>
              <w:t xml:space="preserve">1.160</w:t>
            </w:r>
          </w:p>
        </w:tc>
        <w:tc>
          <w:tcPr/>
          <w:p>
            <w:pPr>
              <w:pStyle w:val="Compact"/>
              <w:jc w:val="right"/>
            </w:pPr>
            <w:r>
              <w:t xml:space="preserve">1.003</w:t>
            </w:r>
          </w:p>
        </w:tc>
        <w:tc>
          <w:tcPr/>
          <w:p>
            <w:pPr>
              <w:pStyle w:val="Compact"/>
              <w:jc w:val="right"/>
            </w:pPr>
            <w:r>
              <w:t xml:space="preserve">1.342</w:t>
            </w:r>
          </w:p>
        </w:tc>
      </w:tr>
      <w:tr>
        <w:tc>
          <w:tcPr/>
          <w:p>
            <w:pPr>
              <w:pStyle w:val="Compact"/>
              <w:jc w:val="left"/>
            </w:pPr>
            <w:r>
              <w:t xml:space="preserve">n_authors</w:t>
            </w:r>
          </w:p>
        </w:tc>
        <w:tc>
          <w:tcPr/>
          <w:p>
            <w:pPr>
              <w:pStyle w:val="Compact"/>
              <w:jc w:val="right"/>
            </w:pPr>
            <w:r>
              <w:t xml:space="preserve">12</w:t>
            </w:r>
          </w:p>
        </w:tc>
        <w:tc>
          <w:tcPr/>
          <w:p>
            <w:pPr>
              <w:pStyle w:val="Compact"/>
              <w:jc w:val="right"/>
            </w:pPr>
            <w:r>
              <w:t xml:space="preserve">1.331</w:t>
            </w:r>
          </w:p>
        </w:tc>
        <w:tc>
          <w:tcPr/>
          <w:p>
            <w:pPr>
              <w:pStyle w:val="Compact"/>
              <w:jc w:val="right"/>
            </w:pPr>
            <w:r>
              <w:t xml:space="preserve">1.146</w:t>
            </w:r>
          </w:p>
        </w:tc>
        <w:tc>
          <w:tcPr/>
          <w:p>
            <w:pPr>
              <w:pStyle w:val="Compact"/>
              <w:jc w:val="right"/>
            </w:pPr>
            <w:r>
              <w:t xml:space="preserve">1.546</w:t>
            </w:r>
          </w:p>
        </w:tc>
      </w:tr>
      <w:tr>
        <w:tc>
          <w:tcPr/>
          <w:p>
            <w:pPr>
              <w:pStyle w:val="Compact"/>
              <w:jc w:val="left"/>
            </w:pPr>
            <w:r>
              <w:t xml:space="preserve">n_authors</w:t>
            </w:r>
          </w:p>
        </w:tc>
        <w:tc>
          <w:tcPr/>
          <w:p>
            <w:pPr>
              <w:pStyle w:val="Compact"/>
              <w:jc w:val="right"/>
            </w:pPr>
            <w:r>
              <w:t xml:space="preserve">24</w:t>
            </w:r>
          </w:p>
        </w:tc>
        <w:tc>
          <w:tcPr/>
          <w:p>
            <w:pPr>
              <w:pStyle w:val="Compact"/>
              <w:jc w:val="right"/>
            </w:pPr>
            <w:r>
              <w:t xml:space="preserve">1.528</w:t>
            </w:r>
          </w:p>
        </w:tc>
        <w:tc>
          <w:tcPr/>
          <w:p>
            <w:pPr>
              <w:pStyle w:val="Compact"/>
              <w:jc w:val="right"/>
            </w:pPr>
            <w:r>
              <w:t xml:space="preserve">1.258</w:t>
            </w:r>
          </w:p>
        </w:tc>
        <w:tc>
          <w:tcPr/>
          <w:p>
            <w:pPr>
              <w:pStyle w:val="Compact"/>
              <w:jc w:val="right"/>
            </w:pPr>
            <w:r>
              <w:t xml:space="preserve">1.857</w:t>
            </w:r>
          </w:p>
        </w:tc>
      </w:tr>
      <w:tr>
        <w:tc>
          <w:tcPr/>
          <w:p>
            <w:pPr>
              <w:pStyle w:val="Compact"/>
              <w:jc w:val="left"/>
            </w:pPr>
            <w:r>
              <w:t xml:space="preserve">n_authors</w:t>
            </w:r>
          </w:p>
        </w:tc>
        <w:tc>
          <w:tcPr/>
          <w:p>
            <w:pPr>
              <w:pStyle w:val="Compact"/>
              <w:jc w:val="right"/>
            </w:pPr>
            <w:r>
              <w:t xml:space="preserve">36</w:t>
            </w:r>
          </w:p>
        </w:tc>
        <w:tc>
          <w:tcPr/>
          <w:p>
            <w:pPr>
              <w:pStyle w:val="Compact"/>
              <w:jc w:val="right"/>
            </w:pPr>
            <w:r>
              <w:t xml:space="preserve">1.657</w:t>
            </w:r>
          </w:p>
        </w:tc>
        <w:tc>
          <w:tcPr/>
          <w:p>
            <w:pPr>
              <w:pStyle w:val="Compact"/>
              <w:jc w:val="right"/>
            </w:pPr>
            <w:r>
              <w:t xml:space="preserve">1.314</w:t>
            </w:r>
          </w:p>
        </w:tc>
        <w:tc>
          <w:tcPr/>
          <w:p>
            <w:pPr>
              <w:pStyle w:val="Compact"/>
              <w:jc w:val="right"/>
            </w:pPr>
            <w:r>
              <w:t xml:space="preserve">2.088</w:t>
            </w:r>
          </w:p>
        </w:tc>
      </w:tr>
      <w:tr>
        <w:tc>
          <w:tcPr/>
          <w:p>
            <w:pPr>
              <w:pStyle w:val="Compact"/>
              <w:jc w:val="left"/>
            </w:pPr>
            <w:r>
              <w:t xml:space="preserve">n_authors</w:t>
            </w:r>
          </w:p>
        </w:tc>
        <w:tc>
          <w:tcPr/>
          <w:p>
            <w:pPr>
              <w:pStyle w:val="Compact"/>
              <w:jc w:val="right"/>
            </w:pPr>
            <w:r>
              <w:t xml:space="preserve">48</w:t>
            </w:r>
          </w:p>
        </w:tc>
        <w:tc>
          <w:tcPr/>
          <w:p>
            <w:pPr>
              <w:pStyle w:val="Compact"/>
              <w:jc w:val="right"/>
            </w:pPr>
            <w:r>
              <w:t xml:space="preserve">1.754</w:t>
            </w:r>
          </w:p>
        </w:tc>
        <w:tc>
          <w:tcPr/>
          <w:p>
            <w:pPr>
              <w:pStyle w:val="Compact"/>
              <w:jc w:val="right"/>
            </w:pPr>
            <w:r>
              <w:t xml:space="preserve">1.352</w:t>
            </w:r>
          </w:p>
        </w:tc>
        <w:tc>
          <w:tcPr/>
          <w:p>
            <w:pPr>
              <w:pStyle w:val="Compact"/>
              <w:jc w:val="right"/>
            </w:pPr>
            <w:r>
              <w:t xml:space="preserve">2.276</w:t>
            </w:r>
          </w:p>
        </w:tc>
      </w:tr>
    </w:tbl>
    <w:p>
      <w:pPr>
        <w:pStyle w:val="BodyText"/>
      </w:pPr>
      <w:r>
        <w:t xml:space="preserve">The main model reports HR 1.266 per additional author. Time-resolved, that is</w:t>
      </w:r>
      <w:r>
        <w:t xml:space="preserve"> </w:t>
      </w:r>
      <w:r>
        <w:t xml:space="preserve">1.01 (0.84–1.22) at three months and 1.53 (1.26–1.86) at two years. The single</w:t>
      </w:r>
      <w:r>
        <w:t xml:space="preserve"> </w:t>
      </w:r>
      <w:r>
        <w:t xml:space="preserve">estimate was averaging a null early period against a substantial later one.</w:t>
      </w:r>
    </w:p>
    <w:p>
      <w:pPr>
        <w:pStyle w:val="BodyText"/>
      </w:pPr>
      <w:r>
        <w:t xml:space="preserve">Substantively this is a claim about persistence rather than speed. Larger teams</w:t>
      </w:r>
      <w:r>
        <w:t xml:space="preserve"> </w:t>
      </w:r>
      <w:r>
        <w:t xml:space="preserve">are not faster to first publication; they are the ones still converting</w:t>
      </w:r>
      <w:r>
        <w:t xml:space="preserve"> </w:t>
      </w:r>
      <w:r>
        <w:t xml:space="preserve">abstracts into papers years after the congress, while small-team abstracts stop</w:t>
      </w:r>
      <w:r>
        <w:t xml:space="preserve"> </w:t>
      </w:r>
      <w:r>
        <w:t xml:space="preserve">progressing. Reported as a constant 1.26, the effect was misleading in both</w:t>
      </w:r>
      <w:r>
        <w:t xml:space="preserve"> </w:t>
      </w:r>
      <w:r>
        <w:t xml:space="preserve">directions at once — overstated in the first six months and understated after</w:t>
      </w:r>
      <w:r>
        <w:t xml:space="preserve"> </w:t>
      </w:r>
      <w:r>
        <w:t xml:space="preserve">two years.</w:t>
      </w:r>
    </w:p>
    <w:p>
      <w:pPr>
        <w:pStyle w:val="BodyText"/>
      </w:pPr>
      <w:r>
        <w:drawing>
          <wp:inline>
            <wp:extent cx="5334000" cy="3067049"/>
            <wp:effectExtent b="0" l="0" r="0" t="0"/>
            <wp:docPr descr="" title="" id="201" name="Picture"/>
            <a:graphic>
              <a:graphicData uri="http://schemas.openxmlformats.org/drawingml/2006/picture">
                <pic:pic>
                  <pic:nvPicPr>
                    <pic:cNvPr descr="technical_appendix_files/8d8d4764b0e45bed0b010e5adf999c2e3c3a95dd.png" id="202" name="Picture"/>
                    <pic:cNvPicPr>
                      <a:picLocks noChangeArrowheads="1" noChangeAspect="1"/>
                    </pic:cNvPicPr>
                  </pic:nvPicPr>
                  <pic:blipFill>
                    <a:blip r:embed="rId200"/>
                    <a:stretch>
                      <a:fillRect/>
                    </a:stretch>
                  </pic:blipFill>
                  <pic:spPr bwMode="auto">
                    <a:xfrm>
                      <a:off x="0" y="0"/>
                      <a:ext cx="5334000" cy="3067049"/>
                    </a:xfrm>
                    <a:prstGeom prst="rect">
                      <a:avLst/>
                    </a:prstGeom>
                    <a:noFill/>
                    <a:ln w="9525">
                      <a:noFill/>
                      <a:headEnd/>
                      <a:tailEnd/>
                    </a:ln>
                  </pic:spPr>
                </pic:pic>
              </a:graphicData>
            </a:graphic>
          </wp:inline>
        </w:drawing>
      </w:r>
    </w:p>
    <w:bookmarkEnd w:id="203"/>
    <w:bookmarkStart w:id="204" w:name="a16.4-the-limitation-that-remains"/>
    <w:p>
      <w:pPr>
        <w:pStyle w:val="Heading3"/>
      </w:pPr>
      <w:r>
        <w:t xml:space="preserve">A16.4 The limitation that remains</w:t>
      </w:r>
    </w:p>
    <w:p>
      <w:pPr>
        <w:pStyle w:val="FirstParagraph"/>
      </w:pPr>
      <w:r>
        <w:rPr>
          <w:rStyle w:val="VerbatimChar"/>
        </w:rPr>
        <w:t xml:space="preserve">n_authors</w:t>
      </w:r>
      <w:r>
        <w:t xml:space="preserve"> </w:t>
      </w:r>
      <w:r>
        <w:t xml:space="preserve">is</w:t>
      </w:r>
      <w:r>
        <w:t xml:space="preserve"> </w:t>
      </w:r>
      <w:r>
        <w:rPr>
          <w:b/>
          <w:bCs/>
        </w:rPr>
        <w:t xml:space="preserve">censored at 5</w:t>
      </w:r>
      <w:r>
        <w:t xml:space="preserve">: 499 of the 1,020 abstracts in the model frame</w:t>
      </w:r>
      <w:r>
        <w:t xml:space="preserve"> </w:t>
      </w:r>
      <w:r>
        <w:t xml:space="preserve">(48.9%) sit at that ceiling, an artefact of the ScienceDirect ingest recording</w:t>
      </w:r>
      <w:r>
        <w:t xml:space="preserve"> </w:t>
      </w:r>
      <w:r>
        <w:t xml:space="preserve">at most five authors. A ceiling of this size compresses the covariate and biases</w:t>
      </w:r>
      <w:r>
        <w:t xml:space="preserve"> </w:t>
      </w:r>
      <w:r>
        <w:t xml:space="preserve">the per-author effect toward the null; it does not manufacture time dependence.</w:t>
      </w:r>
      <w:r>
        <w:t xml:space="preserve"> </w:t>
      </w:r>
      <w:r>
        <w:t xml:space="preserve">So the</w:t>
      </w:r>
      <w:r>
        <w:t xml:space="preserve"> </w:t>
      </w:r>
      <w:r>
        <w:rPr>
          <w:i/>
          <w:iCs/>
        </w:rPr>
        <w:t xml:space="preserve">shape</w:t>
      </w:r>
      <w:r>
        <w:t xml:space="preserve"> </w:t>
      </w:r>
      <w:r>
        <w:t xml:space="preserve">in A16.3 is trustworthy and the</w:t>
      </w:r>
      <w:r>
        <w:t xml:space="preserve"> </w:t>
      </w:r>
      <w:r>
        <w:rPr>
          <w:i/>
          <w:iCs/>
        </w:rPr>
        <w:t xml:space="preserve">magnitude</w:t>
      </w:r>
      <w:r>
        <w:t xml:space="preserve"> </w:t>
      </w:r>
      <w:r>
        <w:t xml:space="preserve">is a lower bound on</w:t>
      </w:r>
      <w:r>
        <w:t xml:space="preserve"> </w:t>
      </w:r>
      <w:r>
        <w:t xml:space="preserve">whatever the effect would be with complete author counts. It should not be</w:t>
      </w:r>
      <w:r>
        <w:t xml:space="preserve"> </w:t>
      </w:r>
      <w:r>
        <w:t xml:space="preserve">quoted as a per-author effect without that qualification.</w:t>
      </w:r>
    </w:p>
    <w:bookmarkEnd w:id="204"/>
    <w:bookmarkStart w:id="205" w:name="Xace32af95fe65f93e865486e6ca3fc1e1985341"/>
    <w:p>
      <w:pPr>
        <w:pStyle w:val="Heading3"/>
      </w:pPr>
      <w:r>
        <w:t xml:space="preserve">A16.5 Two unrelated defects found while doing this</w:t>
      </w:r>
    </w:p>
    <w:p>
      <w:pPr>
        <w:pStyle w:val="FirstParagraph"/>
      </w:pPr>
      <w:r>
        <w:rPr>
          <w:b/>
          <w:bCs/>
        </w:rPr>
        <w:t xml:space="preserve">The Results paragraph asserted a diagnostic it had not run.</w:t>
      </w:r>
      <w:r>
        <w:t xml:space="preserve"> </w:t>
      </w:r>
      <w:r>
        <w:rPr>
          <w:rStyle w:val="VerbatimChar"/>
        </w:rPr>
        <w:t xml:space="preserve">docs/abstract_results_section.Rmd</w:t>
      </w:r>
      <w:r>
        <w:t xml:space="preserve"> </w:t>
      </w:r>
      <w:r>
        <w:t xml:space="preserve">opened with</w:t>
      </w:r>
      <w:r>
        <w:t xml:space="preserve"> </w:t>
      </w:r>
      <w:r>
        <w:t xml:space="preserve">“In multivariable Cox</w:t>
      </w:r>
      <w:r>
        <w:t xml:space="preserve"> </w:t>
      </w:r>
      <w:r>
        <w:t xml:space="preserve">proportional hazards analysis (proportional hazards assumption met, global</w:t>
      </w:r>
      <w:r>
        <w:t xml:space="preserve"> </w:t>
      </w:r>
      <w:r>
        <w:t xml:space="preserve">p=</w:t>
      </w:r>
      <w:r>
        <w:rPr>
          <w:rStyle w:val="VerbatimChar"/>
        </w:rPr>
        <w:t xml:space="preserve">r ph_global_p</w:t>
      </w:r>
      <w:r>
        <w:t xml:space="preserve">)”</w:t>
      </w:r>
      <w:r>
        <w:t xml:space="preserve"> </w:t>
      </w:r>
      <w:r>
        <w:t xml:space="preserve">— the parenthetical interpolated the</w:t>
      </w:r>
      <w:r>
        <w:t xml:space="preserve"> </w:t>
      </w:r>
      <w:r>
        <w:t xml:space="preserve">live p-value while the surrounding prose asserted the opposite conclusion. The</w:t>
      </w:r>
      <w:r>
        <w:t xml:space="preserve"> </w:t>
      </w:r>
      <w:r>
        <w:t xml:space="preserve">same sentence named US-based affiliation as</w:t>
      </w:r>
      <w:r>
        <w:t xml:space="preserve"> </w:t>
      </w:r>
      <w:r>
        <w:t xml:space="preserve">“the only significant predictor”</w:t>
      </w:r>
      <w:r>
        <w:t xml:space="preserve">,</w:t>
      </w:r>
      <w:r>
        <w:t xml:space="preserve"> </w:t>
      </w:r>
      <w:r>
        <w:t xml:space="preserve">which the current model contradicts on both counts: US-based is not significant</w:t>
      </w:r>
      <w:r>
        <w:t xml:space="preserve"> </w:t>
      </w:r>
      <w:r>
        <w:t xml:space="preserve">(p = 0.156), and randomized design, academic affiliation and author count are.</w:t>
      </w:r>
      <w:r>
        <w:t xml:space="preserve"> </w:t>
      </w:r>
      <w:r>
        <w:t xml:space="preserve">The paragraph also rendered</w:t>
      </w:r>
      <w:r>
        <w:t xml:space="preserve"> </w:t>
      </w:r>
      <w:r>
        <w:t xml:space="preserve">“was associated with higher odds of publication”</w:t>
      </w:r>
      <w:r>
        <w:t xml:space="preserve"> </w:t>
      </w:r>
      <w:r>
        <w:t xml:space="preserve">over a p-value of 0.083. It now derives the predictor list, the PH wording and</w:t>
      </w:r>
      <w:r>
        <w:t xml:space="preserve"> </w:t>
      </w:r>
      <w:r>
        <w:t xml:space="preserve">the significance verb from the fitted model.</w:t>
      </w:r>
    </w:p>
    <w:p>
      <w:pPr>
        <w:pStyle w:val="BodyText"/>
      </w:pPr>
      <w:r>
        <w:rPr>
          <w:b/>
          <w:bCs/>
        </w:rPr>
        <w:t xml:space="preserve">The appendix’s own Cox formula was internally inconsistent.</w:t>
      </w:r>
      <w:r>
        <w:t xml:space="preserve"> </w:t>
      </w:r>
      <w:r>
        <w:rPr>
          <w:rStyle w:val="VerbatimChar"/>
        </w:rPr>
        <w:t xml:space="preserve">docs/STATISTICAL_ANALYSIS.md</w:t>
      </w:r>
      <w:r>
        <w:t xml:space="preserve"> </w:t>
      </w:r>
      <w:r>
        <w:t xml:space="preserve">printed a formula including</w:t>
      </w:r>
      <w:r>
        <w:t xml:space="preserve"> </w:t>
      </w:r>
      <w:r>
        <w:rPr>
          <w:rStyle w:val="VerbatimChar"/>
        </w:rPr>
        <w:t xml:space="preserve">has_funding</w:t>
      </w:r>
      <w:r>
        <w:t xml:space="preserve"> </w:t>
      </w:r>
      <w:r>
        <w:t xml:space="preserve">two</w:t>
      </w:r>
      <w:r>
        <w:t xml:space="preserve"> </w:t>
      </w:r>
      <w:r>
        <w:t xml:space="preserve">sections after its variable-screen table recorded</w:t>
      </w:r>
      <w:r>
        <w:t xml:space="preserve"> </w:t>
      </w:r>
      <w:r>
        <w:rPr>
          <w:rStyle w:val="VerbatimChar"/>
        </w:rPr>
        <w:t xml:space="preserve">has_funding</w:t>
      </w:r>
      <w:r>
        <w:t xml:space="preserve"> </w:t>
      </w:r>
      <w:r>
        <w:t xml:space="preserve">as removed by</w:t>
      </w:r>
      <w:r>
        <w:t xml:space="preserve"> </w:t>
      </w:r>
      <w:r>
        <w:t xml:space="preserve">the near-zero-variance rule. The formula shown is now read back from</w:t>
      </w:r>
      <w:r>
        <w:t xml:space="preserve"> </w:t>
      </w:r>
      <w:r>
        <w:rPr>
          <w:rStyle w:val="VerbatimChar"/>
        </w:rPr>
        <w:t xml:space="preserve">data/processed/cox_model.rds</w:t>
      </w:r>
      <w:r>
        <w:t xml:space="preserve">.</w:t>
      </w:r>
    </w:p>
    <w:p>
      <w:pPr>
        <w:pStyle w:val="BodyText"/>
      </w:pPr>
      <w:r>
        <w:t xml:space="preserve">Both are the same failure mode: prose that was true when written and was not</w:t>
      </w:r>
      <w:r>
        <w:t xml:space="preserve"> </w:t>
      </w:r>
      <w:r>
        <w:t xml:space="preserve">re-derived when the model changed. Both are now computed rather than asserted.</w:t>
      </w:r>
    </w:p>
    <w:bookmarkEnd w:id="205"/>
    <w:bookmarkStart w:id="206" w:name="a16.6-what-replaced-the-failing-test"/>
    <w:p>
      <w:pPr>
        <w:pStyle w:val="Heading3"/>
      </w:pPr>
      <w:r>
        <w:t xml:space="preserve">A16.6 What replaced the failing test</w:t>
      </w:r>
    </w:p>
    <w:p>
      <w:pPr>
        <w:pStyle w:val="FirstParagraph"/>
      </w:pPr>
      <w:r>
        <w:t xml:space="preserve">The retired assertion was</w:t>
      </w:r>
      <w:r>
        <w:t xml:space="preserve"> </w:t>
      </w:r>
      <w:r>
        <w:rPr>
          <w:rStyle w:val="VerbatimChar"/>
        </w:rPr>
        <w:t xml:space="preserve">global cox.zph p &gt; 0.05</w:t>
      </w:r>
      <w:r>
        <w:t xml:space="preserve">. Two tests replace it, and</w:t>
      </w:r>
      <w:r>
        <w:t xml:space="preserve"> </w:t>
      </w:r>
      <w:r>
        <w:t xml:space="preserve">together they are stronger than what they retired:</w:t>
      </w:r>
    </w:p>
    <w:p>
      <w:pPr>
        <w:pStyle w:val="Compact"/>
        <w:numPr>
          <w:ilvl w:val="0"/>
          <w:numId w:val="1012"/>
        </w:numPr>
      </w:pPr>
      <w:r>
        <w:rPr>
          <w:rStyle w:val="VerbatimChar"/>
          <w:b/>
          <w:bCs/>
        </w:rPr>
        <w:t xml:space="preserve">PH violations are diagnosed per term and remediated</w:t>
      </w:r>
      <w:r>
        <w:rPr>
          <w:b/>
          <w:bCs/>
        </w:rPr>
        <w:t xml:space="preserve">.</w:t>
      </w:r>
      <w:r>
        <w:t xml:space="preserve"> </w:t>
      </w:r>
      <w:r>
        <w:t xml:space="preserve">If the global test</w:t>
      </w:r>
      <w:r>
        <w:t xml:space="preserve"> </w:t>
      </w:r>
      <w:r>
        <w:t xml:space="preserve">fails, every term failing at α = 0.05 must be named in the recorded</w:t>
      </w:r>
      <w:r>
        <w:t xml:space="preserve"> </w:t>
      </w:r>
      <w:r>
        <w:t xml:space="preserve">remediation, the remediation must exist as a fitted model on disk, and</w:t>
      </w:r>
      <w:r>
        <w:t xml:space="preserve"> </w:t>
      </w:r>
      <w:r>
        <w:t xml:space="preserve">stratifying on every violator must restore the global test above 0.05.</w:t>
      </w:r>
    </w:p>
    <w:p>
      <w:pPr>
        <w:pStyle w:val="Compact"/>
        <w:numPr>
          <w:ilvl w:val="0"/>
          <w:numId w:val="1012"/>
        </w:numPr>
      </w:pPr>
      <w:r>
        <w:rPr>
          <w:rStyle w:val="VerbatimChar"/>
          <w:b/>
          <w:bCs/>
        </w:rPr>
        <w:t xml:space="preserve">non-violating hazard ratios survive stratification on the violator</w:t>
      </w:r>
      <w:r>
        <w:rPr>
          <w:b/>
          <w:bCs/>
        </w:rPr>
        <w:t xml:space="preserve">.</w:t>
      </w:r>
      <w:r>
        <w:t xml:space="preserve"> </w:t>
      </w:r>
      <w:r>
        <w:t xml:space="preserve">No</w:t>
      </w:r>
      <w:r>
        <w:t xml:space="preserve"> </w:t>
      </w:r>
      <w:r>
        <w:t xml:space="preserve">hazard ratio outside the violating set may move more than 15% or change</w:t>
      </w:r>
      <w:r>
        <w:t xml:space="preserve"> </w:t>
      </w:r>
      <w:r>
        <w:t xml:space="preserve">direction when the violator is stratified out.</w:t>
      </w:r>
    </w:p>
    <w:p>
      <w:pPr>
        <w:pStyle w:val="FirstParagraph"/>
      </w:pPr>
      <w:r>
        <w:t xml:space="preserve">The old test could only say</w:t>
      </w:r>
      <w:r>
        <w:t xml:space="preserve"> </w:t>
      </w:r>
      <w:r>
        <w:t xml:space="preserve">“something is wrong”</w:t>
      </w:r>
      <w:r>
        <w:t xml:space="preserve">. Once it was on the</w:t>
      </w:r>
      <w:r>
        <w:t xml:space="preserve"> </w:t>
      </w:r>
      <w:r>
        <w:t xml:space="preserve">expected-failure manifest it could not say anything at all. The new pair fails</w:t>
      </w:r>
      <w:r>
        <w:t xml:space="preserve"> </w:t>
      </w:r>
      <w:r>
        <w:t xml:space="preserve">on a</w:t>
      </w:r>
      <w:r>
        <w:t xml:space="preserve"> </w:t>
      </w:r>
      <w:r>
        <w:rPr>
          <w:i/>
          <w:iCs/>
        </w:rPr>
        <w:t xml:space="preserve">silent</w:t>
      </w:r>
      <w:r>
        <w:t xml:space="preserve"> </w:t>
      </w:r>
      <w:r>
        <w:t xml:space="preserve">violation — one that is detected but not attributed or not</w:t>
      </w:r>
      <w:r>
        <w:t xml:space="preserve"> </w:t>
      </w:r>
      <w:r>
        <w:t xml:space="preserve">remedied — which is the condition that actually threatens the reported results.</w:t>
      </w:r>
    </w:p>
    <w:p>
      <w:pPr>
        <w:pStyle w:val="BodyText"/>
      </w:pPr>
      <w:r>
        <w:rPr>
          <w:rStyle w:val="VerbatimChar"/>
        </w:rPr>
        <w:t xml:space="preserve">tests/run_suite_gate.R</w:t>
      </w:r>
      <w:r>
        <w:t xml:space="preserve"> </w:t>
      </w:r>
      <w:r>
        <w:t xml:space="preserve">gained a matching guard. It already failed when a</w:t>
      </w:r>
      <w:r>
        <w:t xml:space="preserve"> </w:t>
      </w:r>
      <w:r>
        <w:t xml:space="preserve">manifest entry started passing; it now also fails when an entry names a test</w:t>
      </w:r>
      <w:r>
        <w:t xml:space="preserve"> </w:t>
      </w:r>
      <w:r>
        <w:t xml:space="preserve">that never ran. Renaming this test would otherwise have orphaned its manifest</w:t>
      </w:r>
      <w:r>
        <w:t xml:space="preserve"> </w:t>
      </w:r>
      <w:r>
        <w:t xml:space="preserve">entry, leaving a documented</w:t>
      </w:r>
      <w:r>
        <w:t xml:space="preserve"> </w:t>
      </w:r>
      <w:r>
        <w:t xml:space="preserve">“open decision”</w:t>
      </w:r>
      <w:r>
        <w:t xml:space="preserve"> </w:t>
      </w:r>
      <w:r>
        <w:t xml:space="preserve">with no assertion behind it.</w:t>
      </w:r>
    </w:p>
    <w:bookmarkEnd w:id="206"/>
    <w:bookmarkStart w:id="207" w:name="Xe4aa15c793597082c801f7bb37b12faf4c74cdf"/>
    <w:p>
      <w:pPr>
        <w:pStyle w:val="Heading3"/>
      </w:pPr>
      <w:r>
        <w:t xml:space="preserve">A16.7 Refit of 2026-09-05, after the gender correction</w:t>
      </w:r>
    </w:p>
    <w:p>
      <w:pPr>
        <w:pStyle w:val="FirstParagraph"/>
      </w:pPr>
      <w:r>
        <w:t xml:space="preserve">A concurrent correction to the author-gender waterfall moved</w:t>
      </w:r>
      <w:r>
        <w:t xml:space="preserve"> </w:t>
      </w:r>
      <w:r>
        <w:rPr>
          <w:rStyle w:val="VerbatimChar"/>
        </w:rPr>
        <w:t xml:space="preserve">gender_unified</w:t>
      </w:r>
      <w:r>
        <w:t xml:space="preserve"> </w:t>
      </w:r>
      <w:r>
        <w:t xml:space="preserve">on 74 of 1,106 abstracts — 58 male/female flips and 16 rows resolved from NA —</w:t>
      </w:r>
      <w:r>
        <w:t xml:space="preserve"> </w:t>
      </w:r>
      <w:r>
        <w:t xml:space="preserve">which enlarged the complete-case frames and moved every model coefficient. The</w:t>
      </w:r>
      <w:r>
        <w:t xml:space="preserve"> </w:t>
      </w:r>
      <w:r>
        <w:t xml:space="preserve">analysis was re-run and this appendix,</w:t>
      </w:r>
      <w:r>
        <w:t xml:space="preserve"> </w:t>
      </w:r>
      <w:r>
        <w:rPr>
          <w:rStyle w:val="VerbatimChar"/>
        </w:rPr>
        <w:t xml:space="preserve">docs/STATISTICAL_ANALYSIS.md</w:t>
      </w:r>
      <w:r>
        <w:t xml:space="preserve">, the</w:t>
      </w:r>
      <w:r>
        <w:t xml:space="preserve"> </w:t>
      </w:r>
      <w:r>
        <w:t xml:space="preserve">README and</w:t>
      </w:r>
      <w:r>
        <w:t xml:space="preserve"> </w:t>
      </w:r>
      <w:r>
        <w:rPr>
          <w:rStyle w:val="VerbatimChar"/>
        </w:rPr>
        <w:t xml:space="preserve">docs/manuscript_claims.csv</w:t>
      </w:r>
      <w:r>
        <w:t xml:space="preserve"> </w:t>
      </w:r>
      <w:r>
        <w:t xml:space="preserve">were updated to the refitted values.</w:t>
      </w:r>
    </w:p>
    <w:p>
      <w:pPr>
        <w:pStyle w:val="BodyText"/>
      </w:pPr>
      <w:r>
        <w:rPr>
          <w:b/>
          <w:bCs/>
        </w:rPr>
        <w:t xml:space="preserve">The headline results did not move.</w:t>
      </w:r>
      <w:r>
        <w:t xml:space="preserve"> </w:t>
      </w:r>
      <w:r>
        <w:t xml:space="preserve">The publication rate is still 178 of</w:t>
      </w:r>
      <w:r>
        <w:t xml:space="preserve"> </w:t>
      </w:r>
      <w:r>
        <w:t xml:space="preserve">1,051 evaluated (16.9%), the median time to publication is still 13.7 months</w:t>
      </w:r>
      <w:r>
        <w:t xml:space="preserve"> </w:t>
      </w:r>
      <w:r>
        <w:t xml:space="preserve">(IQR 5.7–22.6), and every sensitivity scenario is unchanged. The estimand</w:t>
      </w:r>
      <w:r>
        <w:t xml:space="preserve"> </w:t>
      </w:r>
      <w:r>
        <w:t xml:space="preserve">fingerprint is unchanged across all 18 components, so the analysis is answering</w:t>
      </w:r>
      <w:r>
        <w:t xml:space="preserve"> </w:t>
      </w:r>
      <w:r>
        <w:t xml:space="preserve">the same question; only its estimates shifted.</w:t>
      </w:r>
    </w:p>
    <w:p>
      <w:pPr>
        <w:pStyle w:val="BodyText"/>
      </w:pPr>
      <w:r>
        <w:t xml:space="preserve">What did move: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Cox n / events</w:t>
            </w:r>
          </w:p>
        </w:tc>
        <w:tc>
          <w:tcPr/>
          <w:p>
            <w:pPr>
              <w:pStyle w:val="Compact"/>
              <w:jc w:val="right"/>
            </w:pPr>
            <w:r>
              <w:t xml:space="preserve">1,005 / 170</w:t>
            </w:r>
          </w:p>
        </w:tc>
        <w:tc>
          <w:tcPr/>
          <w:p>
            <w:pPr>
              <w:pStyle w:val="Compact"/>
              <w:jc w:val="right"/>
            </w:pPr>
            <w:r>
              <w:t xml:space="preserve">1,020 / 171</w:t>
            </w:r>
          </w:p>
        </w:tc>
      </w:tr>
      <w:tr>
        <w:tc>
          <w:tcPr/>
          <w:p>
            <w:pPr>
              <w:pStyle w:val="Compact"/>
            </w:pPr>
            <w:r>
              <w:t xml:space="preserve">Logistic n</w:t>
            </w:r>
          </w:p>
        </w:tc>
        <w:tc>
          <w:tcPr/>
          <w:p>
            <w:pPr>
              <w:pStyle w:val="Compact"/>
              <w:jc w:val="right"/>
            </w:pPr>
            <w:r>
              <w:t xml:space="preserve">1,011</w:t>
            </w:r>
          </w:p>
        </w:tc>
        <w:tc>
          <w:tcPr/>
          <w:p>
            <w:pPr>
              <w:pStyle w:val="Compact"/>
              <w:jc w:val="right"/>
            </w:pPr>
            <w:r>
              <w:t xml:space="preserve">1,027</w:t>
            </w:r>
          </w:p>
        </w:tc>
      </w:tr>
      <w:tr>
        <w:tc>
          <w:tcPr/>
          <w:p>
            <w:pPr>
              <w:pStyle w:val="Compact"/>
            </w:pPr>
            <w:r>
              <w:rPr>
                <w:rStyle w:val="VerbatimChar"/>
              </w:rPr>
              <w:t xml:space="preserve">is_rct</w:t>
            </w:r>
            <w:r>
              <w:t xml:space="preserve"> </w:t>
            </w:r>
            <w:r>
              <w:t xml:space="preserve">HR</w:t>
            </w:r>
          </w:p>
        </w:tc>
        <w:tc>
          <w:tcPr/>
          <w:p>
            <w:pPr>
              <w:pStyle w:val="Compact"/>
              <w:jc w:val="right"/>
            </w:pPr>
            <w:r>
              <w:t xml:space="preserve">2.227</w:t>
            </w:r>
          </w:p>
        </w:tc>
        <w:tc>
          <w:tcPr/>
          <w:p>
            <w:pPr>
              <w:pStyle w:val="Compact"/>
              <w:jc w:val="right"/>
            </w:pPr>
            <w:r>
              <w:t xml:space="preserve">2.146</w:t>
            </w:r>
          </w:p>
        </w:tc>
      </w:tr>
      <w:tr>
        <w:tc>
          <w:tcPr/>
          <w:p>
            <w:pPr>
              <w:pStyle w:val="Compact"/>
            </w:pPr>
            <w:r>
              <w:rPr>
                <w:rStyle w:val="VerbatimChar"/>
              </w:rPr>
              <w:t xml:space="preserve">is_academic</w:t>
            </w:r>
            <w:r>
              <w:t xml:space="preserve"> </w:t>
            </w:r>
            <w:r>
              <w:t xml:space="preserve">HR</w:t>
            </w:r>
          </w:p>
        </w:tc>
        <w:tc>
          <w:tcPr/>
          <w:p>
            <w:pPr>
              <w:pStyle w:val="Compact"/>
              <w:jc w:val="right"/>
            </w:pPr>
            <w:r>
              <w:t xml:space="preserve">0.620</w:t>
            </w:r>
          </w:p>
        </w:tc>
        <w:tc>
          <w:tcPr/>
          <w:p>
            <w:pPr>
              <w:pStyle w:val="Compact"/>
              <w:jc w:val="right"/>
            </w:pPr>
            <w:r>
              <w:t xml:space="preserve">0.637</w:t>
            </w:r>
          </w:p>
        </w:tc>
      </w:tr>
      <w:tr>
        <w:tc>
          <w:tcPr/>
          <w:p>
            <w:pPr>
              <w:pStyle w:val="Compact"/>
            </w:pPr>
            <w:r>
              <w:rPr>
                <w:rStyle w:val="VerbatimChar"/>
              </w:rPr>
              <w:t xml:space="preserve">n_authors</w:t>
            </w:r>
            <w:r>
              <w:t xml:space="preserve"> </w:t>
            </w:r>
            <w:r>
              <w:t xml:space="preserve">HR (averaged)</w:t>
            </w:r>
          </w:p>
        </w:tc>
        <w:tc>
          <w:tcPr/>
          <w:p>
            <w:pPr>
              <w:pStyle w:val="Compact"/>
              <w:jc w:val="right"/>
            </w:pPr>
            <w:r>
              <w:t xml:space="preserve">1.257</w:t>
            </w:r>
          </w:p>
        </w:tc>
        <w:tc>
          <w:tcPr/>
          <w:p>
            <w:pPr>
              <w:pStyle w:val="Compact"/>
              <w:jc w:val="right"/>
            </w:pPr>
            <w:r>
              <w:t xml:space="preserve">1.266</w:t>
            </w:r>
          </w:p>
        </w:tc>
      </w:tr>
      <w:tr>
        <w:tc>
          <w:tcPr/>
          <w:p>
            <w:pPr>
              <w:pStyle w:val="Compact"/>
            </w:pPr>
            <w:r>
              <w:rPr>
                <w:rStyle w:val="VerbatimChar"/>
              </w:rPr>
              <w:t xml:space="preserve">gender_unified</w:t>
            </w:r>
            <w:r>
              <w:t xml:space="preserve"> </w:t>
            </w:r>
            <w:r>
              <w:t xml:space="preserve">HR</w:t>
            </w:r>
          </w:p>
        </w:tc>
        <w:tc>
          <w:tcPr/>
          <w:p>
            <w:pPr>
              <w:pStyle w:val="Compact"/>
              <w:jc w:val="right"/>
            </w:pPr>
            <w:r>
              <w:t xml:space="preserve">0.814</w:t>
            </w:r>
          </w:p>
        </w:tc>
        <w:tc>
          <w:tcPr/>
          <w:p>
            <w:pPr>
              <w:pStyle w:val="Compact"/>
              <w:jc w:val="right"/>
            </w:pPr>
            <w:r>
              <w:t xml:space="preserve">0.779</w:t>
            </w:r>
          </w:p>
        </w:tc>
      </w:tr>
      <w:tr>
        <w:tc>
          <w:tcPr/>
          <w:p>
            <w:pPr>
              <w:pStyle w:val="Compact"/>
            </w:pPr>
            <w:r>
              <w:t xml:space="preserve">PH global p</w:t>
            </w:r>
          </w:p>
        </w:tc>
        <w:tc>
          <w:tcPr/>
          <w:p>
            <w:pPr>
              <w:pStyle w:val="Compact"/>
              <w:jc w:val="right"/>
            </w:pPr>
            <w:r>
              <w:t xml:space="preserve">0.043</w:t>
            </w:r>
          </w:p>
        </w:tc>
        <w:tc>
          <w:tcPr/>
          <w:p>
            <w:pPr>
              <w:pStyle w:val="Compact"/>
              <w:jc w:val="right"/>
            </w:pPr>
            <w:r>
              <w:t xml:space="preserve">0.041</w:t>
            </w:r>
          </w:p>
        </w:tc>
      </w:tr>
      <w:tr>
        <w:tc>
          <w:tcPr/>
          <w:p>
            <w:pPr>
              <w:pStyle w:val="Compact"/>
            </w:pPr>
            <w:r>
              <w:t xml:space="preserve">PH global p, stratified</w:t>
            </w:r>
          </w:p>
        </w:tc>
        <w:tc>
          <w:tcPr/>
          <w:p>
            <w:pPr>
              <w:pStyle w:val="Compact"/>
              <w:jc w:val="right"/>
            </w:pPr>
            <w:r>
              <w:t xml:space="preserve">0.688</w:t>
            </w:r>
          </w:p>
        </w:tc>
        <w:tc>
          <w:tcPr/>
          <w:p>
            <w:pPr>
              <w:pStyle w:val="Compact"/>
              <w:jc w:val="right"/>
            </w:pPr>
            <w:r>
              <w:t xml:space="preserve">0.71</w:t>
            </w:r>
          </w:p>
        </w:tc>
      </w:tr>
    </w:tbl>
    <w:p>
      <w:pPr>
        <w:pStyle w:val="BodyText"/>
      </w:pPr>
      <w:r>
        <w:t xml:space="preserve">The conclusion of A16 is unchanged and was reached without re-deciding</w:t>
      </w:r>
      <w:r>
        <w:t xml:space="preserve"> </w:t>
      </w:r>
      <w:r>
        <w:t xml:space="preserve">anything:</w:t>
      </w:r>
      <w:r>
        <w:t xml:space="preserve"> </w:t>
      </w:r>
      <w:r>
        <w:rPr>
          <w:rStyle w:val="VerbatimChar"/>
        </w:rPr>
        <w:t xml:space="preserve">n_authors</w:t>
      </w:r>
      <w:r>
        <w:t xml:space="preserve"> </w:t>
      </w:r>
      <w:r>
        <w:t xml:space="preserve">remains the only term violating proportional hazards</w:t>
      </w:r>
      <w:r>
        <w:t xml:space="preserve"> </w:t>
      </w:r>
      <w:r>
        <w:t xml:space="preserve">(p = 0.002 against p ≥ 0.15 for every other term), and the remediation logic in</w:t>
      </w:r>
      <w:r>
        <w:t xml:space="preserve"> </w:t>
      </w:r>
      <w:r>
        <w:rPr>
          <w:rStyle w:val="VerbatimChar"/>
        </w:rPr>
        <w:t xml:space="preserve">R/06_analyze_results.R</w:t>
      </w:r>
      <w:r>
        <w:t xml:space="preserve"> </w:t>
      </w:r>
      <w:r>
        <w:t xml:space="preserve">re-diagnosed and re-applied the log-time interaction on</w:t>
      </w:r>
      <w:r>
        <w:t xml:space="preserve"> </w:t>
      </w:r>
      <w:r>
        <w:t xml:space="preserve">its own, because it reads the violation from</w:t>
      </w:r>
      <w:r>
        <w:t xml:space="preserve"> </w:t>
      </w:r>
      <w:r>
        <w:rPr>
          <w:rStyle w:val="VerbatimChar"/>
        </w:rPr>
        <w:t xml:space="preserve">cox.zph</w:t>
      </w:r>
      <w:r>
        <w:t xml:space="preserve"> </w:t>
      </w:r>
      <w:r>
        <w:t xml:space="preserve">rather than naming the</w:t>
      </w:r>
      <w:r>
        <w:t xml:space="preserve"> </w:t>
      </w:r>
      <w:r>
        <w:t xml:space="preserve">term. That is the property the generic implementation was written for.</w:t>
      </w:r>
    </w:p>
    <w:p>
      <w:pPr>
        <w:pStyle w:val="BodyText"/>
      </w:pPr>
      <w:r>
        <w:t xml:space="preserve">One reading did change and is worth flagging rather than burying.</w:t>
      </w:r>
      <w:r>
        <w:t xml:space="preserve"> </w:t>
      </w:r>
      <w:r>
        <w:rPr>
          <w:rStyle w:val="VerbatimChar"/>
        </w:rPr>
        <w:t xml:space="preserve">is_academic</w:t>
      </w:r>
      <w:r>
        <w:t xml:space="preserve"> </w:t>
      </w:r>
      <w:r>
        <w:t xml:space="preserve">was significant in</w:t>
      </w:r>
      <w:r>
        <w:t xml:space="preserve"> </w:t>
      </w:r>
      <w:r>
        <w:rPr>
          <w:b/>
          <w:bCs/>
        </w:rPr>
        <w:t xml:space="preserve">all twelve</w:t>
      </w:r>
      <w:r>
        <w:t xml:space="preserve"> </w:t>
      </w:r>
      <w:r>
        <w:t xml:space="preserve">leave-one-congress-out refits before the</w:t>
      </w:r>
      <w:r>
        <w:t xml:space="preserve"> </w:t>
      </w:r>
      <w:r>
        <w:t xml:space="preserve">correction and is now significant in</w:t>
      </w:r>
      <w:r>
        <w:t xml:space="preserve"> </w:t>
      </w:r>
      <w:r>
        <w:rPr>
          <w:b/>
          <w:bCs/>
        </w:rPr>
        <w:t xml:space="preserve">eleven of twelve</w:t>
      </w:r>
      <w:r>
        <w:t xml:space="preserve">, while its bootstrap</w:t>
      </w:r>
      <w:r>
        <w:t xml:space="preserve"> </w:t>
      </w:r>
      <w:r>
        <w:t xml:space="preserve">retention fell from 67.4% to 62.0%. It was already described as</w:t>
      </w:r>
      <w:r>
        <w:t xml:space="preserve"> </w:t>
      </w:r>
      <w:r>
        <w:t xml:space="preserve">“not</w:t>
      </w:r>
      <w:r>
        <w:t xml:space="preserve"> </w:t>
      </w:r>
      <w:r>
        <w:t xml:space="preserve">congress-driven but not sampling-robust”</w:t>
      </w:r>
      <w:r>
        <w:t xml:space="preserve">; it is now marginally less</w:t>
      </w:r>
      <w:r>
        <w:t xml:space="preserve"> </w:t>
      </w:r>
      <w:r>
        <w:t xml:space="preserve">congress-independent as well. The qualification it carries should be read as</w:t>
      </w:r>
      <w:r>
        <w:t xml:space="preserve"> </w:t>
      </w:r>
      <w:r>
        <w:t xml:space="preserve">having got slightly stronger, not weaker.</w:t>
      </w:r>
    </w:p>
    <w:bookmarkEnd w:id="207"/>
    <w:bookmarkEnd w:id="2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 Target="media/rId200.png" /><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2026-09-05T03:01:13Z</dcterms:created>
  <dcterms:modified xsi:type="dcterms:W3CDTF">2026-09-05T03:01:13Z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04,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