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April 18, 2026</w:t>
      </w:r>
    </w:p>
    <w:bookmarkStart w:id="12"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12 test files (391 unit and semantic tests), and a Shiny web application for human adjudication. The pipeline executes in 10 sequential steps, with checkpoint-based resume support for API-dependent stages. All source code and deidentified output data are available at</w:t>
      </w:r>
      <w:r>
        <w:t xml:space="preserve"> </w:t>
      </w:r>
      <w:hyperlink r:id="rId9">
        <w:r>
          <w:rPr>
            <w:rStyle w:val="Hyperlink"/>
          </w:rPr>
          <w:t xml:space="preserve">https://github.com/mufflyt/abstract_lifetime</w:t>
        </w:r>
      </w:hyperlink>
      <w:r>
        <w:t xml:space="preserve">.</w:t>
      </w:r>
    </w:p>
    <w:bookmarkStart w:id="10"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1522 PubMed XML files, 1154 ScienceDirect HTML files</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1070 abstracts</w:t>
      </w:r>
    </w:p>
    <w:bookmarkEnd w:id="10"/>
    <w:bookmarkStart w:id="11"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11"/>
    <w:bookmarkEnd w:id="12"/>
    <w:bookmarkStart w:id="16" w:name="a2.-data-sources-and-api-usage"/>
    <w:p>
      <w:pPr>
        <w:pStyle w:val="Heading2"/>
      </w:pPr>
      <w:r>
        <w:t xml:space="preserve">A2. Data Sources and API Usage</w:t>
      </w:r>
    </w:p>
    <w:bookmarkStart w:id="13"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 total of 1154 article pages were cached.</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13"/>
    <w:bookmarkStart w:id="14"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14"/>
    <w:bookmarkStart w:id="15"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(1522 files). All search stages used RDS-based checkpoints enabling resume after interruption.</w:t>
      </w:r>
    </w:p>
    <w:bookmarkEnd w:id="15"/>
    <w:bookmarkEnd w:id="16"/>
    <w:bookmarkStart w:id="21" w:name="a3.-matching-algorithm"/>
    <w:p>
      <w:pPr>
        <w:pStyle w:val="Heading2"/>
      </w:pPr>
      <w:r>
        <w:t xml:space="preserve">A3. Matching Algorithm</w:t>
      </w:r>
    </w:p>
    <w:bookmarkStart w:id="17"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17"/>
    <w:bookmarkStart w:id="18"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18"/>
    <w:bookmarkStart w:id="20" w:name="a3.3-human-adjudication"/>
    <w:p>
      <w:pPr>
        <w:pStyle w:val="Heading3"/>
      </w:pPr>
      <w:r>
        <w:t xml:space="preserve">A3.3 Human Adjudication</w:t>
      </w:r>
    </w:p>
    <w:p>
      <w:pPr>
        <w:pStyle w:val="FirstParagraph"/>
      </w:pPr>
      <w:r>
        <w:t xml:space="preserve">A Shiny web application (</w:t>
      </w:r>
      <w:hyperlink r:id="rId19">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20"/>
    <w:bookmarkEnd w:id="21"/>
    <w:bookmarkStart w:id="27" w:name="a4.-variable-extraction-methods"/>
    <w:p>
      <w:pPr>
        <w:pStyle w:val="Heading2"/>
      </w:pPr>
      <w:r>
        <w:t xml:space="preserve">A4. Variable Extraction Methods</w:t>
      </w:r>
    </w:p>
    <w:bookmarkStart w:id="22"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22"/>
    <w:bookmarkStart w:id="23"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23"/>
    <w:bookmarkStart w:id="24"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24"/>
    <w:bookmarkStart w:id="25"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25"/>
    <w:bookmarkStart w:id="26"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17.6%.</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17%.</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15.7%.</w:t>
      </w:r>
    </w:p>
    <w:bookmarkEnd w:id="26"/>
    <w:bookmarkEnd w:id="27"/>
    <w:bookmarkStart w:id="30" w:name="a5.-algorithm-validation"/>
    <w:p>
      <w:pPr>
        <w:pStyle w:val="Heading2"/>
      </w:pPr>
      <w:r>
        <w:t xml:space="preserve">A5. Algorithm Validation</w:t>
      </w:r>
    </w:p>
    <w:bookmarkStart w:id="28"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28"/>
    <w:bookmarkStart w:id="29"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69.4%</w:t>
            </w:r>
          </w:p>
        </w:tc>
      </w:tr>
      <w:tr>
        <w:tc>
          <w:tcPr/>
          <w:p>
            <w:pPr>
              <w:pStyle w:val="Compact"/>
              <w:jc w:val="left"/>
            </w:pPr>
            <w:r>
              <w:t xml:space="preserve">Positive predictive value</w:t>
            </w:r>
          </w:p>
        </w:tc>
        <w:tc>
          <w:tcPr/>
          <w:p>
            <w:pPr>
              <w:pStyle w:val="Compact"/>
              <w:jc w:val="left"/>
            </w:pPr>
            <w:r>
              <w:t xml:space="preserve">56%</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78%</w:t>
            </w:r>
          </w:p>
        </w:tc>
      </w:tr>
    </w:tbl>
    <w:p>
      <w:pPr>
        <w:pStyle w:val="BodyText"/>
      </w:pPr>
      <w:r>
        <w:t xml:space="preserve">The algorithm achieved 100% sensitivity (no missed publications in the gold standard) and 69.4% specificity. The 30.6% false positive rate reflects cases where the scoring algorithm identified a high-scoring candidate that was not the true published version of the abstract (e.g., a related paper by the same author group on a similar topic).</w:t>
      </w:r>
    </w:p>
    <w:bookmarkEnd w:id="29"/>
    <w:bookmarkEnd w:id="30"/>
    <w:bookmarkStart w:id="31" w:name="a6.-sensitivity-analyses"/>
    <w:p>
      <w:pPr>
        <w:pStyle w:val="Heading2"/>
      </w:pPr>
      <w:r>
        <w:t xml:space="preserve">A6. Sensitivity Analyses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Scenario</w:t>
            </w:r>
          </w:p>
        </w:tc>
        <w:tc>
          <w:tcPr/>
          <w:p>
            <w:pPr>
              <w:pStyle w:val="Compact"/>
              <w:jc w:val="right"/>
            </w:pPr>
            <w:r>
              <w:t xml:space="preserve">N evaluated</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right"/>
            </w:pPr>
            <w:r>
              <w:t xml:space="preserve">1070</w:t>
            </w:r>
          </w:p>
        </w:tc>
        <w:tc>
          <w:tcPr/>
          <w:p>
            <w:pPr>
              <w:pStyle w:val="Compact"/>
              <w:jc w:val="right"/>
            </w:pPr>
            <w:r>
              <w:t xml:space="preserve">122</w:t>
            </w:r>
          </w:p>
        </w:tc>
        <w:tc>
          <w:tcPr/>
          <w:p>
            <w:pPr>
              <w:pStyle w:val="Compact"/>
              <w:jc w:val="right"/>
            </w:pPr>
            <w:r>
              <w:t xml:space="preserve">11.4</w:t>
            </w:r>
          </w:p>
        </w:tc>
      </w:tr>
      <w:tr>
        <w:tc>
          <w:tcPr/>
          <w:p>
            <w:pPr>
              <w:pStyle w:val="Compact"/>
              <w:jc w:val="left"/>
            </w:pPr>
            <w:r>
              <w:t xml:space="preserve">Definite + probable</w:t>
            </w:r>
          </w:p>
        </w:tc>
        <w:tc>
          <w:tcPr/>
          <w:p>
            <w:pPr>
              <w:pStyle w:val="Compact"/>
              <w:jc w:val="right"/>
            </w:pPr>
            <w:r>
              <w:t xml:space="preserve">1070</w:t>
            </w:r>
          </w:p>
        </w:tc>
        <w:tc>
          <w:tcPr/>
          <w:p>
            <w:pPr>
              <w:pStyle w:val="Compact"/>
              <w:jc w:val="right"/>
            </w:pPr>
            <w:r>
              <w:t xml:space="preserve">196</w:t>
            </w:r>
          </w:p>
        </w:tc>
        <w:tc>
          <w:tcPr/>
          <w:p>
            <w:pPr>
              <w:pStyle w:val="Compact"/>
              <w:jc w:val="right"/>
            </w:pPr>
            <w:r>
              <w:t xml:space="preserve">18.3</w:t>
            </w:r>
          </w:p>
        </w:tc>
      </w:tr>
      <w:tr>
        <w:tc>
          <w:tcPr/>
          <w:p>
            <w:pPr>
              <w:pStyle w:val="Compact"/>
              <w:jc w:val="left"/>
            </w:pPr>
            <w:r>
              <w:t xml:space="preserve">Definite + reviewer-confirmed</w:t>
            </w:r>
          </w:p>
        </w:tc>
        <w:tc>
          <w:tcPr/>
          <w:p>
            <w:pPr>
              <w:pStyle w:val="Compact"/>
              <w:jc w:val="right"/>
            </w:pPr>
            <w:r>
              <w:t xml:space="preserve">846</w:t>
            </w:r>
          </w:p>
        </w:tc>
        <w:tc>
          <w:tcPr/>
          <w:p>
            <w:pPr>
              <w:pStyle w:val="Compact"/>
              <w:jc w:val="right"/>
            </w:pPr>
            <w:r>
              <w:t xml:space="preserve">123</w:t>
            </w:r>
          </w:p>
        </w:tc>
        <w:tc>
          <w:tcPr/>
          <w:p>
            <w:pPr>
              <w:pStyle w:val="Compact"/>
              <w:jc w:val="right"/>
            </w:pPr>
            <w:r>
              <w:t xml:space="preserve">14.5</w:t>
            </w:r>
          </w:p>
        </w:tc>
      </w:tr>
      <w:tr>
        <w:tc>
          <w:tcPr/>
          <w:p>
            <w:pPr>
              <w:pStyle w:val="Compact"/>
              <w:jc w:val="left"/>
            </w:pPr>
            <w:r>
              <w:t xml:space="preserve">Published within 12 months</w:t>
            </w:r>
          </w:p>
        </w:tc>
        <w:tc>
          <w:tcPr/>
          <w:p>
            <w:pPr>
              <w:pStyle w:val="Compact"/>
              <w:jc w:val="right"/>
            </w:pPr>
            <w:r>
              <w:t xml:space="preserve">846</w:t>
            </w:r>
          </w:p>
        </w:tc>
        <w:tc>
          <w:tcPr/>
          <w:p>
            <w:pPr>
              <w:pStyle w:val="Compact"/>
              <w:jc w:val="right"/>
            </w:pPr>
            <w:r>
              <w:t xml:space="preserve">58</w:t>
            </w:r>
          </w:p>
        </w:tc>
        <w:tc>
          <w:tcPr/>
          <w:p>
            <w:pPr>
              <w:pStyle w:val="Compact"/>
              <w:jc w:val="right"/>
            </w:pPr>
            <w:r>
              <w:t xml:space="preserve">6.9</w:t>
            </w:r>
          </w:p>
        </w:tc>
      </w:tr>
      <w:tr>
        <w:tc>
          <w:tcPr/>
          <w:p>
            <w:pPr>
              <w:pStyle w:val="Compact"/>
              <w:jc w:val="left"/>
            </w:pPr>
            <w:r>
              <w:t xml:space="preserve">Published within 24 months</w:t>
            </w:r>
          </w:p>
        </w:tc>
        <w:tc>
          <w:tcPr/>
          <w:p>
            <w:pPr>
              <w:pStyle w:val="Compact"/>
              <w:jc w:val="right"/>
            </w:pPr>
            <w:r>
              <w:t xml:space="preserve">846</w:t>
            </w:r>
          </w:p>
        </w:tc>
        <w:tc>
          <w:tcPr/>
          <w:p>
            <w:pPr>
              <w:pStyle w:val="Compact"/>
              <w:jc w:val="right"/>
            </w:pPr>
            <w:r>
              <w:t xml:space="preserve">102</w:t>
            </w:r>
          </w:p>
        </w:tc>
        <w:tc>
          <w:tcPr/>
          <w:p>
            <w:pPr>
              <w:pStyle w:val="Compact"/>
              <w:jc w:val="right"/>
            </w:pPr>
            <w:r>
              <w:t xml:space="preserve">12.1</w:t>
            </w:r>
          </w:p>
        </w:tc>
      </w:tr>
      <w:tr>
        <w:tc>
          <w:tcPr/>
          <w:p>
            <w:pPr>
              <w:pStyle w:val="Compact"/>
              <w:jc w:val="left"/>
            </w:pPr>
            <w:r>
              <w:t xml:space="preserve">Published within 36 months</w:t>
            </w:r>
          </w:p>
        </w:tc>
        <w:tc>
          <w:tcPr/>
          <w:p>
            <w:pPr>
              <w:pStyle w:val="Compact"/>
              <w:jc w:val="right"/>
            </w:pPr>
            <w:r>
              <w:t xml:space="preserve">800</w:t>
            </w:r>
          </w:p>
        </w:tc>
        <w:tc>
          <w:tcPr/>
          <w:p>
            <w:pPr>
              <w:pStyle w:val="Compact"/>
              <w:jc w:val="right"/>
            </w:pPr>
            <w:r>
              <w:t xml:space="preserve">103</w:t>
            </w:r>
          </w:p>
        </w:tc>
        <w:tc>
          <w:tcPr/>
          <w:p>
            <w:pPr>
              <w:pStyle w:val="Compact"/>
              <w:jc w:val="right"/>
            </w:pPr>
            <w:r>
              <w:t xml:space="preserve">12.9</w:t>
            </w:r>
          </w:p>
        </w:tc>
      </w:tr>
      <w:tr>
        <w:tc>
          <w:tcPr/>
          <w:p>
            <w:pPr>
              <w:pStyle w:val="Compact"/>
              <w:jc w:val="left"/>
            </w:pPr>
            <w:r>
              <w:t xml:space="preserve">Published within 48 months</w:t>
            </w:r>
          </w:p>
        </w:tc>
        <w:tc>
          <w:tcPr/>
          <w:p>
            <w:pPr>
              <w:pStyle w:val="Compact"/>
              <w:jc w:val="right"/>
            </w:pPr>
            <w:r>
              <w:t xml:space="preserve">730</w:t>
            </w:r>
          </w:p>
        </w:tc>
        <w:tc>
          <w:tcPr/>
          <w:p>
            <w:pPr>
              <w:pStyle w:val="Compact"/>
              <w:jc w:val="right"/>
            </w:pPr>
            <w:r>
              <w:t xml:space="preserve">92</w:t>
            </w:r>
          </w:p>
        </w:tc>
        <w:tc>
          <w:tcPr/>
          <w:p>
            <w:pPr>
              <w:pStyle w:val="Compact"/>
              <w:jc w:val="right"/>
            </w:pPr>
            <w:r>
              <w:t xml:space="preserve">12.6</w:t>
            </w:r>
          </w:p>
        </w:tc>
      </w:tr>
    </w:tbl>
    <w:bookmarkEnd w:id="31"/>
    <w:bookmarkStart w:id="32"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2.37</w:t>
            </w:r>
          </w:p>
        </w:tc>
        <w:tc>
          <w:tcPr/>
          <w:p>
            <w:pPr>
              <w:pStyle w:val="Compact"/>
              <w:jc w:val="left"/>
            </w:pPr>
            <w:r>
              <w:t xml:space="preserve">1.39-4.04</w:t>
            </w:r>
          </w:p>
        </w:tc>
        <w:tc>
          <w:tcPr/>
          <w:p>
            <w:pPr>
              <w:pStyle w:val="Compact"/>
              <w:jc w:val="right"/>
            </w:pPr>
            <w:r>
              <w:t xml:space="preserve">0.002</w:t>
            </w:r>
          </w:p>
        </w:tc>
      </w:tr>
      <w:tr>
        <w:tc>
          <w:tcPr/>
          <w:p>
            <w:pPr>
              <w:pStyle w:val="Compact"/>
              <w:jc w:val="left"/>
            </w:pPr>
            <w:r>
              <w:t xml:space="preserve">is_academicTRUE</w:t>
            </w:r>
          </w:p>
        </w:tc>
        <w:tc>
          <w:tcPr/>
          <w:p>
            <w:pPr>
              <w:pStyle w:val="Compact"/>
              <w:jc w:val="right"/>
            </w:pPr>
            <w:r>
              <w:t xml:space="preserve">0.86</w:t>
            </w:r>
          </w:p>
        </w:tc>
        <w:tc>
          <w:tcPr/>
          <w:p>
            <w:pPr>
              <w:pStyle w:val="Compact"/>
              <w:jc w:val="left"/>
            </w:pPr>
            <w:r>
              <w:t xml:space="preserve">0.5-1.48</w:t>
            </w:r>
          </w:p>
        </w:tc>
        <w:tc>
          <w:tcPr/>
          <w:p>
            <w:pPr>
              <w:pStyle w:val="Compact"/>
              <w:jc w:val="right"/>
            </w:pPr>
            <w:r>
              <w:t xml:space="preserve">0.589</w:t>
            </w:r>
          </w:p>
        </w:tc>
      </w:tr>
      <w:tr>
        <w:tc>
          <w:tcPr/>
          <w:p>
            <w:pPr>
              <w:pStyle w:val="Compact"/>
              <w:jc w:val="left"/>
            </w:pPr>
            <w:r>
              <w:t xml:space="preserve">is_us_basedTRUE</w:t>
            </w:r>
          </w:p>
        </w:tc>
        <w:tc>
          <w:tcPr/>
          <w:p>
            <w:pPr>
              <w:pStyle w:val="Compact"/>
              <w:jc w:val="right"/>
            </w:pPr>
            <w:r>
              <w:t xml:space="preserve">1.41</w:t>
            </w:r>
          </w:p>
        </w:tc>
        <w:tc>
          <w:tcPr/>
          <w:p>
            <w:pPr>
              <w:pStyle w:val="Compact"/>
              <w:jc w:val="left"/>
            </w:pPr>
            <w:r>
              <w:t xml:space="preserve">0.94-2.1</w:t>
            </w:r>
          </w:p>
        </w:tc>
        <w:tc>
          <w:tcPr/>
          <w:p>
            <w:pPr>
              <w:pStyle w:val="Compact"/>
              <w:jc w:val="right"/>
            </w:pPr>
            <w:r>
              <w:t xml:space="preserve">0.095</w:t>
            </w:r>
          </w:p>
        </w:tc>
      </w:tr>
      <w:tr>
        <w:tc>
          <w:tcPr/>
          <w:p>
            <w:pPr>
              <w:pStyle w:val="Compact"/>
              <w:jc w:val="left"/>
            </w:pPr>
            <w:r>
              <w:t xml:space="preserve">n_authors</w:t>
            </w:r>
          </w:p>
        </w:tc>
        <w:tc>
          <w:tcPr/>
          <w:p>
            <w:pPr>
              <w:pStyle w:val="Compact"/>
              <w:jc w:val="right"/>
            </w:pPr>
            <w:r>
              <w:t xml:space="preserve">1.25</w:t>
            </w:r>
          </w:p>
        </w:tc>
        <w:tc>
          <w:tcPr/>
          <w:p>
            <w:pPr>
              <w:pStyle w:val="Compact"/>
              <w:jc w:val="left"/>
            </w:pPr>
            <w:r>
              <w:t xml:space="preserve">1.06-1.46</w:t>
            </w:r>
          </w:p>
        </w:tc>
        <w:tc>
          <w:tcPr/>
          <w:p>
            <w:pPr>
              <w:pStyle w:val="Compact"/>
              <w:jc w:val="right"/>
            </w:pPr>
            <w:r>
              <w:t xml:space="preserve">0.007</w:t>
            </w:r>
          </w:p>
        </w:tc>
      </w:tr>
      <w:tr>
        <w:tc>
          <w:tcPr/>
          <w:p>
            <w:pPr>
              <w:pStyle w:val="Compact"/>
              <w:jc w:val="left"/>
            </w:pPr>
            <w:r>
              <w:t xml:space="preserve">is_multicenterTRUE</w:t>
            </w:r>
          </w:p>
        </w:tc>
        <w:tc>
          <w:tcPr/>
          <w:p>
            <w:pPr>
              <w:pStyle w:val="Compact"/>
              <w:jc w:val="right"/>
            </w:pPr>
            <w:r>
              <w:t xml:space="preserve">1.76</w:t>
            </w:r>
          </w:p>
        </w:tc>
        <w:tc>
          <w:tcPr/>
          <w:p>
            <w:pPr>
              <w:pStyle w:val="Compact"/>
              <w:jc w:val="left"/>
            </w:pPr>
            <w:r>
              <w:t xml:space="preserve">0.82-3.8</w:t>
            </w:r>
          </w:p>
        </w:tc>
        <w:tc>
          <w:tcPr/>
          <w:p>
            <w:pPr>
              <w:pStyle w:val="Compact"/>
              <w:jc w:val="right"/>
            </w:pPr>
            <w:r>
              <w:t xml:space="preserve">0.146</w:t>
            </w:r>
          </w:p>
        </w:tc>
      </w:tr>
      <w:tr>
        <w:tc>
          <w:tcPr/>
          <w:p>
            <w:pPr>
              <w:pStyle w:val="Compact"/>
              <w:jc w:val="left"/>
            </w:pPr>
            <w:r>
              <w:t xml:space="preserve">has_fundingTRUE</w:t>
            </w:r>
          </w:p>
        </w:tc>
        <w:tc>
          <w:tcPr/>
          <w:p>
            <w:pPr>
              <w:pStyle w:val="Compact"/>
              <w:jc w:val="right"/>
            </w:pPr>
            <w:r>
              <w:t xml:space="preserve">3.01</w:t>
            </w:r>
          </w:p>
        </w:tc>
        <w:tc>
          <w:tcPr/>
          <w:p>
            <w:pPr>
              <w:pStyle w:val="Compact"/>
              <w:jc w:val="left"/>
            </w:pPr>
            <w:r>
              <w:t xml:space="preserve">0.42-21.82</w:t>
            </w:r>
          </w:p>
        </w:tc>
        <w:tc>
          <w:tcPr/>
          <w:p>
            <w:pPr>
              <w:pStyle w:val="Compact"/>
              <w:jc w:val="right"/>
            </w:pPr>
            <w:r>
              <w:t xml:space="preserve">0.276</w:t>
            </w:r>
          </w:p>
        </w:tc>
      </w:tr>
    </w:tbl>
    <w:p>
      <w:pPr>
        <w:pStyle w:val="BodyText"/>
      </w:pPr>
      <w:r>
        <w:t xml:space="preserve">Proportional hazards assumption: global test p = 0.414.</w:t>
      </w:r>
    </w:p>
    <w:bookmarkEnd w:id="32"/>
    <w:bookmarkStart w:id="38" w:name="X92b8d09b47aa5be92acc70bc51d89d5211171b2"/>
    <w:p>
      <w:pPr>
        <w:pStyle w:val="Heading2"/>
      </w:pPr>
      <w:r>
        <w:t xml:space="preserve">A8. Abstract Text Recovery: Challenges for Congress Years 2012–2018</w:t>
      </w:r>
    </w:p>
    <w:bookmarkStart w:id="33"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33"/>
    <w:bookmarkStart w:id="34"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34"/>
    <w:bookmarkStart w:id="35" w:name="a8.3-final-abstract-text-coverage"/>
    <w:p>
      <w:pPr>
        <w:pStyle w:val="Heading3"/>
      </w:pPr>
      <w:r>
        <w:t xml:space="preserve">A8.3 Final Abstract Text Coverage</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pPr>
            <w:r>
              <w:t xml:space="preserve">Congress Year</w:t>
            </w:r>
          </w:p>
        </w:tc>
        <w:tc>
          <w:tcPr/>
          <w:p>
            <w:pPr>
              <w:pStyle w:val="Compact"/>
            </w:pPr>
            <w:r>
              <w:t xml:space="preserve">N Abstracts</w:t>
            </w:r>
          </w:p>
        </w:tc>
        <w:tc>
          <w:tcPr/>
          <w:p>
            <w:pPr>
              <w:pStyle w:val="Compact"/>
            </w:pPr>
            <w:r>
              <w:t xml:space="preserve">Has Text</w:t>
            </w:r>
          </w:p>
        </w:tc>
        <w:tc>
          <w:tcPr/>
          <w:p>
            <w:pPr>
              <w:pStyle w:val="Compact"/>
            </w:pPr>
            <w:r>
              <w:t xml:space="preserve">Coverage</w:t>
            </w:r>
          </w:p>
        </w:tc>
      </w:tr>
      <w:tr>
        <w:tc>
          <w:tcPr/>
          <w:p>
            <w:pPr>
              <w:pStyle w:val="Compact"/>
            </w:pPr>
            <w:r>
              <w:t xml:space="preserve">2012</w:t>
            </w:r>
          </w:p>
        </w:tc>
        <w:tc>
          <w:tcPr/>
          <w:p>
            <w:pPr>
              <w:pStyle w:val="Compact"/>
            </w:pPr>
            <w:r>
              <w:t xml:space="preserve">97</w:t>
            </w:r>
          </w:p>
        </w:tc>
        <w:tc>
          <w:tcPr/>
          <w:p>
            <w:pPr>
              <w:pStyle w:val="Compact"/>
            </w:pPr>
            <w:r>
              <w:t xml:space="preserve">~60</w:t>
            </w:r>
          </w:p>
        </w:tc>
        <w:tc>
          <w:tcPr/>
          <w:p>
            <w:pPr>
              <w:pStyle w:val="Compact"/>
            </w:pPr>
            <w:r>
              <w:t xml:space="preserve">~62%</w:t>
            </w:r>
          </w:p>
        </w:tc>
      </w:tr>
      <w:tr>
        <w:tc>
          <w:tcPr/>
          <w:p>
            <w:pPr>
              <w:pStyle w:val="Compact"/>
            </w:pPr>
            <w:r>
              <w:t xml:space="preserve">2013</w:t>
            </w:r>
          </w:p>
        </w:tc>
        <w:tc>
          <w:tcPr/>
          <w:p>
            <w:pPr>
              <w:pStyle w:val="Compact"/>
            </w:pPr>
            <w:r>
              <w:t xml:space="preserve">97</w:t>
            </w:r>
          </w:p>
        </w:tc>
        <w:tc>
          <w:tcPr/>
          <w:p>
            <w:pPr>
              <w:pStyle w:val="Compact"/>
            </w:pPr>
            <w:r>
              <w:t xml:space="preserve">~65</w:t>
            </w:r>
          </w:p>
        </w:tc>
        <w:tc>
          <w:tcPr/>
          <w:p>
            <w:pPr>
              <w:pStyle w:val="Compact"/>
            </w:pPr>
            <w:r>
              <w:t xml:space="preserve">~67%</w:t>
            </w:r>
          </w:p>
        </w:tc>
      </w:tr>
      <w:tr>
        <w:tc>
          <w:tcPr/>
          <w:p>
            <w:pPr>
              <w:pStyle w:val="Compact"/>
            </w:pPr>
            <w:r>
              <w:t xml:space="preserve">2014</w:t>
            </w:r>
          </w:p>
        </w:tc>
        <w:tc>
          <w:tcPr/>
          <w:p>
            <w:pPr>
              <w:pStyle w:val="Compact"/>
            </w:pPr>
            <w:r>
              <w:t xml:space="preserve">97</w:t>
            </w:r>
          </w:p>
        </w:tc>
        <w:tc>
          <w:tcPr/>
          <w:p>
            <w:pPr>
              <w:pStyle w:val="Compact"/>
            </w:pPr>
            <w:r>
              <w:t xml:space="preserve">~55</w:t>
            </w:r>
          </w:p>
        </w:tc>
        <w:tc>
          <w:tcPr/>
          <w:p>
            <w:pPr>
              <w:pStyle w:val="Compact"/>
            </w:pPr>
            <w:r>
              <w:t xml:space="preserve">~57%</w:t>
            </w:r>
          </w:p>
        </w:tc>
      </w:tr>
      <w:tr>
        <w:tc>
          <w:tcPr/>
          <w:p>
            <w:pPr>
              <w:pStyle w:val="Compact"/>
            </w:pPr>
            <w:r>
              <w:t xml:space="preserve">2015</w:t>
            </w:r>
          </w:p>
        </w:tc>
        <w:tc>
          <w:tcPr/>
          <w:p>
            <w:pPr>
              <w:pStyle w:val="Compact"/>
            </w:pPr>
            <w:r>
              <w:t xml:space="preserve">97</w:t>
            </w:r>
          </w:p>
        </w:tc>
        <w:tc>
          <w:tcPr/>
          <w:p>
            <w:pPr>
              <w:pStyle w:val="Compact"/>
            </w:pPr>
            <w:r>
              <w:t xml:space="preserve">~70</w:t>
            </w:r>
          </w:p>
        </w:tc>
        <w:tc>
          <w:tcPr/>
          <w:p>
            <w:pPr>
              <w:pStyle w:val="Compact"/>
            </w:pPr>
            <w:r>
              <w:t xml:space="preserve">~72%</w:t>
            </w:r>
          </w:p>
        </w:tc>
      </w:tr>
      <w:tr>
        <w:tc>
          <w:tcPr/>
          <w:p>
            <w:pPr>
              <w:pStyle w:val="Compact"/>
            </w:pPr>
            <w:r>
              <w:t xml:space="preserve">2016</w:t>
            </w:r>
          </w:p>
        </w:tc>
        <w:tc>
          <w:tcPr/>
          <w:p>
            <w:pPr>
              <w:pStyle w:val="Compact"/>
            </w:pPr>
            <w:r>
              <w:t xml:space="preserve">97</w:t>
            </w:r>
          </w:p>
        </w:tc>
        <w:tc>
          <w:tcPr/>
          <w:p>
            <w:pPr>
              <w:pStyle w:val="Compact"/>
            </w:pPr>
            <w:r>
              <w:t xml:space="preserve">~75</w:t>
            </w:r>
          </w:p>
        </w:tc>
        <w:tc>
          <w:tcPr/>
          <w:p>
            <w:pPr>
              <w:pStyle w:val="Compact"/>
            </w:pPr>
            <w:r>
              <w:t xml:space="preserve">~77%</w:t>
            </w:r>
          </w:p>
        </w:tc>
      </w:tr>
      <w:tr>
        <w:tc>
          <w:tcPr/>
          <w:p>
            <w:pPr>
              <w:pStyle w:val="Compact"/>
            </w:pPr>
            <w:r>
              <w:t xml:space="preserve">2017</w:t>
            </w:r>
          </w:p>
        </w:tc>
        <w:tc>
          <w:tcPr/>
          <w:p>
            <w:pPr>
              <w:pStyle w:val="Compact"/>
            </w:pPr>
            <w:r>
              <w:t xml:space="preserve">96</w:t>
            </w:r>
          </w:p>
        </w:tc>
        <w:tc>
          <w:tcPr/>
          <w:p>
            <w:pPr>
              <w:pStyle w:val="Compact"/>
            </w:pPr>
            <w:r>
              <w:t xml:space="preserve">0</w:t>
            </w:r>
          </w:p>
        </w:tc>
        <w:tc>
          <w:tcPr/>
          <w:p>
            <w:pPr>
              <w:pStyle w:val="Compact"/>
            </w:pPr>
            <w:r>
              <w:t xml:space="preserve">0%</w:t>
            </w:r>
          </w:p>
        </w:tc>
      </w:tr>
      <w:tr>
        <w:tc>
          <w:tcPr/>
          <w:p>
            <w:pPr>
              <w:pStyle w:val="Compact"/>
            </w:pPr>
            <w:r>
              <w:t xml:space="preserve">2018</w:t>
            </w:r>
          </w:p>
        </w:tc>
        <w:tc>
          <w:tcPr/>
          <w:p>
            <w:pPr>
              <w:pStyle w:val="Compact"/>
            </w:pPr>
            <w:r>
              <w:t xml:space="preserve">97</w:t>
            </w:r>
          </w:p>
        </w:tc>
        <w:tc>
          <w:tcPr/>
          <w:p>
            <w:pPr>
              <w:pStyle w:val="Compact"/>
            </w:pPr>
            <w:r>
              <w:t xml:space="preserve">~75</w:t>
            </w:r>
          </w:p>
        </w:tc>
        <w:tc>
          <w:tcPr/>
          <w:p>
            <w:pPr>
              <w:pStyle w:val="Compact"/>
            </w:pPr>
            <w:r>
              <w:t xml:space="preserve">~77%</w:t>
            </w:r>
          </w:p>
        </w:tc>
      </w:tr>
      <w:tr>
        <w:tc>
          <w:tcPr/>
          <w:p>
            <w:pPr>
              <w:pStyle w:val="Compact"/>
            </w:pPr>
            <w:r>
              <w:t xml:space="preserve">2019–2023</w:t>
            </w:r>
          </w:p>
        </w:tc>
        <w:tc>
          <w:tcPr/>
          <w:p>
            <w:pPr>
              <w:pStyle w:val="Compact"/>
            </w:pPr>
            <w:r>
              <w:t xml:space="preserve">428</w:t>
            </w:r>
          </w:p>
        </w:tc>
        <w:tc>
          <w:tcPr/>
          <w:p>
            <w:pPr>
              <w:pStyle w:val="Compact"/>
            </w:pPr>
            <w:r>
              <w:t xml:space="preserve">428</w:t>
            </w:r>
          </w:p>
        </w:tc>
        <w:tc>
          <w:tcPr/>
          <w:p>
            <w:pPr>
              <w:pStyle w:val="Compact"/>
            </w:pPr>
            <w:r>
              <w:t xml:space="preserve">100%</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35"/>
    <w:bookmarkStart w:id="36"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(0% text coverage) is therefore expected to show lower classification confidence and a higher proportion of probable/possible classifications relative to other years.</w:t>
      </w:r>
    </w:p>
    <w:bookmarkEnd w:id="36"/>
    <w:bookmarkStart w:id="37"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37"/>
    <w:bookmarkEnd w:id="38"/>
    <w:bookmarkStart w:id="42"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39"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39"/>
    <w:bookmarkStart w:id="40"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70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first_author_gender, first_author_state, first_author_acog_district, practice_type, subspecialty, career_stage, n_unique_affiliations</w:t>
            </w:r>
          </w:p>
        </w:tc>
        <w:tc>
          <w:tcPr/>
          <w:p>
            <w:pPr>
              <w:pStyle w:val="Compact"/>
            </w:pPr>
            <w:r>
              <w:t xml:space="preserve">PubMed XML + SSA + ACGME</w:t>
            </w:r>
          </w:p>
        </w:tc>
      </w:tr>
    </w:tbl>
    <w:bookmarkEnd w:id="40"/>
    <w:bookmarkStart w:id="41"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41"/>
    <w:bookmarkEnd w:id="42"/>
    <w:bookmarkStart w:id="53" w:name="a10.-npi-identity-resolution"/>
    <w:p>
      <w:pPr>
        <w:pStyle w:val="Heading2"/>
      </w:pPr>
      <w:r>
        <w:t xml:space="preserve">A10. NPI Identity Resolution</w:t>
      </w:r>
    </w:p>
    <w:bookmarkStart w:id="43" w:name="a10.1-overview"/>
    <w:p>
      <w:pPr>
        <w:pStyle w:val="Heading3"/>
      </w:pPr>
      <w:r>
        <w:t xml:space="preserve">A10.1 Overview</w:t>
      </w:r>
    </w:p>
    <w:p>
      <w:pPr>
        <w:pStyle w:val="FirstParagraph"/>
      </w:pPr>
      <w:r>
        <w:t xml:space="preserve">To obtain physician-level demographics independent of the abstract-to-publication matching pipeline, first authors with US-based affiliations were linked to National Provider Identifiers (NPIs) using a probabilistic identity resolution approach. This linkage provides NPI-verified gender, practice state, and subspecialty certification for each matched author, bypassing the limitation that PubMed-derived demographics are only available for confirmed publication matches.</w:t>
      </w:r>
    </w:p>
    <w:bookmarkEnd w:id="43"/>
    <w:bookmarkStart w:id="44" w:name="a10.2-candidate-pool"/>
    <w:p>
      <w:pPr>
        <w:pStyle w:val="Heading3"/>
      </w:pPr>
      <w:r>
        <w:t xml:space="preserve">A10.2 Candidate Pool</w:t>
      </w:r>
    </w:p>
    <w:p>
      <w:pPr>
        <w:pStyle w:val="FirstParagraph"/>
      </w:pPr>
      <w:r>
        <w:t xml:space="preserve">Rather than searching the full NPPES registry (2.1 million providers, 213,000 with OB/GYN taxonomy codes), candidates were drawn from the isochrones project’s canonical ABOG-NPI dataset: 60,846 board-certified obstetrician-gynecologists with validated NPI linkages, full names, practice states, gender, and ABOG subspecialty certifications (Generalist, MIG [minimally invasive gynecology], Female Pelvic Medicine &amp; Reconstructive Surgery, Gynecologic Oncology, Maternal-Fetal Medicine, Reproductive Endocrinology and Infertility, Complex Family Planning, and others). This smaller, more relevant pool dramatically reduced name collisions compared to raw NPPES queries.</w:t>
      </w:r>
    </w:p>
    <w:bookmarkEnd w:id="44"/>
    <w:bookmarkStart w:id="45" w:name="a10.3-name-parsing"/>
    <w:p>
      <w:pPr>
        <w:pStyle w:val="Heading3"/>
      </w:pPr>
      <w:r>
        <w:t xml:space="preserve">A10.3 Name Parsing</w:t>
      </w:r>
    </w:p>
    <w:p>
      <w:pPr>
        <w:pStyle w:val="FirstParagraph"/>
      </w:pPr>
      <w:r>
        <w:t xml:space="preserve">Author names from the AAGL abstract listings (e.g.,</w:t>
      </w:r>
      <w:r>
        <w:t xml:space="preserve"> </w:t>
      </w:r>
      <w:r>
        <w:t xml:space="preserve">“R.S. Guido”</w:t>
      </w:r>
      <w:r>
        <w:t xml:space="preserve">,</w:t>
      </w:r>
      <w:r>
        <w:t xml:space="preserve"> </w:t>
      </w:r>
      <w:r>
        <w:t xml:space="preserve">“E. Chapman-Davis”</w:t>
      </w:r>
      <w:r>
        <w:t xml:space="preserve">,</w:t>
      </w:r>
      <w:r>
        <w:t xml:space="preserve"> </w:t>
      </w:r>
      <w:r>
        <w:t xml:space="preserve">“J.P.M. Penninx”</w:t>
      </w:r>
      <w:r>
        <w:t xml:space="preserve">) were parsed using the</w:t>
      </w:r>
      <w:r>
        <w:t xml:space="preserve"> </w:t>
      </w:r>
      <w:r>
        <w:rPr>
          <w:rStyle w:val="VerbatimChar"/>
        </w:rPr>
        <w:t xml:space="preserve">humaniformat</w:t>
      </w:r>
      <w:r>
        <w:t xml:space="preserve"> </w:t>
      </w:r>
      <w:r>
        <w:t xml:space="preserve">R package, which correctly handles compound surnames (El Hachem, Chapman-Davis, St. Louis), multi-initial first names, and suffixes. A fallback to regex-based normalization was applied for edge cases. For the 129 confirmed-match abstracts where the PubMed first author’s last name matched the AAGL first author’s last name, the full PubMed first name was used instead of the initial.</w:t>
      </w:r>
    </w:p>
    <w:bookmarkEnd w:id="45"/>
    <w:bookmarkStart w:id="46" w:name="a10.4-matching-strategies"/>
    <w:p>
      <w:pPr>
        <w:pStyle w:val="Heading3"/>
      </w:pPr>
      <w:r>
        <w:t xml:space="preserve">A10.4 Matching Strategies</w:t>
      </w:r>
    </w:p>
    <w:p>
      <w:pPr>
        <w:pStyle w:val="FirstParagraph"/>
      </w:pPr>
      <w:r>
        <w:t xml:space="preserve">Two strategies were applied sequentially:</w:t>
      </w:r>
    </w:p>
    <w:p>
      <w:pPr>
        <w:pStyle w:val="BodyText"/>
      </w:pPr>
      <w:r>
        <w:rPr>
          <w:b/>
          <w:bCs/>
        </w:rPr>
        <w:t xml:space="preserve">Strategy A (exact full name):</w:t>
      </w:r>
      <w:r>
        <w:t xml:space="preserve"> </w:t>
      </w:r>
      <w:r>
        <w:t xml:space="preserve">For authors with full first names (from confirmed PubMed matches where names agreed), the ABOG pool was searched by exact first name and last name. Base confidence: 0.95.</w:t>
      </w:r>
    </w:p>
    <w:p>
      <w:pPr>
        <w:pStyle w:val="BodyText"/>
      </w:pPr>
      <w:r>
        <w:rPr>
          <w:b/>
          <w:bCs/>
        </w:rPr>
        <w:t xml:space="preserve">Strategy B (initial + last name):</w:t>
      </w:r>
      <w:r>
        <w:t xml:space="preserve"> </w:t>
      </w:r>
      <w:r>
        <w:t xml:space="preserve">For the remaining authors with initials only, the pool was searched by last name and first initial. Base confidence: 0.70.</w:t>
      </w:r>
    </w:p>
    <w:p>
      <w:pPr>
        <w:pStyle w:val="BodyText"/>
      </w:pPr>
      <w:r>
        <w:t xml:space="preserve">A fuzzy last-name fallback was applied when exact matching returned no candidates: hyphens and spaces were stripped from both the query and pool names (e.g.,</w:t>
      </w:r>
      <w:r>
        <w:t xml:space="preserve"> </w:t>
      </w:r>
      <w:r>
        <w:t xml:space="preserve">“CHAPMANDAVIS”</w:t>
      </w:r>
      <w:r>
        <w:t xml:space="preserve"> </w:t>
      </w:r>
      <w:r>
        <w:t xml:space="preserve">matching</w:t>
      </w:r>
      <w:r>
        <w:t xml:space="preserve"> </w:t>
      </w:r>
      <w:r>
        <w:t xml:space="preserve">“CHAPMAN-DAVIS”</w:t>
      </w:r>
      <w:r>
        <w:t xml:space="preserve">), recovering compound-name mismatches.</w:t>
      </w:r>
    </w:p>
    <w:bookmarkEnd w:id="46"/>
    <w:bookmarkStart w:id="47" w:name="a10.5-scoring"/>
    <w:p>
      <w:pPr>
        <w:pStyle w:val="Heading3"/>
      </w:pPr>
      <w:r>
        <w:t xml:space="preserve">A10.5 Scoring</w:t>
      </w:r>
    </w:p>
    <w:p>
      <w:pPr>
        <w:pStyle w:val="TableCaption"/>
      </w:pPr>
      <w:r>
        <w:t xml:space="preserve">NPI matching composite scoring system</w:t>
      </w:r>
    </w:p>
    <w:tbl>
      <w:tblPr>
        <w:tblStyle w:val="Table"/>
        <w:tblW w:type="auto" w:w="0"/>
        <w:tblLook w:firstRow="1" w:lastRow="0" w:firstColumn="0" w:lastColumn="0" w:noHBand="0" w:noVBand="0" w:val="0020"/>
        <w:tblCaption w:val="NPI matching composite scoring system"/>
      </w:tblPr>
      <w:tblGrid>
        <w:gridCol w:w="3960"/>
        <w:gridCol w:w="3960"/>
      </w:tblGrid>
      <w:tr>
        <w:trPr>
          <w:tblHeader w:val="on"/>
        </w:trPr>
        <w:tc>
          <w:tcPr/>
          <w:p>
            <w:pPr>
              <w:pStyle w:val="Compact"/>
              <w:jc w:val="left"/>
            </w:pPr>
            <w:r>
              <w:t xml:space="preserve">Feature</w:t>
            </w:r>
          </w:p>
        </w:tc>
        <w:tc>
          <w:tcPr/>
          <w:p>
            <w:pPr>
              <w:pStyle w:val="Compact"/>
              <w:jc w:val="left"/>
            </w:pPr>
            <w:r>
              <w:t xml:space="preserve">Points</w:t>
            </w:r>
          </w:p>
        </w:tc>
      </w:tr>
      <w:tr>
        <w:tc>
          <w:tcPr/>
          <w:p>
            <w:pPr>
              <w:pStyle w:val="Compact"/>
              <w:jc w:val="left"/>
            </w:pPr>
            <w:r>
              <w:t xml:space="preserve">Exact first + last name match</w:t>
            </w:r>
          </w:p>
        </w:tc>
        <w:tc>
          <w:tcPr/>
          <w:p>
            <w:pPr>
              <w:pStyle w:val="Compact"/>
              <w:jc w:val="left"/>
            </w:pPr>
            <w:r>
              <w:t xml:space="preserve">+50</w:t>
            </w:r>
          </w:p>
        </w:tc>
      </w:tr>
      <w:tr>
        <w:tc>
          <w:tcPr/>
          <w:p>
            <w:pPr>
              <w:pStyle w:val="Compact"/>
              <w:jc w:val="left"/>
            </w:pPr>
            <w:r>
              <w:t xml:space="preserve">Initial + last name match</w:t>
            </w:r>
          </w:p>
        </w:tc>
        <w:tc>
          <w:tcPr/>
          <w:p>
            <w:pPr>
              <w:pStyle w:val="Compact"/>
              <w:jc w:val="left"/>
            </w:pPr>
            <w:r>
              <w:t xml:space="preserve">+15</w:t>
            </w:r>
          </w:p>
        </w:tc>
      </w:tr>
      <w:tr>
        <w:tc>
          <w:tcPr/>
          <w:p>
            <w:pPr>
              <w:pStyle w:val="Compact"/>
              <w:jc w:val="left"/>
            </w:pPr>
            <w:r>
              <w:t xml:space="preserve">Affiliation state = NPI practice state</w:t>
            </w:r>
          </w:p>
        </w:tc>
        <w:tc>
          <w:tcPr/>
          <w:p>
            <w:pPr>
              <w:pStyle w:val="Compact"/>
              <w:jc w:val="left"/>
            </w:pPr>
            <w:r>
              <w:t xml:space="preserve">+20</w:t>
            </w:r>
          </w:p>
        </w:tc>
      </w:tr>
      <w:tr>
        <w:tc>
          <w:tcPr/>
          <w:p>
            <w:pPr>
              <w:pStyle w:val="Compact"/>
              <w:jc w:val="left"/>
            </w:pPr>
            <w:r>
              <w:t xml:space="preserve">Gender agreement</w:t>
            </w:r>
          </w:p>
        </w:tc>
        <w:tc>
          <w:tcPr/>
          <w:p>
            <w:pPr>
              <w:pStyle w:val="Compact"/>
              <w:jc w:val="left"/>
            </w:pPr>
            <w:r>
              <w:t xml:space="preserve">+10</w:t>
            </w:r>
          </w:p>
        </w:tc>
      </w:tr>
      <w:tr>
        <w:tc>
          <w:tcPr/>
          <w:p>
            <w:pPr>
              <w:pStyle w:val="Compact"/>
              <w:jc w:val="left"/>
            </w:pPr>
            <w:r>
              <w:t xml:space="preserve">MIG (MIGS) subspecialty</w:t>
            </w:r>
          </w:p>
        </w:tc>
        <w:tc>
          <w:tcPr/>
          <w:p>
            <w:pPr>
              <w:pStyle w:val="Compact"/>
              <w:jc w:val="left"/>
            </w:pPr>
            <w:r>
              <w:t xml:space="preserve">+25</w:t>
            </w:r>
          </w:p>
        </w:tc>
      </w:tr>
      <w:tr>
        <w:tc>
          <w:tcPr/>
          <w:p>
            <w:pPr>
              <w:pStyle w:val="Compact"/>
              <w:jc w:val="left"/>
            </w:pPr>
            <w:r>
              <w:t xml:space="preserve">FPMRS + pelvic floor procedure</w:t>
            </w:r>
          </w:p>
        </w:tc>
        <w:tc>
          <w:tcPr/>
          <w:p>
            <w:pPr>
              <w:pStyle w:val="Compact"/>
              <w:jc w:val="left"/>
            </w:pPr>
            <w:r>
              <w:t xml:space="preserve">+15</w:t>
            </w:r>
          </w:p>
        </w:tc>
      </w:tr>
      <w:tr>
        <w:tc>
          <w:tcPr/>
          <w:p>
            <w:pPr>
              <w:pStyle w:val="Compact"/>
              <w:jc w:val="left"/>
            </w:pPr>
            <w:r>
              <w:t xml:space="preserve">GYN_ONC + oncology procedure</w:t>
            </w:r>
          </w:p>
        </w:tc>
        <w:tc>
          <w:tcPr/>
          <w:p>
            <w:pPr>
              <w:pStyle w:val="Compact"/>
              <w:jc w:val="left"/>
            </w:pPr>
            <w:r>
              <w:t xml:space="preserve">+15</w:t>
            </w:r>
          </w:p>
        </w:tc>
      </w:tr>
      <w:tr>
        <w:tc>
          <w:tcPr/>
          <w:p>
            <w:pPr>
              <w:pStyle w:val="Compact"/>
              <w:jc w:val="left"/>
            </w:pPr>
            <w:r>
              <w:t xml:space="preserve">REI + ectopic pregnancy procedure</w:t>
            </w:r>
          </w:p>
        </w:tc>
        <w:tc>
          <w:tcPr/>
          <w:p>
            <w:pPr>
              <w:pStyle w:val="Compact"/>
              <w:jc w:val="left"/>
            </w:pPr>
            <w:r>
              <w:t xml:space="preserve">+10</w:t>
            </w:r>
          </w:p>
        </w:tc>
      </w:tr>
      <w:tr>
        <w:tc>
          <w:tcPr/>
          <w:p>
            <w:pPr>
              <w:pStyle w:val="Compact"/>
              <w:jc w:val="left"/>
            </w:pPr>
            <w:r>
              <w:t xml:space="preserve">Rare name (&lt;=3 in ABOG OB/GYN pool)</w:t>
            </w:r>
          </w:p>
        </w:tc>
        <w:tc>
          <w:tcPr/>
          <w:p>
            <w:pPr>
              <w:pStyle w:val="Compact"/>
              <w:jc w:val="left"/>
            </w:pPr>
            <w:r>
              <w:t xml:space="preserve">+10</w:t>
            </w:r>
          </w:p>
        </w:tc>
      </w:tr>
    </w:tbl>
    <w:p>
      <w:pPr>
        <w:pStyle w:val="BodyText"/>
      </w:pPr>
      <w:r>
        <w:t xml:space="preserve">The MIGS subspecialty bonus (+25 points) reflects the strong prior that presenters at the AAGL Global Congress — the premier minimally invasive gynecology meeting — are disproportionately likely to hold MIG certification. Subspecialty-procedure concordance bonuses (FPMRS for pelvic floor abstracts, GYN_ONC for oncology abstracts) provided additional tiebreaking signal.</w:t>
      </w:r>
    </w:p>
    <w:bookmarkEnd w:id="47"/>
    <w:bookmarkStart w:id="48" w:name="a10.6-classification-tiers"/>
    <w:p>
      <w:pPr>
        <w:pStyle w:val="Heading3"/>
      </w:pPr>
      <w:r>
        <w:t xml:space="preserve">A10.6 Classification Tiers</w:t>
      </w:r>
    </w:p>
    <w:p>
      <w:pPr>
        <w:pStyle w:val="TableCaption"/>
      </w:pPr>
      <w:r>
        <w:t xml:space="preserve">NPI match classification tiers</w:t>
      </w:r>
    </w:p>
    <w:tbl>
      <w:tblPr>
        <w:tblStyle w:val="Table"/>
        <w:tblW w:type="pct" w:w="5000"/>
        <w:tblLayout w:type="fixed"/>
        <w:tblLook w:firstRow="1" w:lastRow="0" w:firstColumn="0" w:lastColumn="0" w:noHBand="0" w:noVBand="0" w:val="0020"/>
        <w:tblCaption w:val="NPI match classification tiers"/>
      </w:tblPr>
      <w:tblGrid>
        <w:gridCol w:w="1808"/>
        <w:gridCol w:w="5363"/>
        <w:gridCol w:w="748"/>
      </w:tblGrid>
      <w:tr>
        <w:trPr>
          <w:tblHeader w:val="on"/>
        </w:trPr>
        <w:tc>
          <w:tcPr/>
          <w:p>
            <w:pPr>
              <w:pStyle w:val="Compact"/>
              <w:jc w:val="left"/>
            </w:pPr>
            <w:r>
              <w:t xml:space="preserve">Tier</w:t>
            </w:r>
          </w:p>
        </w:tc>
        <w:tc>
          <w:tcPr/>
          <w:p>
            <w:pPr>
              <w:pStyle w:val="Compact"/>
              <w:jc w:val="left"/>
            </w:pPr>
            <w:r>
              <w:t xml:space="preserve">Criteria</w:t>
            </w:r>
          </w:p>
        </w:tc>
        <w:tc>
          <w:tcPr/>
          <w:p>
            <w:pPr>
              <w:pStyle w:val="Compact"/>
              <w:jc w:val="left"/>
            </w:pPr>
            <w:r>
              <w:t xml:space="preserve">Action</w:t>
            </w:r>
          </w:p>
        </w:tc>
      </w:tr>
      <w:tr>
        <w:tc>
          <w:tcPr/>
          <w:p>
            <w:pPr>
              <w:pStyle w:val="Compact"/>
              <w:jc w:val="left"/>
            </w:pPr>
            <w:r>
              <w:t xml:space="preserve">A: High confidence</w:t>
            </w:r>
          </w:p>
        </w:tc>
        <w:tc>
          <w:tcPr/>
          <w:p>
            <w:pPr>
              <w:pStyle w:val="Compact"/>
              <w:jc w:val="left"/>
            </w:pPr>
            <w:r>
              <w:t xml:space="preserve">Score &gt;= 50 AND unique top candidate (gap &gt;= 10 to second)</w:t>
            </w:r>
          </w:p>
        </w:tc>
        <w:tc>
          <w:tcPr/>
          <w:p>
            <w:pPr>
              <w:pStyle w:val="Compact"/>
              <w:jc w:val="left"/>
            </w:pPr>
            <w:r>
              <w:t xml:space="preserve">Auto-accept</w:t>
            </w:r>
          </w:p>
        </w:tc>
      </w:tr>
      <w:tr>
        <w:tc>
          <w:tcPr/>
          <w:p>
            <w:pPr>
              <w:pStyle w:val="Compact"/>
              <w:jc w:val="left"/>
            </w:pPr>
            <w:r>
              <w:t xml:space="preserve">A: High confidence (relaxed)</w:t>
            </w:r>
          </w:p>
        </w:tc>
        <w:tc>
          <w:tcPr/>
          <w:p>
            <w:pPr>
              <w:pStyle w:val="Compact"/>
              <w:jc w:val="left"/>
            </w:pPr>
            <w:r>
              <w:t xml:space="preserve">Score &gt;= 35 AND exactly 1 candidate in entire ABOG pool (single-candidate relaxation)</w:t>
            </w:r>
          </w:p>
        </w:tc>
        <w:tc>
          <w:tcPr/>
          <w:p>
            <w:pPr>
              <w:pStyle w:val="Compact"/>
              <w:jc w:val="left"/>
            </w:pPr>
            <w:r>
              <w:t xml:space="preserve">Auto-accept</w:t>
            </w:r>
          </w:p>
        </w:tc>
      </w:tr>
      <w:tr>
        <w:tc>
          <w:tcPr/>
          <w:p>
            <w:pPr>
              <w:pStyle w:val="Compact"/>
              <w:jc w:val="left"/>
            </w:pPr>
            <w:r>
              <w:t xml:space="preserve">B: Ambiguous</w:t>
            </w:r>
          </w:p>
        </w:tc>
        <w:tc>
          <w:tcPr/>
          <w:p>
            <w:pPr>
              <w:pStyle w:val="Compact"/>
              <w:jc w:val="left"/>
            </w:pPr>
            <w:r>
              <w:t xml:space="preserve">Score 30-49 OR multiple candidates within 10 points</w:t>
            </w:r>
          </w:p>
        </w:tc>
        <w:tc>
          <w:tcPr/>
          <w:p>
            <w:pPr>
              <w:pStyle w:val="Compact"/>
              <w:jc w:val="left"/>
            </w:pPr>
            <w:r>
              <w:t xml:space="preserve">Withheld</w:t>
            </w:r>
          </w:p>
        </w:tc>
      </w:tr>
      <w:tr>
        <w:tc>
          <w:tcPr/>
          <w:p>
            <w:pPr>
              <w:pStyle w:val="Compact"/>
              <w:jc w:val="left"/>
            </w:pPr>
            <w:r>
              <w:t xml:space="preserve">C: No match</w:t>
            </w:r>
          </w:p>
        </w:tc>
        <w:tc>
          <w:tcPr/>
          <w:p>
            <w:pPr>
              <w:pStyle w:val="Compact"/>
              <w:jc w:val="left"/>
            </w:pPr>
            <w:r>
              <w:t xml:space="preserve">Score &lt; 30 OR no candidates after filtering</w:t>
            </w:r>
          </w:p>
        </w:tc>
        <w:tc>
          <w:tcPr/>
          <w:p>
            <w:pPr>
              <w:pStyle w:val="Compact"/>
              <w:jc w:val="left"/>
            </w:pPr>
            <w:r>
              <w:t xml:space="preserve">Unmatched</w:t>
            </w:r>
          </w:p>
        </w:tc>
      </w:tr>
    </w:tbl>
    <w:bookmarkEnd w:id="48"/>
    <w:bookmarkStart w:id="49" w:name="a10.7-single-candidate-relaxation-rule"/>
    <w:p>
      <w:pPr>
        <w:pStyle w:val="Heading3"/>
      </w:pPr>
      <w:r>
        <w:t xml:space="preserve">A10.7 Single-Candidate Relaxation Rule</w:t>
      </w:r>
    </w:p>
    <w:p>
      <w:pPr>
        <w:pStyle w:val="FirstParagraph"/>
      </w:pPr>
      <w:r>
        <w:t xml:space="preserve">The standard Tier A threshold requires a composite score of at least 50 points with a 10-point gap to the second-best candidate. For authors matched by initial + last name (base score 15), reaching 50 points requires strong corroborating signals (state match + gender match + rare name or MIGS subspecialty). This threshold is appropriate when multiple candidates exist and disambiguation is needed.</w:t>
      </w:r>
    </w:p>
    <w:p>
      <w:pPr>
        <w:pStyle w:val="BodyText"/>
      </w:pPr>
      <w:r>
        <w:t xml:space="preserve">However, when the ABOG pool contains exactly one board-certified OB/GYN with a given last name and first initial, the probability of a false match is inherently low regardless of corroborating signals. In such cases, the threshold was relaxed to 35 points. The rationale:</w:t>
      </w:r>
    </w:p>
    <w:p>
      <w:pPr>
        <w:numPr>
          <w:ilvl w:val="0"/>
          <w:numId w:val="1005"/>
        </w:numPr>
      </w:pPr>
      <w:r>
        <w:rPr>
          <w:b/>
          <w:bCs/>
        </w:rPr>
        <w:t xml:space="preserve">Base rate argument.</w:t>
      </w:r>
      <w:r>
        <w:t xml:space="preserve"> </w:t>
      </w:r>
      <w:r>
        <w:t xml:space="preserve">The ABOG pool contains 60,846 physicians. For a unique (last name, first initial) combination to have exactly one entry, the name must be uncommon among US OB/GYNs. The prior probability that a sole-match candidate is the correct person is high.</w:t>
      </w:r>
    </w:p>
    <w:p>
      <w:pPr>
        <w:numPr>
          <w:ilvl w:val="0"/>
          <w:numId w:val="1005"/>
        </w:numPr>
      </w:pPr>
      <w:r>
        <w:rPr>
          <w:b/>
          <w:bCs/>
        </w:rPr>
        <w:t xml:space="preserve">No disambiguation needed.</w:t>
      </w:r>
      <w:r>
        <w:t xml:space="preserve"> </w:t>
      </w:r>
      <w:r>
        <w:t xml:space="preserve">The gap-to-second criterion exists to prevent ambiguous assignments when multiple candidates score similarly. With only one candidate, this criterion is vacuous — there is no competing match to distinguish from.</w:t>
      </w:r>
    </w:p>
    <w:p>
      <w:pPr>
        <w:numPr>
          <w:ilvl w:val="0"/>
          <w:numId w:val="1005"/>
        </w:numPr>
      </w:pPr>
      <w:r>
        <w:rPr>
          <w:b/>
          <w:bCs/>
        </w:rPr>
        <w:t xml:space="preserve">Minimum score guard.</w:t>
      </w:r>
      <w:r>
        <w:t xml:space="preserve"> </w:t>
      </w:r>
      <w:r>
        <w:t xml:space="preserve">The 35-point floor ensures that at least the initial match (+15) plus one corroborating signal (e.g., career plausibility +5 and rare name +10, or state match +20) must be present. Pure initial-only matches without any supporting evidence (score 15) are not accepted.</w:t>
      </w:r>
    </w:p>
    <w:p>
      <w:pPr>
        <w:pStyle w:val="SourceCode"/>
      </w:pPr>
      <w:r>
        <w:rPr>
          <w:rStyle w:val="VerbatimChar"/>
        </w:rPr>
        <w:t xml:space="preserve">## Of 254 Tier A matches, 177 (70%) met the standard threshold (score &gt;= 50) and 77 (30%) were accepted via single-candidate relaxation (score 35-49, sole candidate).</w:t>
      </w:r>
    </w:p>
    <w:bookmarkEnd w:id="49"/>
    <w:bookmarkStart w:id="50" w:name="a10.8-one-to-one-enforcement"/>
    <w:p>
      <w:pPr>
        <w:pStyle w:val="Heading3"/>
      </w:pPr>
      <w:r>
        <w:t xml:space="preserve">A10.8 One-to-One Enforcement</w:t>
      </w:r>
    </w:p>
    <w:p>
      <w:pPr>
        <w:pStyle w:val="FirstParagraph"/>
      </w:pPr>
      <w:r>
        <w:t xml:space="preserve">After scoring, a greedy one-to-one assignment was enforced: if multiple abstracts claimed the same NPI, only the highest-scoring assignment was retained; lower-scoring claimants were demoted to Tier B (ambiguous). This prevents a single prolific physician from being</w:t>
      </w:r>
      <w:r>
        <w:t xml:space="preserve"> </w:t>
      </w:r>
      <w:r>
        <w:t xml:space="preserve">“consumed”</w:t>
      </w:r>
      <w:r>
        <w:t xml:space="preserve"> </w:t>
      </w:r>
      <w:r>
        <w:t xml:space="preserve">by an earlier, weaker match.</w:t>
      </w:r>
    </w:p>
    <w:bookmarkEnd w:id="50"/>
    <w:bookmarkStart w:id="51" w:name="a10.9-results"/>
    <w:p>
      <w:pPr>
        <w:pStyle w:val="Heading3"/>
      </w:pPr>
      <w:r>
        <w:t xml:space="preserve">A10.9 Results</w:t>
      </w:r>
    </w:p>
    <w:p>
      <w:pPr>
        <w:pStyle w:val="SourceCode"/>
      </w:pPr>
      <w:r>
        <w:rPr>
          <w:rStyle w:val="VerbatimChar"/>
        </w:rPr>
        <w:t xml:space="preserve">## </w:t>
      </w:r>
      <w:r>
        <w:br/>
      </w:r>
      <w:r>
        <w:rPr>
          <w:rStyle w:val="VerbatimChar"/>
        </w:rPr>
        <w:t xml:space="preserve">## </w:t>
      </w:r>
      <w:r>
        <w:br/>
      </w:r>
      <w:r>
        <w:rPr>
          <w:rStyle w:val="VerbatimChar"/>
        </w:rPr>
        <w:t xml:space="preserve">## Of 254 Tier A matches, 58 (23%) held MIG (minimally invasive gynecology) subspecialty certification.</w:t>
      </w:r>
    </w:p>
    <w:bookmarkEnd w:id="51"/>
    <w:bookmarkStart w:id="52" w:name="a10.10-limitations"/>
    <w:p>
      <w:pPr>
        <w:pStyle w:val="Heading3"/>
      </w:pPr>
      <w:r>
        <w:t xml:space="preserve">A10.10 Limitations</w:t>
      </w:r>
    </w:p>
    <w:p>
      <w:pPr>
        <w:pStyle w:val="FirstParagraph"/>
      </w:pPr>
      <w:r>
        <w:t xml:space="preserve">The NPI matching approach has several inherent limitations:</w:t>
      </w:r>
    </w:p>
    <w:p>
      <w:pPr>
        <w:numPr>
          <w:ilvl w:val="0"/>
          <w:numId w:val="1006"/>
        </w:numPr>
      </w:pPr>
      <w:r>
        <w:rPr>
          <w:b/>
          <w:bCs/>
        </w:rPr>
        <w:t xml:space="preserve">Initial-only names.</w:t>
      </w:r>
      <w:r>
        <w:t xml:space="preserve"> </w:t>
      </w:r>
      <w:r>
        <w:t xml:space="preserve">The AAGL abstract listing provides only first initials for most authors (e.g.,</w:t>
      </w:r>
      <w:r>
        <w:t xml:space="preserve"> </w:t>
      </w:r>
      <w:r>
        <w:t xml:space="preserve">“J. Smith”</w:t>
      </w:r>
      <w:r>
        <w:t xml:space="preserve">). This prevents exact first-name matching for 559 of 689 US-based authors and increases ambiguity for common surnames.</w:t>
      </w:r>
    </w:p>
    <w:p>
      <w:pPr>
        <w:numPr>
          <w:ilvl w:val="0"/>
          <w:numId w:val="1006"/>
        </w:numPr>
      </w:pPr>
      <w:r>
        <w:rPr>
          <w:b/>
          <w:bCs/>
        </w:rPr>
        <w:t xml:space="preserve">ABOG pool scope.</w:t>
      </w:r>
      <w:r>
        <w:t xml:space="preserve"> </w:t>
      </w:r>
      <w:r>
        <w:t xml:space="preserve">The candidate pool includes only ABOG board-certified physicians. Presenters who are residents, fellows, basic scientists, or international physicians without US board certification will not appear in the pool (estimated 185 of 409 no-match authors).</w:t>
      </w:r>
    </w:p>
    <w:p>
      <w:pPr>
        <w:numPr>
          <w:ilvl w:val="0"/>
          <w:numId w:val="1006"/>
        </w:numPr>
      </w:pPr>
      <w:r>
        <w:rPr>
          <w:b/>
          <w:bCs/>
        </w:rPr>
        <w:t xml:space="preserve">Name changes.</w:t>
      </w:r>
      <w:r>
        <w:t xml:space="preserve"> </w:t>
      </w:r>
      <w:r>
        <w:t xml:space="preserve">Authors who changed surnames (e.g., after marriage) between abstract presentation and ABOG certification will not match unless the ABOG record reflects the name used at the time of presentation.</w:t>
      </w:r>
    </w:p>
    <w:p>
      <w:pPr>
        <w:numPr>
          <w:ilvl w:val="0"/>
          <w:numId w:val="1006"/>
        </w:numPr>
      </w:pPr>
      <w:r>
        <w:rPr>
          <w:b/>
          <w:bCs/>
        </w:rPr>
        <w:t xml:space="preserve">Single-candidate relaxation risk.</w:t>
      </w:r>
      <w:r>
        <w:t xml:space="preserve"> </w:t>
      </w:r>
      <w:r>
        <w:t xml:space="preserve">While the sole-candidate assumption is probabilistically sound, it is possible for a name collision to occur with a non-presenting physician who happens to share the same uncommon name and initial. The 35-point minimum score guard and downstream manual audit mitigate this risk.</w:t>
      </w:r>
    </w:p>
    <w:bookmarkEnd w:id="52"/>
    <w:bookmarkEnd w:id="53"/>
    <w:bookmarkStart w:id="146" w:name="Xd66443fb5f10e27aa61b6230b5f717e7f21ecfc"/>
    <w:p>
      <w:pPr>
        <w:pStyle w:val="Heading2"/>
      </w:pPr>
      <w:r>
        <w:t xml:space="preserve">A11. Expanding the Pipeline to Other Subspecialties</w:t>
      </w:r>
    </w:p>
    <w:bookmarkStart w:id="54" w:name="a11.1-rationale"/>
    <w:p>
      <w:pPr>
        <w:pStyle w:val="Heading3"/>
      </w:pPr>
      <w:r>
        <w:t xml:space="preserve">A11.1 Rationale</w:t>
      </w:r>
    </w:p>
    <w:p>
      <w:pPr>
        <w:pStyle w:val="FirstParagraph"/>
      </w:pPr>
      <w:r>
        <w:t xml:space="preserve">The abstract-to-publication pipeline developed for the American Association of Gynecologic Laparoscopists (AAGL) addresses a long-standing methodological gap in surgical education research: the systematic, Cochrane MR000005-compliant tracking of conference abstract fate across an entire subspecialty society. Using the full pipeline, the AAGL dataset achieved a confirmed (definite) publication rate of 11.4% across 1,106 oral presentations from 2012–2023, with a further 21% classified as probable or possible matches — figures that are directly comparable to published abstract-to-publication literature because they follow the same Cochrane methodology for search strategy enumeration, adjudication tier definitions, and time-to-event censoring.</w:t>
      </w:r>
    </w:p>
    <w:p>
      <w:pPr>
        <w:pStyle w:val="BodyText"/>
      </w:pPr>
      <w:r>
        <w:t xml:space="preserve">Three distinct scientific motivations support expanding this pipeline to additional OB/GYN societies.</w:t>
      </w:r>
    </w:p>
    <w:p>
      <w:pPr>
        <w:pStyle w:val="BodyText"/>
      </w:pPr>
      <w:r>
        <w:rPr>
          <w:b/>
          <w:bCs/>
        </w:rPr>
        <w:t xml:space="preserve">Publication bias quantification.</w:t>
      </w:r>
      <w:r>
        <w:t xml:space="preserve"> </w:t>
      </w:r>
      <w:r>
        <w:t xml:space="preserve">A foundational concern in evidence-based medicine is that abstracts with positive or statistically significant results are more likely to be published as full articles. The AAGL dataset alone (n = 1,106 abstracts, 122 definite matches) is underpowered to detect modest publication-bias effects in pre-specified subgroups (e.g., by research category, study design, or calendar year). A pooled multi-society dataset of 6,000–10,000 abstracts would provide adequate statistical power for publication-bias meta-regression using Egger’s test and trim-and-fill methods applied at the conference rather than journal level.</w:t>
      </w:r>
    </w:p>
    <w:p>
      <w:pPr>
        <w:pStyle w:val="BodyText"/>
      </w:pPr>
      <w:r>
        <w:rPr>
          <w:b/>
          <w:bCs/>
        </w:rPr>
        <w:t xml:space="preserve">Academic productivity benchmarking.</w:t>
      </w:r>
      <w:r>
        <w:t xml:space="preserve"> </w:t>
      </w:r>
      <w:r>
        <w:t xml:space="preserve">Hospital systems, academic departments, and fellowship program directors increasingly use conference-abstract-to-publication conversion rates as a proxy for mentorship quality and research productivity. Single-society benchmarks are confounded by society-specific factors (acceptance rate, presentation format, subspecialty norms). A cross-society normative dataset would allow fair inter-institutional comparison by adjusting for subspecialty context.</w:t>
      </w:r>
    </w:p>
    <w:p>
      <w:pPr>
        <w:pStyle w:val="BodyText"/>
      </w:pPr>
      <w:r>
        <w:rPr>
          <w:b/>
          <w:bCs/>
        </w:rPr>
        <w:t xml:space="preserve">Cross-subspecialty comparison.</w:t>
      </w:r>
      <w:r>
        <w:t xml:space="preserve"> </w:t>
      </w:r>
      <w:r>
        <w:t xml:space="preserve">Minimally invasive gynecologic surgery (AAGL), maternal-fetal medicine (SMFM), gynecologic oncology (SGO), and female pelvic medicine and reconstructive surgery (AUGS) represent scientifically adjacent but institutionally distinct communities. Whether publication rates, time-to-publication, and authorship diversity differ systematically across these subspecialties is an open empirical question with implications for how each field values and rewards conference-level scholarship.</w:t>
      </w:r>
    </w:p>
    <w:p>
      <w:pPr>
        <w:pStyle w:val="BodyText"/>
      </w:pPr>
      <w:r>
        <w:t xml:space="preserve">The pipeline’s modular architecture supports three levels of analysis once multi-society data are assembled: (1) within-society trends over time (the current AAGL analysis), (2) cross-society head-to-head comparisons controlling for year and study design, and (3) full OB/GYN landscape analyses treating all societies simultaneously using fixed-effects or random-effects models with society as the clustering variable.</w:t>
      </w:r>
    </w:p>
    <w:bookmarkEnd w:id="54"/>
    <w:bookmarkStart w:id="55" w:name="X8d18a524db344508a97dc288343960ab7476c89"/>
    <w:p>
      <w:pPr>
        <w:pStyle w:val="Heading3"/>
      </w:pPr>
      <w:r>
        <w:t xml:space="preserve">A11.2 Candidate Societies and Conferences</w:t>
      </w:r>
    </w:p>
    <w:p>
      <w:pPr>
        <w:pStyle w:val="FirstParagraph"/>
      </w:pPr>
      <w:r>
        <w:t xml:space="preserve">Ten societies encompassing the full spectrum of OB/GYN subspecialties publish annual meeting abstracts in indexed journals and represent the candidate expansion set. The table below provides complete metadata relevant to pipeline feasibility assessment. Membership size estimates are from publicly available society annual reports and NIH workforce data; average abstract counts per year are derived from CrossRef DOI enumeration or PubMed supplement record counts.</w:t>
      </w:r>
    </w:p>
    <w:tbl>
      <w:tblPr>
        <w:tblStyle w:val="Table"/>
        <w:tblW w:type="pct" w:w="5000"/>
        <w:tblLayout w:type="fixed"/>
        <w:tblLook w:firstRow="1" w:lastRow="0" w:firstColumn="0" w:lastColumn="0" w:noHBand="0" w:noVBand="0" w:val="0020"/>
      </w:tblPr>
      <w:tblGrid>
        <w:gridCol w:w="472"/>
        <w:gridCol w:w="576"/>
        <w:gridCol w:w="681"/>
        <w:gridCol w:w="472"/>
        <w:gridCol w:w="524"/>
        <w:gridCol w:w="472"/>
        <w:gridCol w:w="996"/>
        <w:gridCol w:w="996"/>
        <w:gridCol w:w="1101"/>
        <w:gridCol w:w="786"/>
        <w:gridCol w:w="839"/>
      </w:tblGrid>
      <w:tr>
        <w:trPr>
          <w:tblHeader w:val="on"/>
        </w:trPr>
        <w:tc>
          <w:tcPr/>
          <w:p>
            <w:pPr>
              <w:pStyle w:val="Compact"/>
            </w:pPr>
            <w:r>
              <w:t xml:space="preserve">Society</w:t>
            </w:r>
          </w:p>
        </w:tc>
        <w:tc>
          <w:tcPr/>
          <w:p>
            <w:pPr>
              <w:pStyle w:val="Compact"/>
            </w:pPr>
            <w:r>
              <w:t xml:space="preserve">Full Name</w:t>
            </w:r>
          </w:p>
        </w:tc>
        <w:tc>
          <w:tcPr/>
          <w:p>
            <w:pPr>
              <w:pStyle w:val="Compact"/>
            </w:pPr>
            <w:r>
              <w:t xml:space="preserve">Abbreviation</w:t>
            </w:r>
          </w:p>
        </w:tc>
        <w:tc>
          <w:tcPr/>
          <w:p>
            <w:pPr>
              <w:pStyle w:val="Compact"/>
            </w:pPr>
            <w:r>
              <w:t xml:space="preserve">Journal</w:t>
            </w:r>
          </w:p>
        </w:tc>
        <w:tc>
          <w:tcPr/>
          <w:p>
            <w:pPr>
              <w:pStyle w:val="Compact"/>
            </w:pPr>
            <w:r>
              <w:t xml:space="preserve">Platform</w:t>
            </w:r>
          </w:p>
        </w:tc>
        <w:tc>
          <w:tcPr/>
          <w:p>
            <w:pPr>
              <w:pStyle w:val="Compact"/>
            </w:pPr>
            <w:r>
              <w:t xml:space="preserve">DOI Type</w:t>
            </w:r>
          </w:p>
        </w:tc>
        <w:tc>
          <w:tcPr/>
          <w:p>
            <w:pPr>
              <w:pStyle w:val="Compact"/>
            </w:pPr>
            <w:r>
              <w:t xml:space="preserve">Avg Abstracts/Year</w:t>
            </w:r>
          </w:p>
        </w:tc>
        <w:tc>
          <w:tcPr/>
          <w:p>
            <w:pPr>
              <w:pStyle w:val="Compact"/>
            </w:pPr>
            <w:r>
              <w:t xml:space="preserve">Members (approx.)</w:t>
            </w:r>
          </w:p>
        </w:tc>
        <w:tc>
          <w:tcPr/>
          <w:p>
            <w:pPr>
              <w:pStyle w:val="Compact"/>
            </w:pPr>
            <w:r>
              <w:t xml:space="preserve">Subspecialty Focus</w:t>
            </w:r>
          </w:p>
        </w:tc>
        <w:tc>
          <w:tcPr/>
          <w:p>
            <w:pPr>
              <w:pStyle w:val="Compact"/>
            </w:pPr>
            <w:r>
              <w:t xml:space="preserve">Meeting Month</w:t>
            </w:r>
          </w:p>
        </w:tc>
        <w:tc>
          <w:tcPr/>
          <w:p>
            <w:pPr>
              <w:pStyle w:val="Compact"/>
            </w:pPr>
            <w:r>
              <w:t xml:space="preserve">Years Available</w:t>
            </w:r>
          </w:p>
        </w:tc>
      </w:tr>
      <w:tr>
        <w:tc>
          <w:tcPr/>
          <w:p>
            <w:pPr>
              <w:pStyle w:val="Compact"/>
            </w:pPr>
            <w:r>
              <w:t xml:space="preserve">AAGL</w:t>
            </w:r>
          </w:p>
        </w:tc>
        <w:tc>
          <w:tcPr/>
          <w:p>
            <w:pPr>
              <w:pStyle w:val="Compact"/>
            </w:pPr>
            <w:r>
              <w:t xml:space="preserve">Amer. Assoc. of Gynecologic Laparoscopists</w:t>
            </w:r>
          </w:p>
        </w:tc>
        <w:tc>
          <w:tcPr/>
          <w:p>
            <w:pPr>
              <w:pStyle w:val="Compact"/>
            </w:pPr>
            <w:r>
              <w:t xml:space="preserve">AAGL</w:t>
            </w:r>
          </w:p>
        </w:tc>
        <w:tc>
          <w:tcPr/>
          <w:p>
            <w:pPr>
              <w:pStyle w:val="Compact"/>
            </w:pPr>
            <w:r>
              <w:rPr>
                <w:i/>
                <w:iCs/>
              </w:rPr>
              <w:t xml:space="preserve">JMIG</w:t>
            </w:r>
          </w:p>
        </w:tc>
        <w:tc>
          <w:tcPr/>
          <w:p>
            <w:pPr>
              <w:pStyle w:val="Compact"/>
            </w:pPr>
            <w:r>
              <w:t xml:space="preserve">ScienceDirect</w:t>
            </w:r>
          </w:p>
        </w:tc>
        <w:tc>
          <w:tcPr/>
          <w:p>
            <w:pPr>
              <w:pStyle w:val="Compact"/>
            </w:pPr>
            <w:r>
              <w:t xml:space="preserve">Individual</w:t>
            </w:r>
          </w:p>
        </w:tc>
        <w:tc>
          <w:tcPr/>
          <w:p>
            <w:pPr>
              <w:pStyle w:val="Compact"/>
            </w:pPr>
            <w:r>
              <w:t xml:space="preserve">~90</w:t>
            </w:r>
          </w:p>
        </w:tc>
        <w:tc>
          <w:tcPr/>
          <w:p>
            <w:pPr>
              <w:pStyle w:val="Compact"/>
            </w:pPr>
            <w:r>
              <w:t xml:space="preserve">7,000</w:t>
            </w:r>
          </w:p>
        </w:tc>
        <w:tc>
          <w:tcPr/>
          <w:p>
            <w:pPr>
              <w:pStyle w:val="Compact"/>
            </w:pPr>
            <w:r>
              <w:t xml:space="preserve">MIGS</w:t>
            </w:r>
          </w:p>
        </w:tc>
        <w:tc>
          <w:tcPr/>
          <w:p>
            <w:pPr>
              <w:pStyle w:val="Compact"/>
            </w:pPr>
            <w:r>
              <w:t xml:space="preserve">Nov</w:t>
            </w:r>
          </w:p>
        </w:tc>
        <w:tc>
          <w:tcPr/>
          <w:p>
            <w:pPr>
              <w:pStyle w:val="Compact"/>
            </w:pPr>
            <w:r>
              <w:t xml:space="preserve">2012–2023</w:t>
            </w:r>
          </w:p>
        </w:tc>
      </w:tr>
      <w:tr>
        <w:tc>
          <w:tcPr/>
          <w:p>
            <w:pPr>
              <w:pStyle w:val="Compact"/>
            </w:pPr>
            <w:r>
              <w:t xml:space="preserve">SMFM</w:t>
            </w:r>
          </w:p>
        </w:tc>
        <w:tc>
          <w:tcPr/>
          <w:p>
            <w:pPr>
              <w:pStyle w:val="Compact"/>
            </w:pPr>
            <w:r>
              <w:t xml:space="preserve">Society for Maternal-Fetal Medicine</w:t>
            </w:r>
          </w:p>
        </w:tc>
        <w:tc>
          <w:tcPr/>
          <w:p>
            <w:pPr>
              <w:pStyle w:val="Compact"/>
            </w:pPr>
            <w:r>
              <w:t xml:space="preserve">SMFM</w:t>
            </w:r>
          </w:p>
        </w:tc>
        <w:tc>
          <w:tcPr/>
          <w:p>
            <w:pPr>
              <w:pStyle w:val="Compact"/>
            </w:pPr>
            <w:r>
              <w:rPr>
                <w:i/>
                <w:iCs/>
              </w:rPr>
              <w:t xml:space="preserve">AJOG</w:t>
            </w:r>
          </w:p>
        </w:tc>
        <w:tc>
          <w:tcPr/>
          <w:p>
            <w:pPr>
              <w:pStyle w:val="Compact"/>
            </w:pPr>
            <w:r>
              <w:t xml:space="preserve">ScienceDirect</w:t>
            </w:r>
          </w:p>
        </w:tc>
        <w:tc>
          <w:tcPr/>
          <w:p>
            <w:pPr>
              <w:pStyle w:val="Compact"/>
            </w:pPr>
            <w:r>
              <w:t xml:space="preserve">Individual</w:t>
            </w:r>
          </w:p>
        </w:tc>
        <w:tc>
          <w:tcPr/>
          <w:p>
            <w:pPr>
              <w:pStyle w:val="Compact"/>
            </w:pPr>
            <w:r>
              <w:t xml:space="preserve">~500</w:t>
            </w:r>
          </w:p>
        </w:tc>
        <w:tc>
          <w:tcPr/>
          <w:p>
            <w:pPr>
              <w:pStyle w:val="Compact"/>
            </w:pPr>
            <w:r>
              <w:t xml:space="preserve">4,500</w:t>
            </w:r>
          </w:p>
        </w:tc>
        <w:tc>
          <w:tcPr/>
          <w:p>
            <w:pPr>
              <w:pStyle w:val="Compact"/>
            </w:pPr>
            <w:r>
              <w:t xml:space="preserve">MFM</w:t>
            </w:r>
          </w:p>
        </w:tc>
        <w:tc>
          <w:tcPr/>
          <w:p>
            <w:pPr>
              <w:pStyle w:val="Compact"/>
            </w:pPr>
            <w:r>
              <w:t xml:space="preserve">Feb</w:t>
            </w:r>
          </w:p>
        </w:tc>
        <w:tc>
          <w:tcPr/>
          <w:p>
            <w:pPr>
              <w:pStyle w:val="Compact"/>
            </w:pPr>
            <w:r>
              <w:t xml:space="preserve">2013–2023</w:t>
            </w:r>
          </w:p>
        </w:tc>
      </w:tr>
      <w:tr>
        <w:tc>
          <w:tcPr/>
          <w:p>
            <w:pPr>
              <w:pStyle w:val="Compact"/>
            </w:pPr>
            <w:r>
              <w:t xml:space="preserve">SGO</w:t>
            </w:r>
          </w:p>
        </w:tc>
        <w:tc>
          <w:tcPr/>
          <w:p>
            <w:pPr>
              <w:pStyle w:val="Compact"/>
            </w:pPr>
            <w:r>
              <w:t xml:space="preserve">Society of Gynecologic Oncology</w:t>
            </w:r>
          </w:p>
        </w:tc>
        <w:tc>
          <w:tcPr/>
          <w:p>
            <w:pPr>
              <w:pStyle w:val="Compact"/>
            </w:pPr>
            <w:r>
              <w:t xml:space="preserve">SGO</w:t>
            </w:r>
          </w:p>
        </w:tc>
        <w:tc>
          <w:tcPr/>
          <w:p>
            <w:pPr>
              <w:pStyle w:val="Compact"/>
            </w:pPr>
            <w:r>
              <w:rPr>
                <w:i/>
                <w:iCs/>
              </w:rPr>
              <w:t xml:space="preserve">Gynecologic Oncology</w:t>
            </w:r>
          </w:p>
        </w:tc>
        <w:tc>
          <w:tcPr/>
          <w:p>
            <w:pPr>
              <w:pStyle w:val="Compact"/>
            </w:pPr>
            <w:r>
              <w:t xml:space="preserve">ScienceDirect</w:t>
            </w:r>
          </w:p>
        </w:tc>
        <w:tc>
          <w:tcPr/>
          <w:p>
            <w:pPr>
              <w:pStyle w:val="Compact"/>
            </w:pPr>
            <w:r>
              <w:t xml:space="preserve">Individual</w:t>
            </w:r>
          </w:p>
        </w:tc>
        <w:tc>
          <w:tcPr/>
          <w:p>
            <w:pPr>
              <w:pStyle w:val="Compact"/>
            </w:pPr>
            <w:r>
              <w:t xml:space="preserve">~570</w:t>
            </w:r>
          </w:p>
        </w:tc>
        <w:tc>
          <w:tcPr/>
          <w:p>
            <w:pPr>
              <w:pStyle w:val="Compact"/>
            </w:pPr>
            <w:r>
              <w:t xml:space="preserve">1,700</w:t>
            </w:r>
          </w:p>
        </w:tc>
        <w:tc>
          <w:tcPr/>
          <w:p>
            <w:pPr>
              <w:pStyle w:val="Compact"/>
            </w:pPr>
            <w:r>
              <w:t xml:space="preserve">Gyn-Onc</w:t>
            </w:r>
          </w:p>
        </w:tc>
        <w:tc>
          <w:tcPr/>
          <w:p>
            <w:pPr>
              <w:pStyle w:val="Compact"/>
            </w:pPr>
            <w:r>
              <w:t xml:space="preserve">Mar</w:t>
            </w:r>
          </w:p>
        </w:tc>
        <w:tc>
          <w:tcPr/>
          <w:p>
            <w:pPr>
              <w:pStyle w:val="Compact"/>
            </w:pPr>
            <w:r>
              <w:t xml:space="preserve">2014–2023</w:t>
            </w:r>
          </w:p>
        </w:tc>
      </w:tr>
      <w:tr>
        <w:tc>
          <w:tcPr/>
          <w:p>
            <w:pPr>
              <w:pStyle w:val="Compact"/>
            </w:pPr>
            <w:r>
              <w:t xml:space="preserve">NASPAG</w:t>
            </w:r>
          </w:p>
        </w:tc>
        <w:tc>
          <w:tcPr/>
          <w:p>
            <w:pPr>
              <w:pStyle w:val="Compact"/>
            </w:pPr>
            <w:r>
              <w:t xml:space="preserve">N. Amer. Society for Pediatric &amp; Adolescent Gyn.</w:t>
            </w:r>
          </w:p>
        </w:tc>
        <w:tc>
          <w:tcPr/>
          <w:p>
            <w:pPr>
              <w:pStyle w:val="Compact"/>
            </w:pPr>
            <w:r>
              <w:t xml:space="preserve">NASPAG</w:t>
            </w:r>
          </w:p>
        </w:tc>
        <w:tc>
          <w:tcPr/>
          <w:p>
            <w:pPr>
              <w:pStyle w:val="Compact"/>
            </w:pPr>
            <w:r>
              <w:rPr>
                <w:i/>
                <w:iCs/>
              </w:rPr>
              <w:t xml:space="preserve">JPAG</w:t>
            </w:r>
          </w:p>
        </w:tc>
        <w:tc>
          <w:tcPr/>
          <w:p>
            <w:pPr>
              <w:pStyle w:val="Compact"/>
            </w:pPr>
            <w:r>
              <w:t xml:space="preserve">ScienceDirect</w:t>
            </w:r>
          </w:p>
        </w:tc>
        <w:tc>
          <w:tcPr/>
          <w:p>
            <w:pPr>
              <w:pStyle w:val="Compact"/>
            </w:pPr>
            <w:r>
              <w:t xml:space="preserve">Individual</w:t>
            </w:r>
          </w:p>
        </w:tc>
        <w:tc>
          <w:tcPr/>
          <w:p>
            <w:pPr>
              <w:pStyle w:val="Compact"/>
            </w:pPr>
            <w:r>
              <w:t xml:space="preserve">~35</w:t>
            </w:r>
          </w:p>
        </w:tc>
        <w:tc>
          <w:tcPr/>
          <w:p>
            <w:pPr>
              <w:pStyle w:val="Compact"/>
            </w:pPr>
            <w:r>
              <w:t xml:space="preserve">1,200</w:t>
            </w:r>
          </w:p>
        </w:tc>
        <w:tc>
          <w:tcPr/>
          <w:p>
            <w:pPr>
              <w:pStyle w:val="Compact"/>
            </w:pPr>
            <w:r>
              <w:t xml:space="preserve">Ped/Adolescent Gyn</w:t>
            </w:r>
          </w:p>
        </w:tc>
        <w:tc>
          <w:tcPr/>
          <w:p>
            <w:pPr>
              <w:pStyle w:val="Compact"/>
            </w:pPr>
            <w:r>
              <w:t xml:space="preserve">Apr</w:t>
            </w:r>
          </w:p>
        </w:tc>
        <w:tc>
          <w:tcPr/>
          <w:p>
            <w:pPr>
              <w:pStyle w:val="Compact"/>
            </w:pPr>
            <w:r>
              <w:t xml:space="preserve">2013–2023</w:t>
            </w:r>
          </w:p>
        </w:tc>
      </w:tr>
      <w:tr>
        <w:tc>
          <w:tcPr/>
          <w:p>
            <w:pPr>
              <w:pStyle w:val="Compact"/>
            </w:pPr>
            <w:r>
              <w:t xml:space="preserve">ASRM</w:t>
            </w:r>
          </w:p>
        </w:tc>
        <w:tc>
          <w:tcPr/>
          <w:p>
            <w:pPr>
              <w:pStyle w:val="Compact"/>
            </w:pPr>
            <w:r>
              <w:t xml:space="preserve">Amer. Society for Reproductive Medicine</w:t>
            </w:r>
          </w:p>
        </w:tc>
        <w:tc>
          <w:tcPr/>
          <w:p>
            <w:pPr>
              <w:pStyle w:val="Compact"/>
            </w:pPr>
            <w:r>
              <w:t xml:space="preserve">ASRM</w:t>
            </w:r>
          </w:p>
        </w:tc>
        <w:tc>
          <w:tcPr/>
          <w:p>
            <w:pPr>
              <w:pStyle w:val="Compact"/>
            </w:pPr>
            <w:r>
              <w:rPr>
                <w:i/>
                <w:iCs/>
              </w:rPr>
              <w:t xml:space="preserve">Fertility and Sterility</w:t>
            </w:r>
          </w:p>
        </w:tc>
        <w:tc>
          <w:tcPr/>
          <w:p>
            <w:pPr>
              <w:pStyle w:val="Compact"/>
            </w:pPr>
            <w:r>
              <w:t xml:space="preserve">ScienceDirect</w:t>
            </w:r>
          </w:p>
        </w:tc>
        <w:tc>
          <w:tcPr/>
          <w:p>
            <w:pPr>
              <w:pStyle w:val="Compact"/>
            </w:pPr>
            <w:r>
              <w:t xml:space="preserve">Individual</w:t>
            </w:r>
          </w:p>
        </w:tc>
        <w:tc>
          <w:tcPr/>
          <w:p>
            <w:pPr>
              <w:pStyle w:val="Compact"/>
            </w:pPr>
            <w:r>
              <w:t xml:space="preserve">~1,200</w:t>
            </w:r>
          </w:p>
        </w:tc>
        <w:tc>
          <w:tcPr/>
          <w:p>
            <w:pPr>
              <w:pStyle w:val="Compact"/>
            </w:pPr>
            <w:r>
              <w:t xml:space="preserve">8,000</w:t>
            </w:r>
          </w:p>
        </w:tc>
        <w:tc>
          <w:tcPr/>
          <w:p>
            <w:pPr>
              <w:pStyle w:val="Compact"/>
            </w:pPr>
            <w:r>
              <w:t xml:space="preserve">REI</w:t>
            </w:r>
          </w:p>
        </w:tc>
        <w:tc>
          <w:tcPr/>
          <w:p>
            <w:pPr>
              <w:pStyle w:val="Compact"/>
            </w:pPr>
            <w:r>
              <w:t xml:space="preserve">Oct</w:t>
            </w:r>
          </w:p>
        </w:tc>
        <w:tc>
          <w:tcPr/>
          <w:p>
            <w:pPr>
              <w:pStyle w:val="Compact"/>
            </w:pPr>
            <w:r>
              <w:t xml:space="preserve">2013–2023</w:t>
            </w:r>
          </w:p>
        </w:tc>
      </w:tr>
      <w:tr>
        <w:tc>
          <w:tcPr/>
          <w:p>
            <w:pPr>
              <w:pStyle w:val="Compact"/>
            </w:pPr>
            <w:r>
              <w:t xml:space="preserve">ACOG</w:t>
            </w:r>
          </w:p>
        </w:tc>
        <w:tc>
          <w:tcPr/>
          <w:p>
            <w:pPr>
              <w:pStyle w:val="Compact"/>
            </w:pPr>
            <w:r>
              <w:t xml:space="preserve">Amer. College of Ob-Gyn</w:t>
            </w:r>
          </w:p>
        </w:tc>
        <w:tc>
          <w:tcPr/>
          <w:p>
            <w:pPr>
              <w:pStyle w:val="Compact"/>
            </w:pPr>
            <w:r>
              <w:t xml:space="preserve">ACOG</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w:t>
            </w:r>
          </w:p>
        </w:tc>
        <w:tc>
          <w:tcPr/>
          <w:p>
            <w:pPr>
              <w:pStyle w:val="Compact"/>
            </w:pPr>
            <w:r>
              <w:t xml:space="preserve">~800</w:t>
            </w:r>
          </w:p>
        </w:tc>
        <w:tc>
          <w:tcPr/>
          <w:p>
            <w:pPr>
              <w:pStyle w:val="Compact"/>
            </w:pPr>
            <w:r>
              <w:t xml:space="preserve">62,000</w:t>
            </w:r>
          </w:p>
        </w:tc>
        <w:tc>
          <w:tcPr/>
          <w:p>
            <w:pPr>
              <w:pStyle w:val="Compact"/>
            </w:pPr>
            <w:r>
              <w:t xml:space="preserve">General OB/GYN</w:t>
            </w:r>
          </w:p>
        </w:tc>
        <w:tc>
          <w:tcPr/>
          <w:p>
            <w:pPr>
              <w:pStyle w:val="Compact"/>
            </w:pPr>
            <w:r>
              <w:t xml:space="preserve">May</w:t>
            </w:r>
          </w:p>
        </w:tc>
        <w:tc>
          <w:tcPr/>
          <w:p>
            <w:pPr>
              <w:pStyle w:val="Compact"/>
            </w:pPr>
            <w:r>
              <w:t xml:space="preserve">2013–2023</w:t>
            </w:r>
          </w:p>
        </w:tc>
      </w:tr>
      <w:tr>
        <w:tc>
          <w:tcPr/>
          <w:p>
            <w:pPr>
              <w:pStyle w:val="Compact"/>
            </w:pPr>
            <w:r>
              <w:t xml:space="preserve">CREOG/APGO</w:t>
            </w:r>
          </w:p>
        </w:tc>
        <w:tc>
          <w:tcPr/>
          <w:p>
            <w:pPr>
              <w:pStyle w:val="Compact"/>
            </w:pPr>
            <w:r>
              <w:t xml:space="preserve">Council on Resident Ed. / Assoc. of Professors of Gyn &amp; Ob</w:t>
            </w:r>
          </w:p>
        </w:tc>
        <w:tc>
          <w:tcPr/>
          <w:p>
            <w:pPr>
              <w:pStyle w:val="Compact"/>
            </w:pPr>
            <w:r>
              <w:t xml:space="preserve">CREOG/APGO</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 (2015+)</w:t>
            </w:r>
          </w:p>
        </w:tc>
        <w:tc>
          <w:tcPr/>
          <w:p>
            <w:pPr>
              <w:pStyle w:val="Compact"/>
            </w:pPr>
            <w:r>
              <w:t xml:space="preserve">~200</w:t>
            </w:r>
          </w:p>
        </w:tc>
        <w:tc>
          <w:tcPr/>
          <w:p>
            <w:pPr>
              <w:pStyle w:val="Compact"/>
            </w:pPr>
            <w:r>
              <w:t xml:space="preserve">5,000</w:t>
            </w:r>
          </w:p>
        </w:tc>
        <w:tc>
          <w:tcPr/>
          <w:p>
            <w:pPr>
              <w:pStyle w:val="Compact"/>
            </w:pPr>
            <w:r>
              <w:t xml:space="preserve">OB/GYN Education</w:t>
            </w:r>
          </w:p>
        </w:tc>
        <w:tc>
          <w:tcPr/>
          <w:p>
            <w:pPr>
              <w:pStyle w:val="Compact"/>
            </w:pPr>
            <w:r>
              <w:t xml:space="preserve">Feb</w:t>
            </w:r>
          </w:p>
        </w:tc>
        <w:tc>
          <w:tcPr/>
          <w:p>
            <w:pPr>
              <w:pStyle w:val="Compact"/>
            </w:pPr>
            <w:r>
              <w:t xml:space="preserve">2013–2023</w:t>
            </w:r>
          </w:p>
        </w:tc>
      </w:tr>
      <w:tr>
        <w:tc>
          <w:tcPr/>
          <w:p>
            <w:pPr>
              <w:pStyle w:val="Compact"/>
            </w:pPr>
            <w:r>
              <w:t xml:space="preserve">SFP</w:t>
            </w:r>
          </w:p>
        </w:tc>
        <w:tc>
          <w:tcPr/>
          <w:p>
            <w:pPr>
              <w:pStyle w:val="Compact"/>
            </w:pPr>
            <w:r>
              <w:t xml:space="preserve">Society of Family Planning</w:t>
            </w:r>
          </w:p>
        </w:tc>
        <w:tc>
          <w:tcPr/>
          <w:p>
            <w:pPr>
              <w:pStyle w:val="Compact"/>
            </w:pPr>
            <w:r>
              <w:t xml:space="preserve">SFP</w:t>
            </w:r>
          </w:p>
        </w:tc>
        <w:tc>
          <w:tcPr/>
          <w:p>
            <w:pPr>
              <w:pStyle w:val="Compact"/>
            </w:pPr>
            <w:r>
              <w:rPr>
                <w:i/>
                <w:iCs/>
              </w:rPr>
              <w:t xml:space="preserve">Contraception</w:t>
            </w:r>
          </w:p>
        </w:tc>
        <w:tc>
          <w:tcPr/>
          <w:p>
            <w:pPr>
              <w:pStyle w:val="Compact"/>
            </w:pPr>
            <w:r>
              <w:t xml:space="preserve">ScienceDirect</w:t>
            </w:r>
          </w:p>
        </w:tc>
        <w:tc>
          <w:tcPr/>
          <w:p>
            <w:pPr>
              <w:pStyle w:val="Compact"/>
            </w:pPr>
            <w:r>
              <w:t xml:space="preserve">Collection-level</w:t>
            </w:r>
          </w:p>
        </w:tc>
        <w:tc>
          <w:tcPr/>
          <w:p>
            <w:pPr>
              <w:pStyle w:val="Compact"/>
            </w:pPr>
            <w:r>
              <w:t xml:space="preserve">~300</w:t>
            </w:r>
          </w:p>
        </w:tc>
        <w:tc>
          <w:tcPr/>
          <w:p>
            <w:pPr>
              <w:pStyle w:val="Compact"/>
            </w:pPr>
            <w:r>
              <w:t xml:space="preserve">1,800</w:t>
            </w:r>
          </w:p>
        </w:tc>
        <w:tc>
          <w:tcPr/>
          <w:p>
            <w:pPr>
              <w:pStyle w:val="Compact"/>
            </w:pPr>
            <w:r>
              <w:t xml:space="preserve">Family Planning</w:t>
            </w:r>
          </w:p>
        </w:tc>
        <w:tc>
          <w:tcPr/>
          <w:p>
            <w:pPr>
              <w:pStyle w:val="Compact"/>
            </w:pPr>
            <w:r>
              <w:t xml:space="preserve">Nov</w:t>
            </w:r>
          </w:p>
        </w:tc>
        <w:tc>
          <w:tcPr/>
          <w:p>
            <w:pPr>
              <w:pStyle w:val="Compact"/>
            </w:pPr>
            <w:r>
              <w:t xml:space="preserve">2015–2023</w:t>
            </w:r>
          </w:p>
        </w:tc>
      </w:tr>
      <w:tr>
        <w:tc>
          <w:tcPr/>
          <w:p>
            <w:pPr>
              <w:pStyle w:val="Compact"/>
            </w:pPr>
            <w:r>
              <w:t xml:space="preserve">AUGS</w:t>
            </w:r>
          </w:p>
        </w:tc>
        <w:tc>
          <w:tcPr/>
          <w:p>
            <w:pPr>
              <w:pStyle w:val="Compact"/>
            </w:pPr>
            <w:r>
              <w:t xml:space="preserve">Amer. Urogynecologic Society</w:t>
            </w:r>
          </w:p>
        </w:tc>
        <w:tc>
          <w:tcPr/>
          <w:p>
            <w:pPr>
              <w:pStyle w:val="Compact"/>
            </w:pPr>
            <w:r>
              <w:t xml:space="preserve">AUGS</w:t>
            </w:r>
          </w:p>
        </w:tc>
        <w:tc>
          <w:tcPr/>
          <w:p>
            <w:pPr>
              <w:pStyle w:val="Compact"/>
            </w:pPr>
            <w:r>
              <w:rPr>
                <w:i/>
                <w:iCs/>
              </w:rPr>
              <w:t xml:space="preserve">Urogynecology</w:t>
            </w:r>
          </w:p>
        </w:tc>
        <w:tc>
          <w:tcPr/>
          <w:p>
            <w:pPr>
              <w:pStyle w:val="Compact"/>
            </w:pPr>
            <w:r>
              <w:t xml:space="preserve">LWW</w:t>
            </w:r>
          </w:p>
        </w:tc>
        <w:tc>
          <w:tcPr/>
          <w:p>
            <w:pPr>
              <w:pStyle w:val="Compact"/>
            </w:pPr>
            <w:r>
              <w:t xml:space="preserve">Supplement-level</w:t>
            </w:r>
          </w:p>
        </w:tc>
        <w:tc>
          <w:tcPr/>
          <w:p>
            <w:pPr>
              <w:pStyle w:val="Compact"/>
            </w:pPr>
            <w:r>
              <w:t xml:space="preserve">~400</w:t>
            </w:r>
          </w:p>
        </w:tc>
        <w:tc>
          <w:tcPr/>
          <w:p>
            <w:pPr>
              <w:pStyle w:val="Compact"/>
            </w:pPr>
            <w:r>
              <w:t xml:space="preserve">1,600</w:t>
            </w:r>
          </w:p>
        </w:tc>
        <w:tc>
          <w:tcPr/>
          <w:p>
            <w:pPr>
              <w:pStyle w:val="Compact"/>
            </w:pPr>
            <w:r>
              <w:t xml:space="preserve">FPMRS/Urogynecology</w:t>
            </w:r>
          </w:p>
        </w:tc>
        <w:tc>
          <w:tcPr/>
          <w:p>
            <w:pPr>
              <w:pStyle w:val="Compact"/>
            </w:pPr>
            <w:r>
              <w:t xml:space="preserve">Oct</w:t>
            </w:r>
          </w:p>
        </w:tc>
        <w:tc>
          <w:tcPr/>
          <w:p>
            <w:pPr>
              <w:pStyle w:val="Compact"/>
            </w:pPr>
            <w:r>
              <w:t xml:space="preserve">2013–2023</w:t>
            </w:r>
          </w:p>
        </w:tc>
      </w:tr>
      <w:tr>
        <w:tc>
          <w:tcPr/>
          <w:p>
            <w:pPr>
              <w:pStyle w:val="Compact"/>
            </w:pPr>
            <w:r>
              <w:t xml:space="preserve">SASGOG</w:t>
            </w:r>
          </w:p>
        </w:tc>
        <w:tc>
          <w:tcPr/>
          <w:p>
            <w:pPr>
              <w:pStyle w:val="Compact"/>
            </w:pPr>
            <w:r>
              <w:t xml:space="preserve">Society for Academic Specialists in Gen. OB/GYN</w:t>
            </w:r>
          </w:p>
        </w:tc>
        <w:tc>
          <w:tcPr/>
          <w:p>
            <w:pPr>
              <w:pStyle w:val="Compact"/>
            </w:pPr>
            <w: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None</w:t>
            </w:r>
          </w:p>
        </w:tc>
        <w:tc>
          <w:tcPr/>
          <w:p>
            <w:pPr>
              <w:pStyle w:val="Compact"/>
            </w:pPr>
            <w:r>
              <w:t xml:space="preserve">~50</w:t>
            </w:r>
          </w:p>
        </w:tc>
        <w:tc>
          <w:tcPr/>
          <w:p>
            <w:pPr>
              <w:pStyle w:val="Compact"/>
            </w:pPr>
            <w:r>
              <w:t xml:space="preserve">500</w:t>
            </w:r>
          </w:p>
        </w:tc>
        <w:tc>
          <w:tcPr/>
          <w:p>
            <w:pPr>
              <w:pStyle w:val="Compact"/>
            </w:pPr>
            <w:r>
              <w:t xml:space="preserve">General OB/GYN</w:t>
            </w:r>
          </w:p>
        </w:tc>
        <w:tc>
          <w:tcPr/>
          <w:p>
            <w:pPr>
              <w:pStyle w:val="Compact"/>
            </w:pPr>
            <w:r>
              <w:t xml:space="preserve">Jan</w:t>
            </w:r>
          </w:p>
        </w:tc>
        <w:tc>
          <w:tcPr/>
          <w:p>
            <w:pPr>
              <w:pStyle w:val="Compact"/>
            </w:pPr>
            <w:r>
              <w:t xml:space="preserve">2019–2023</w:t>
            </w:r>
          </w:p>
        </w:tc>
      </w:tr>
    </w:tbl>
    <w:p>
      <w:pPr>
        <w:pStyle w:val="BodyText"/>
      </w:pPr>
      <w:r>
        <w:rPr>
          <w:b/>
          <w:bCs/>
        </w:rPr>
        <w:t xml:space="preserve">Scientific overlap between societies.</w:t>
      </w:r>
      <w:r>
        <w:t xml:space="preserve"> </w:t>
      </w:r>
      <w:r>
        <w:t xml:space="preserve">AAGL and AUGS share a substantial presenter pool: surgeons who hold MIG (minimally invasive gynecology) subspecialty certification from ABOG also frequently perform pelvic floor reconstructive procedures within the FPMRS domain. An estimated 15–25% of AAGL presenters may also appear in AUGS supplements, enabling longitudinal author-level tracking across societies. Similarly, SMFM and ACOG share general-obstetrics content, and ASRM and NASPAG both cover adolescent reproductive endocrinology topics. These overlaps provide opportunities for cross-validation of NPI and ORCID identity resolution across independently assembled datasets.</w:t>
      </w:r>
    </w:p>
    <w:bookmarkEnd w:id="55"/>
    <w:bookmarkStart w:id="56" w:name="a11.3-platform-architecture"/>
    <w:p>
      <w:pPr>
        <w:pStyle w:val="Heading3"/>
      </w:pPr>
      <w:r>
        <w:t xml:space="preserve">A11.3 Platform Architecture</w:t>
      </w:r>
    </w:p>
    <w:p>
      <w:pPr>
        <w:pStyle w:val="FirstParagraph"/>
      </w:pPr>
      <w:r>
        <w:t xml:space="preserve">The ten candidate societies distribute across two commercial publishing platforms and one non-journal model, creating two primary engineering tracks for the scraping and ingestion layer of the pipeline.</w:t>
      </w:r>
    </w:p>
    <w:p>
      <w:pPr>
        <w:pStyle w:val="BodyText"/>
      </w:pPr>
      <w:r>
        <w:rPr>
          <w:b/>
          <w:bCs/>
        </w:rPr>
        <w:t xml:space="preserve">Elsevier/ScienceDirect (six societies: AAGL, SMFM, SGO, NASPAG, ASRM, SFP).</w:t>
      </w:r>
      <w:r>
        <w:t xml:space="preserve"> </w:t>
      </w:r>
      <w:r>
        <w:t xml:space="preserve">Abstracts are hosted at</w:t>
      </w:r>
      <w:r>
        <w:t xml:space="preserve"> </w:t>
      </w:r>
      <w:r>
        <w:rPr>
          <w:rStyle w:val="VerbatimChar"/>
        </w:rPr>
        <w:t xml:space="preserve">https://www.sciencedirect.com/journal/{journal-name}/vol/{vol}/issue/{issue}/suppl/S</w:t>
      </w:r>
      <w:r>
        <w:t xml:space="preserve"> </w:t>
      </w:r>
      <w:r>
        <w:t xml:space="preserve">and served as structured HTML with consistent DOM element IDs. The journal-specific identifiers vary (</w:t>
      </w:r>
      <w:r>
        <w:rPr>
          <w:rStyle w:val="VerbatimChar"/>
        </w:rPr>
        <w:t xml:space="preserve">.jmig</w:t>
      </w:r>
      <w:r>
        <w:t xml:space="preserve">,</w:t>
      </w:r>
      <w:r>
        <w:t xml:space="preserve"> </w:t>
      </w:r>
      <w:r>
        <w:rPr>
          <w:rStyle w:val="VerbatimChar"/>
        </w:rPr>
        <w:t xml:space="preserve">.ajog</w:t>
      </w:r>
      <w:r>
        <w:t xml:space="preserve">,</w:t>
      </w:r>
      <w:r>
        <w:t xml:space="preserve"> </w:t>
      </w:r>
      <w:r>
        <w:rPr>
          <w:rStyle w:val="VerbatimChar"/>
        </w:rPr>
        <w:t xml:space="preserve">.ygyno</w:t>
      </w:r>
      <w:r>
        <w:t xml:space="preserve">,</w:t>
      </w:r>
      <w:r>
        <w:t xml:space="preserve"> </w:t>
      </w:r>
      <w:r>
        <w:rPr>
          <w:rStyle w:val="VerbatimChar"/>
        </w:rPr>
        <w:t xml:space="preserve">.jpag</w:t>
      </w:r>
      <w:r>
        <w:t xml:space="preserve">,</w:t>
      </w:r>
      <w:r>
        <w:t xml:space="preserve"> </w:t>
      </w:r>
      <w:r>
        <w:rPr>
          <w:rStyle w:val="VerbatimChar"/>
        </w:rPr>
        <w:t xml:space="preserve">.fertnstert</w:t>
      </w:r>
      <w:r>
        <w:t xml:space="preserve">,</w:t>
      </w:r>
      <w:r>
        <w:t xml:space="preserve"> </w:t>
      </w:r>
      <w:r>
        <w:rPr>
          <w:rStyle w:val="VerbatimChar"/>
        </w:rPr>
        <w:t xml:space="preserve">.contraception</w:t>
      </w:r>
      <w:r>
        <w:t xml:space="preserve">), but the page architecture — article list container, article link</w:t>
      </w:r>
      <w:r>
        <w:t xml:space="preserve"> </w:t>
      </w:r>
      <w:r>
        <w:rPr>
          <w:rStyle w:val="VerbatimChar"/>
        </w:rPr>
        <w:t xml:space="preserve">&lt;a&gt;</w:t>
      </w:r>
      <w:r>
        <w:t xml:space="preserve"> </w:t>
      </w:r>
      <w:r>
        <w:t xml:space="preserve">tags with</w:t>
      </w:r>
      <w:r>
        <w:t xml:space="preserve"> </w:t>
      </w:r>
      <w:r>
        <w:rPr>
          <w:rStyle w:val="VerbatimChar"/>
        </w:rPr>
        <w:t xml:space="preserve">/science/article/pii/</w:t>
      </w:r>
      <w:r>
        <w:t xml:space="preserve"> </w:t>
      </w:r>
      <w:r>
        <w:t xml:space="preserve">href patterns, per-article JSON-LD metadata blocks — is identical across all six journals. The existing</w:t>
      </w:r>
      <w:r>
        <w:t xml:space="preserve"> </w:t>
      </w:r>
      <w:r>
        <w:rPr>
          <w:rStyle w:val="VerbatimChar"/>
        </w:rPr>
        <w:t xml:space="preserve">01b_parse_web.R</w:t>
      </w:r>
      <w:r>
        <w:t xml:space="preserve"> </w:t>
      </w:r>
      <w:r>
        <w:t xml:space="preserve">ScienceDirect scraper, the</w:t>
      </w:r>
      <w:r>
        <w:t xml:space="preserve"> </w:t>
      </w:r>
      <w:r>
        <w:rPr>
          <w:rStyle w:val="VerbatimChar"/>
        </w:rPr>
        <w:t xml:space="preserve">backfill_affiliations_from_cache.R</w:t>
      </w:r>
      <w:r>
        <w:t xml:space="preserve"> </w:t>
      </w:r>
      <w:r>
        <w:t xml:space="preserve">HTML-JSON-blob extractor, and the</w:t>
      </w:r>
      <w:r>
        <w:t xml:space="preserve"> </w:t>
      </w:r>
      <w:r>
        <w:rPr>
          <w:rStyle w:val="VerbatimChar"/>
        </w:rPr>
        <w:t xml:space="preserve">03c_doi_chain_search.R</w:t>
      </w:r>
      <w:r>
        <w:t xml:space="preserve"> </w:t>
      </w:r>
      <w:r>
        <w:t xml:space="preserve">OpenAlex reverse-citation script can be reused for all five new Elsevier societies by updating three parameters:</w:t>
      </w:r>
      <w:r>
        <w:t xml:space="preserve"> </w:t>
      </w:r>
      <w:r>
        <w:rPr>
          <w:rStyle w:val="VerbatimChar"/>
        </w:rPr>
        <w:t xml:space="preserve">journal_doi_prefix</w:t>
      </w:r>
      <w:r>
        <w:t xml:space="preserve">,</w:t>
      </w:r>
      <w:r>
        <w:t xml:space="preserve"> </w:t>
      </w:r>
      <w:r>
        <w:rPr>
          <w:rStyle w:val="VerbatimChar"/>
        </w:rPr>
        <w:t xml:space="preserve">journal_name</w:t>
      </w:r>
      <w:r>
        <w:t xml:space="preserve">, and</w:t>
      </w:r>
      <w:r>
        <w:t xml:space="preserve"> </w:t>
      </w:r>
      <w:r>
        <w:rPr>
          <w:rStyle w:val="VerbatimChar"/>
        </w:rPr>
        <w:t xml:space="preserve">suppl_url_pattern</w:t>
      </w:r>
      <w:r>
        <w:t xml:space="preserve">. This is the</w:t>
      </w:r>
      <w:r>
        <w:t xml:space="preserve"> </w:t>
      </w:r>
      <w:r>
        <w:t xml:space="preserve">“write once, run for all Elsevier societies”</w:t>
      </w:r>
      <w:r>
        <w:t xml:space="preserve"> </w:t>
      </w:r>
      <w:r>
        <w:t xml:space="preserve">principle.</w:t>
      </w:r>
    </w:p>
    <w:p>
      <w:pPr>
        <w:pStyle w:val="BodyText"/>
      </w:pPr>
      <w:r>
        <w:t xml:space="preserve">The one Elsevier exception is SFP (</w:t>
      </w:r>
      <w:r>
        <w:rPr>
          <w:i/>
          <w:iCs/>
        </w:rPr>
        <w:t xml:space="preserve">Contraception</w:t>
      </w:r>
      <w:r>
        <w:t xml:space="preserve">): abstracts are not published as supplement issues but as regular journal articles containing all abstracts concatenated. Ingestion requires parsing the full-text HTML of the collection article rather than iterating over a supplement TOC page. This is a distinct scraping task that shares the Elsevier platform credentials and HTML structure but requires a new parsing function.</w:t>
      </w:r>
    </w:p>
    <w:p>
      <w:pPr>
        <w:pStyle w:val="BodyText"/>
      </w:pPr>
      <w:r>
        <w:rPr>
          <w:b/>
          <w:bCs/>
        </w:rPr>
        <w:t xml:space="preserve">LWW/Wolters Kluwer (three societies: ACOG, CREOG/APGO, AUGS).</w:t>
      </w:r>
      <w:r>
        <w:t xml:space="preserve"> </w:t>
      </w:r>
      <w:r>
        <w:t xml:space="preserve">Abstracts are hosted at</w:t>
      </w:r>
      <w:r>
        <w:t xml:space="preserve"> </w:t>
      </w:r>
      <w:r>
        <w:rPr>
          <w:rStyle w:val="VerbatimChar"/>
        </w:rPr>
        <w:t xml:space="preserve">https://journals.lww.com/{journal-slug}/toc/{YYYY}/{issue}</w:t>
      </w:r>
      <w:r>
        <w:t xml:space="preserve">. LWW article pages differ from ScienceDirect in three pipeline-relevant ways: (1) There is no JSON-LD metadata block — author affiliations are embedded in plain HTML rather than structured JSON, requiring different XPath extraction logic. (2) DOIs use a hash-based format (</w:t>
      </w:r>
      <w:r>
        <w:rPr>
          <w:rStyle w:val="VerbatimChar"/>
        </w:rPr>
        <w:t xml:space="preserve">10.1097/01.AOG.0000XXXXXXXXX.XXXXX.XX</w:t>
      </w:r>
      <w:r>
        <w:t xml:space="preserve">) rather than ScienceDirect’s sequential</w:t>
      </w:r>
      <w:r>
        <w:t xml:space="preserve"> </w:t>
      </w:r>
      <w:r>
        <w:rPr>
          <w:rStyle w:val="VerbatimChar"/>
        </w:rPr>
        <w:t xml:space="preserve">.YYYY.MM.NNN</w:t>
      </w:r>
      <w:r>
        <w:t xml:space="preserve"> </w:t>
      </w:r>
      <w:r>
        <w:t xml:space="preserve">format, which affects DOI-chain search but not PubMed-based search. (3) The LWW supplement TOC renders abstract links via JavaScript pagination rather than static HTML, requiring either a headless browser (Selenium/RSelenium) or direct enumeration via the LWW API endpoint (</w:t>
      </w:r>
      <w:r>
        <w:rPr>
          <w:rStyle w:val="VerbatimChar"/>
        </w:rPr>
        <w:t xml:space="preserve">https://journals.lww.com/fpmrs/api/00130591-{issue}/abstractlist</w:t>
      </w:r>
      <w:r>
        <w:t xml:space="preserve">). A single LWW scraper covers all three societies because ACOG and CREOG/APGO use the same Green Journal (</w:t>
      </w:r>
      <w:r>
        <w:rPr>
          <w:i/>
          <w:iCs/>
        </w:rPr>
        <w:t xml:space="preserve">Obstetrics &amp; Gynecology</w:t>
      </w:r>
      <w:r>
        <w:t xml:space="preserve">) host and AUGS uses the same LWW platform with identical DOM structure.</w:t>
      </w:r>
    </w:p>
    <w:p>
      <w:pPr>
        <w:pStyle w:val="BodyText"/>
      </w:pPr>
      <w:r>
        <w:rPr>
          <w:b/>
          <w:bCs/>
        </w:rPr>
        <w:t xml:space="preserve">Pipeline components that are platform-specific vs. universal:</w:t>
      </w:r>
    </w:p>
    <w:tbl>
      <w:tblPr>
        <w:tblStyle w:val="Table"/>
        <w:tblW w:type="pct" w:w="5000"/>
        <w:tblLayout w:type="fixed"/>
        <w:tblLook w:firstRow="1" w:lastRow="0" w:firstColumn="0" w:lastColumn="0" w:noHBand="0" w:noVBand="0" w:val="0020"/>
      </w:tblPr>
      <w:tblGrid>
        <w:gridCol w:w="3350"/>
        <w:gridCol w:w="1523"/>
        <w:gridCol w:w="1523"/>
        <w:gridCol w:w="1523"/>
      </w:tblGrid>
      <w:tr>
        <w:trPr>
          <w:tblHeader w:val="on"/>
        </w:trPr>
        <w:tc>
          <w:tcPr/>
          <w:p>
            <w:pPr>
              <w:pStyle w:val="Compact"/>
            </w:pPr>
            <w:r>
              <w:t xml:space="preserve">Component</w:t>
            </w:r>
          </w:p>
        </w:tc>
        <w:tc>
          <w:tcPr/>
          <w:p>
            <w:pPr>
              <w:pStyle w:val="Compact"/>
              <w:jc w:val="center"/>
            </w:pPr>
            <w:r>
              <w:t xml:space="preserve">ScienceDirect</w:t>
            </w:r>
          </w:p>
        </w:tc>
        <w:tc>
          <w:tcPr/>
          <w:p>
            <w:pPr>
              <w:pStyle w:val="Compact"/>
              <w:jc w:val="center"/>
            </w:pPr>
            <w:r>
              <w:t xml:space="preserve">LWW</w:t>
            </w:r>
          </w:p>
        </w:tc>
        <w:tc>
          <w:tcPr/>
          <w:p>
            <w:pPr>
              <w:pStyle w:val="Compact"/>
              <w:jc w:val="center"/>
            </w:pPr>
            <w:r>
              <w:t xml:space="preserve">Universal</w:t>
            </w:r>
          </w:p>
        </w:tc>
      </w:tr>
      <w:tr>
        <w:tc>
          <w:tcPr/>
          <w:p>
            <w:pPr>
              <w:pStyle w:val="Compact"/>
            </w:pPr>
            <w:r>
              <w:t xml:space="preserve">Abstract ingestion (</w:t>
            </w:r>
            <w:r>
              <w:rPr>
                <w:rStyle w:val="VerbatimChar"/>
              </w:rPr>
              <w:t xml:space="preserve">01b_parse_web.R</w:t>
            </w:r>
            <w:r>
              <w:t xml:space="preserve">)</w:t>
            </w:r>
          </w:p>
        </w:tc>
        <w:tc>
          <w:tcPr/>
          <w:p>
            <w:pPr>
              <w:pStyle w:val="Compact"/>
              <w:jc w:val="center"/>
            </w:pPr>
            <w:r>
              <w:t xml:space="preserve">Elsevier version</w:t>
            </w:r>
          </w:p>
        </w:tc>
        <w:tc>
          <w:tcPr/>
          <w:p>
            <w:pPr>
              <w:pStyle w:val="Compact"/>
              <w:jc w:val="center"/>
            </w:pPr>
            <w:r>
              <w:t xml:space="preserve">LWW version (new build)</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w:t>
            </w:r>
          </w:p>
        </w:tc>
      </w:tr>
      <w:tr>
        <w:tc>
          <w:tcPr/>
          <w:p>
            <w:pPr>
              <w:pStyle w:val="Compact"/>
            </w:pPr>
            <w:r>
              <w:t xml:space="preserve">DOI-chain search (</w:t>
            </w:r>
            <w:r>
              <w:rPr>
                <w:rStyle w:val="VerbatimChar"/>
              </w:rPr>
              <w:t xml:space="preserve">03c_doi_chain_search.R</w:t>
            </w:r>
            <w:r>
              <w:t xml:space="preserve">)</w:t>
            </w:r>
          </w:p>
        </w:tc>
        <w:tc>
          <w:tcPr/>
          <w:p>
            <w:pPr>
              <w:pStyle w:val="Compact"/>
              <w:jc w:val="center"/>
            </w:pPr>
            <w:r>
              <w:t xml:space="preserve">Yes (individual DOIs)</w:t>
            </w:r>
          </w:p>
        </w:tc>
        <w:tc>
          <w:tcPr/>
          <w:p>
            <w:pPr>
              <w:pStyle w:val="Compact"/>
              <w:jc w:val="center"/>
            </w:pPr>
            <w:r>
              <w:t xml:space="preserve">Yes (individual DOIs for ACOG, CREOG 2015+)</w:t>
            </w:r>
          </w:p>
        </w:tc>
        <w:tc>
          <w:tcPr/>
          <w:p>
            <w:pPr>
              <w:pStyle w:val="Compact"/>
              <w:jc w:val="center"/>
            </w:pPr>
            <w:r>
              <w:t xml:space="preserve">—</w:t>
            </w:r>
          </w:p>
        </w:tc>
      </w:tr>
      <w:tr>
        <w:tc>
          <w:tcPr/>
          <w:p>
            <w:pPr>
              <w:pStyle w:val="Compact"/>
            </w:pPr>
            <w:r>
              <w:t xml:space="preserve">PubMed search (</w:t>
            </w:r>
            <w:r>
              <w:rPr>
                <w:rStyle w:val="VerbatimChar"/>
              </w:rPr>
              <w:t xml:space="preserve">03_search_pubmed.R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CrossRef/OpenAlex/EuropePMC (</w:t>
            </w:r>
            <w:r>
              <w:rPr>
                <w:rStyle w:val="VerbatimChar"/>
              </w:rPr>
              <w:t xml:space="preserve">03b_search_crossref.R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Composite scoring (</w:t>
            </w:r>
            <w:r>
              <w:rPr>
                <w:rStyle w:val="VerbatimChar"/>
              </w:rPr>
              <w:t xml:space="preserve">04_score_matches.R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Adjudication Shiny app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rPr>
          <w:b/>
          <w:bCs/>
        </w:rPr>
        <w:t xml:space="preserve">Key implication:</w:t>
      </w:r>
      <w:r>
        <w:t xml:space="preserve"> </w:t>
      </w:r>
      <w:r>
        <w:t xml:space="preserve">Building the LWW scraper is the single largest new engineering task for multi-society expansion. Once built, it covers ACOG (~800 abstracts/year), CREOG/APGO (~200/year), and AUGS (~400/year) — approximately 1,400 additional abstracts per year — with no further platform-level work.</w:t>
      </w:r>
    </w:p>
    <w:bookmarkEnd w:id="56"/>
    <w:bookmarkStart w:id="57" w:name="a11.4-implementation-effort-by-society"/>
    <w:p>
      <w:pPr>
        <w:pStyle w:val="Heading3"/>
      </w:pPr>
      <w:r>
        <w:t xml:space="preserve">A11.4 Implementation Effort by Society</w:t>
      </w:r>
    </w:p>
    <w:p>
      <w:pPr>
        <w:pStyle w:val="FirstParagraph"/>
      </w:pPr>
      <w:r>
        <w:t xml:space="preserve">The matrix below rates each society across ten pipeline components. Symbols:</w:t>
      </w:r>
      <w:r>
        <w:t xml:space="preserve"> </w:t>
      </w:r>
      <w:r>
        <w:rPr>
          <w:b/>
          <w:bCs/>
        </w:rPr>
        <w:t xml:space="preserve">✓</w:t>
      </w:r>
      <w:r>
        <w:t xml:space="preserve"> </w:t>
      </w:r>
      <w:r>
        <w:t xml:space="preserve">= reusable as-is with parameter changes only;</w:t>
      </w:r>
      <w:r>
        <w:t xml:space="preserve"> </w:t>
      </w:r>
      <w:r>
        <w:rPr>
          <w:b/>
          <w:bCs/>
        </w:rPr>
        <w:t xml:space="preserve">△</w:t>
      </w:r>
      <w:r>
        <w:t xml:space="preserve"> </w:t>
      </w:r>
      <w:r>
        <w:t xml:space="preserve">= minor adaptation required (&lt; 1 day of work);</w:t>
      </w:r>
      <w:r>
        <w:t xml:space="preserve"> </w:t>
      </w:r>
      <w:r>
        <w:rPr>
          <w:b/>
          <w:bCs/>
        </w:rPr>
        <w:t xml:space="preserve">✗</w:t>
      </w:r>
      <w:r>
        <w:t xml:space="preserve"> </w:t>
      </w:r>
      <w:r>
        <w:t xml:space="preserve">= not applicable;</w:t>
      </w:r>
      <w:r>
        <w:t xml:space="preserve"> </w:t>
      </w:r>
      <w:r>
        <w:rPr>
          <w:b/>
          <w:bCs/>
        </w:rPr>
        <w:t xml:space="preserve">★</w:t>
      </w:r>
      <w:r>
        <w:t xml:space="preserve"> </w:t>
      </w:r>
      <w:r>
        <w:t xml:space="preserve">= new build required (&gt; 1 day of work).</w:t>
      </w:r>
    </w:p>
    <w:tbl>
      <w:tblPr>
        <w:tblStyle w:val="Table"/>
        <w:tblW w:type="pct" w:w="5000"/>
        <w:tblLayout w:type="fixed"/>
        <w:tblLook w:firstRow="1" w:lastRow="0" w:firstColumn="0" w:lastColumn="0" w:noHBand="0" w:noVBand="0" w:val="0020"/>
      </w:tblPr>
      <w:tblGrid>
        <w:gridCol w:w="1102"/>
        <w:gridCol w:w="601"/>
        <w:gridCol w:w="601"/>
        <w:gridCol w:w="501"/>
        <w:gridCol w:w="802"/>
        <w:gridCol w:w="601"/>
        <w:gridCol w:w="601"/>
        <w:gridCol w:w="1203"/>
        <w:gridCol w:w="501"/>
        <w:gridCol w:w="601"/>
        <w:gridCol w:w="802"/>
      </w:tblGrid>
      <w:tr>
        <w:trPr>
          <w:tblHeader w:val="on"/>
        </w:trPr>
        <w:tc>
          <w:tcPr/>
          <w:p>
            <w:pPr>
              <w:pStyle w:val="Compact"/>
            </w:pPr>
            <w:r>
              <w:t xml:space="preserve">Component</w:t>
            </w:r>
          </w:p>
        </w:tc>
        <w:tc>
          <w:tcPr/>
          <w:p>
            <w:pPr>
              <w:pStyle w:val="Compact"/>
              <w:jc w:val="center"/>
            </w:pPr>
            <w:r>
              <w:t xml:space="preserve">AAGL</w:t>
            </w:r>
          </w:p>
        </w:tc>
        <w:tc>
          <w:tcPr/>
          <w:p>
            <w:pPr>
              <w:pStyle w:val="Compact"/>
              <w:jc w:val="center"/>
            </w:pPr>
            <w:r>
              <w:t xml:space="preserve">SMFM</w:t>
            </w:r>
          </w:p>
        </w:tc>
        <w:tc>
          <w:tcPr/>
          <w:p>
            <w:pPr>
              <w:pStyle w:val="Compact"/>
              <w:jc w:val="center"/>
            </w:pPr>
            <w:r>
              <w:t xml:space="preserve">SGO</w:t>
            </w:r>
          </w:p>
        </w:tc>
        <w:tc>
          <w:tcPr/>
          <w:p>
            <w:pPr>
              <w:pStyle w:val="Compact"/>
              <w:jc w:val="center"/>
            </w:pPr>
            <w:r>
              <w:t xml:space="preserve">NASPAG</w:t>
            </w:r>
          </w:p>
        </w:tc>
        <w:tc>
          <w:tcPr/>
          <w:p>
            <w:pPr>
              <w:pStyle w:val="Compact"/>
              <w:jc w:val="center"/>
            </w:pPr>
            <w:r>
              <w:t xml:space="preserve">ASRM</w:t>
            </w:r>
          </w:p>
        </w:tc>
        <w:tc>
          <w:tcPr/>
          <w:p>
            <w:pPr>
              <w:pStyle w:val="Compact"/>
              <w:jc w:val="center"/>
            </w:pPr>
            <w:r>
              <w:t xml:space="preserve">ACOG</w:t>
            </w:r>
          </w:p>
        </w:tc>
        <w:tc>
          <w:tcPr/>
          <w:p>
            <w:pPr>
              <w:pStyle w:val="Compact"/>
              <w:jc w:val="center"/>
            </w:pPr>
            <w:r>
              <w:t xml:space="preserve">CREOG/APGO</w:t>
            </w:r>
          </w:p>
        </w:tc>
        <w:tc>
          <w:tcPr/>
          <w:p>
            <w:pPr>
              <w:pStyle w:val="Compact"/>
              <w:jc w:val="center"/>
            </w:pPr>
            <w:r>
              <w:t xml:space="preserve">SFP</w:t>
            </w:r>
          </w:p>
        </w:tc>
        <w:tc>
          <w:tcPr/>
          <w:p>
            <w:pPr>
              <w:pStyle w:val="Compact"/>
              <w:jc w:val="center"/>
            </w:pPr>
            <w:r>
              <w:t xml:space="preserve">AUGS</w:t>
            </w:r>
          </w:p>
        </w:tc>
        <w:tc>
          <w:tcPr/>
          <w:p>
            <w:pPr>
              <w:pStyle w:val="Compact"/>
              <w:jc w:val="center"/>
            </w:pPr>
            <w:r>
              <w:t xml:space="preserve">SASGOG</w:t>
            </w:r>
          </w:p>
        </w:tc>
      </w:tr>
      <w:tr>
        <w:tc>
          <w:tcPr/>
          <w:p>
            <w:pPr>
              <w:pStyle w:val="Compact"/>
            </w:pPr>
            <w:r>
              <w:t xml:space="preserve">Abstract ingestion</w:t>
            </w:r>
          </w:p>
        </w:tc>
        <w:tc>
          <w:tcPr/>
          <w:p>
            <w:pPr>
              <w:pStyle w:val="Compact"/>
              <w:jc w:val="center"/>
            </w:pPr>
            <w:r>
              <w:t xml:space="preserve">✓ Current</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 + auth</w:t>
            </w:r>
          </w:p>
        </w:tc>
        <w:tc>
          <w:tcPr/>
          <w:p>
            <w:pPr>
              <w:pStyle w:val="Compact"/>
              <w:jc w:val="center"/>
            </w:pPr>
            <w:r>
              <w:t xml:space="preserve">★ LWW scraper</w:t>
            </w:r>
          </w:p>
        </w:tc>
        <w:tc>
          <w:tcPr/>
          <w:p>
            <w:pPr>
              <w:pStyle w:val="Compact"/>
              <w:jc w:val="center"/>
            </w:pPr>
            <w:r>
              <w:t xml:space="preserve">★ LWW scraper</w:t>
            </w:r>
          </w:p>
        </w:tc>
        <w:tc>
          <w:tcPr/>
          <w:p>
            <w:pPr>
              <w:pStyle w:val="Compact"/>
              <w:jc w:val="center"/>
            </w:pPr>
            <w:r>
              <w:t xml:space="preserve">△ Full-text parse</w:t>
            </w:r>
          </w:p>
        </w:tc>
        <w:tc>
          <w:tcPr/>
          <w:p>
            <w:pPr>
              <w:pStyle w:val="Compact"/>
              <w:jc w:val="center"/>
            </w:pPr>
            <w:r>
              <w:t xml:space="preserve">★ LWW scraper</w:t>
            </w:r>
          </w:p>
        </w:tc>
        <w:tc>
          <w:tcPr/>
          <w:p>
            <w:pPr>
              <w:pStyle w:val="Compact"/>
              <w:jc w:val="center"/>
            </w:pPr>
            <w:r>
              <w:t xml:space="preserve">★ Web scraper (no journal)</w:t>
            </w:r>
          </w:p>
        </w:tc>
      </w:tr>
      <w:tr>
        <w:tc>
          <w:tcPr/>
          <w:p>
            <w:pPr>
              <w:pStyle w:val="Compact"/>
            </w:pPr>
            <w:r>
              <w:t xml:space="preserve">PubMed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CrossRef/OpenAlex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DOI-chain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(2015+)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Composite scoring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Adjudication app</w:t>
            </w:r>
          </w:p>
        </w:tc>
        <w:tc>
          <w:tcPr/>
          <w:p>
            <w:pPr>
              <w:pStyle w:val="Compact"/>
              <w:jc w:val="center"/>
            </w:pPr>
            <w:r>
              <w:t xml:space="preserve">✓</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Auth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Partial</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Total new-build components by society:</w:t>
      </w:r>
      <w:r>
        <w:t xml:space="preserve"> </w:t>
      </w:r>
      <w:r>
        <w:t xml:space="preserve">SMFM = 0, SGO = 0, NASPAG = 0, ASRM = 0, ACOG = 1, CREOG/APGO = 1 (shared with ACOG), SFP = 1 (full-text parse only), AUGS = 1 (shared LWW scraper), SASGOG = 2.</w:t>
      </w:r>
    </w:p>
    <w:p>
      <w:pPr>
        <w:pStyle w:val="BodyText"/>
      </w:pPr>
      <w:r>
        <w:t xml:space="preserve">The SMFM–SGO–NASPAG–ASRM group requires no new engineering beyond parameter changes to existing scripts. The LWW group (ACOG, CREOG/APGO, AUGS) requires one new scraper shared across all three. SASGOG requires two new components and offers no DOI-based matching, making it the lowest return on implementation investment.</w:t>
      </w:r>
    </w:p>
    <w:bookmarkEnd w:id="57"/>
    <w:bookmarkStart w:id="58" w:name="a11.5-expected-match-rates"/>
    <w:p>
      <w:pPr>
        <w:pStyle w:val="Heading3"/>
      </w:pPr>
      <w:r>
        <w:t xml:space="preserve">A11.5 Expected Match Rates</w:t>
      </w:r>
    </w:p>
    <w:p>
      <w:pPr>
        <w:pStyle w:val="FirstParagraph"/>
      </w:pPr>
      <w:r>
        <w:t xml:space="preserve">The AAGL pipeline’s empirical match rates provide a baseline for projecting performance on other societies. The AAGL dataset achieved 11.4% definite matches and 21% combined probable/possible matches across 1,106 abstracts presented 2012–2023. These rates are depressed relative to their theoretical potential by three AAGL-specific factors: (1) initials-only author names limiting ORCID and name-based search, (2) no abstract text for 2012–2018 congresses limiting TF-IDF cosine similarity, and (3) a relatively small meeting (~90 abstracts/year) with a niche subspecialty focus that may attract higher proportions of preliminary clinical data less likely to be published.</w:t>
      </w:r>
    </w:p>
    <w:p>
      <w:pPr>
        <w:pStyle w:val="BodyText"/>
      </w:pPr>
      <w:r>
        <w:rPr>
          <w:b/>
          <w:bCs/>
        </w:rPr>
        <w:t xml:space="preserve">Projected improvements by pipeline feature for new societies:</w:t>
      </w:r>
    </w:p>
    <w:tbl>
      <w:tblPr>
        <w:tblStyle w:val="Table"/>
        <w:tblW w:type="pct" w:w="5000"/>
        <w:tblLayout w:type="fixed"/>
        <w:tblLook w:firstRow="1" w:lastRow="0" w:firstColumn="0" w:lastColumn="0" w:noHBand="0" w:noVBand="0" w:val="0020"/>
      </w:tblPr>
      <w:tblGrid>
        <w:gridCol w:w="1228"/>
        <w:gridCol w:w="2048"/>
        <w:gridCol w:w="1502"/>
        <w:gridCol w:w="3140"/>
      </w:tblGrid>
      <w:tr>
        <w:trPr>
          <w:tblHeader w:val="on"/>
        </w:trPr>
        <w:tc>
          <w:tcPr/>
          <w:p>
            <w:pPr>
              <w:pStyle w:val="Compact"/>
            </w:pPr>
            <w:r>
              <w:t xml:space="preserve">Feature</w:t>
            </w:r>
          </w:p>
        </w:tc>
        <w:tc>
          <w:tcPr/>
          <w:p>
            <w:pPr>
              <w:pStyle w:val="Compact"/>
              <w:jc w:val="center"/>
            </w:pPr>
            <w:r>
              <w:t xml:space="preserve">AAGL Baseline</w:t>
            </w:r>
          </w:p>
        </w:tc>
        <w:tc>
          <w:tcPr/>
          <w:p>
            <w:pPr>
              <w:pStyle w:val="Compact"/>
            </w:pPr>
            <w:r>
              <w:t xml:space="preserve">Mechanism</w:t>
            </w:r>
          </w:p>
        </w:tc>
        <w:tc>
          <w:tcPr/>
          <w:p>
            <w:pPr>
              <w:pStyle w:val="Compact"/>
              <w:jc w:val="right"/>
            </w:pPr>
            <w:r>
              <w:t xml:space="preserve">Projected Improvement</w:t>
            </w:r>
          </w:p>
        </w:tc>
      </w:tr>
      <w:tr>
        <w:tc>
          <w:tcPr/>
          <w:p>
            <w:pPr>
              <w:pStyle w:val="Compact"/>
            </w:pPr>
            <w:r>
              <w:t xml:space="preserve">Full first names (vs. initials only)</w:t>
            </w:r>
          </w:p>
        </w:tc>
        <w:tc>
          <w:tcPr/>
          <w:p>
            <w:pPr>
              <w:pStyle w:val="Compact"/>
              <w:jc w:val="center"/>
            </w:pPr>
            <w:r>
              <w:t xml:space="preserve">15.8% ORCID hit rate</w:t>
            </w:r>
          </w:p>
        </w:tc>
        <w:tc>
          <w:tcPr/>
          <w:p>
            <w:pPr>
              <w:pStyle w:val="Compact"/>
            </w:pPr>
            <w:r>
              <w:t xml:space="preserve">genderize.io and ORCID API use full names; exact NPI matching enabled</w:t>
            </w:r>
          </w:p>
        </w:tc>
        <w:tc>
          <w:tcPr/>
          <w:p>
            <w:pPr>
              <w:pStyle w:val="Compact"/>
              <w:jc w:val="right"/>
            </w:pPr>
            <w:r>
              <w:t xml:space="preserve">+5 to +8 percentage points (pp) publication rate</w:t>
            </w:r>
          </w:p>
        </w:tc>
      </w:tr>
      <w:tr>
        <w:tc>
          <w:tcPr/>
          <w:p>
            <w:pPr>
              <w:pStyle w:val="Compact"/>
            </w:pPr>
            <w:r>
              <w:t xml:space="preserve">Individual DOIs + DOI-chain search</w:t>
            </w:r>
          </w:p>
        </w:tc>
        <w:tc>
          <w:tcPr/>
          <w:p>
            <w:pPr>
              <w:pStyle w:val="Compact"/>
              <w:jc w:val="center"/>
            </w:pPr>
            <w:r>
              <w:t xml:space="preserve">Contributes ~22% of definite matches in AAGL</w:t>
            </w:r>
          </w:p>
        </w:tc>
        <w:tc>
          <w:tcPr/>
          <w:p>
            <w:pPr>
              <w:pStyle w:val="Compact"/>
            </w:pPr>
            <w:r>
              <w:t xml:space="preserve">Societies with individual DOIs (SMFM, SGO, NASPAG, ASRM, ACOG, CREOG 2015+) get this benefit</w:t>
            </w:r>
          </w:p>
        </w:tc>
        <w:tc>
          <w:tcPr/>
          <w:p>
            <w:pPr>
              <w:pStyle w:val="Compact"/>
              <w:jc w:val="right"/>
            </w:pPr>
            <w:r>
              <w:t xml:space="preserve">+3 to +5 pp</w:t>
            </w:r>
          </w:p>
        </w:tc>
      </w:tr>
      <w:tr>
        <w:tc>
          <w:tcPr/>
          <w:p>
            <w:pPr>
              <w:pStyle w:val="Compact"/>
            </w:pPr>
            <w:r>
              <w:t xml:space="preserve">Affiliation backfill (ScienceDirect)</w:t>
            </w:r>
          </w:p>
        </w:tc>
        <w:tc>
          <w:tcPr/>
          <w:p>
            <w:pPr>
              <w:pStyle w:val="Compact"/>
              <w:jc w:val="center"/>
            </w:pPr>
            <w:r>
              <w:t xml:space="preserve">52.7% coverage for AAGL</w:t>
            </w:r>
          </w:p>
        </w:tc>
        <w:tc>
          <w:tcPr/>
          <w:p>
            <w:pPr>
              <w:pStyle w:val="Compact"/>
            </w:pPr>
            <w:r>
              <w:t xml:space="preserve">Full affiliations available at ingestion for SMFM, SGO, NASPAG; improves author disambiguation</w:t>
            </w:r>
          </w:p>
        </w:tc>
        <w:tc>
          <w:tcPr/>
          <w:p>
            <w:pPr>
              <w:pStyle w:val="Compact"/>
              <w:jc w:val="right"/>
            </w:pPr>
            <w:r>
              <w:t xml:space="preserve">+2 to +3 pp</w:t>
            </w:r>
          </w:p>
        </w:tc>
      </w:tr>
      <w:tr>
        <w:tc>
          <w:tcPr/>
          <w:p>
            <w:pPr>
              <w:pStyle w:val="Compact"/>
            </w:pPr>
            <w:r>
              <w:t xml:space="preserve">Higher abstract volume</w:t>
            </w:r>
          </w:p>
        </w:tc>
        <w:tc>
          <w:tcPr/>
          <w:p>
            <w:pPr>
              <w:pStyle w:val="Compact"/>
              <w:jc w:val="center"/>
            </w:pPr>
            <w:r>
              <w:t xml:space="preserve">~90/year (AAGL) vs ~500–1,200/year (SMFM, ASRM)</w:t>
            </w:r>
          </w:p>
        </w:tc>
        <w:tc>
          <w:tcPr/>
          <w:p>
            <w:pPr>
              <w:pStyle w:val="Compact"/>
            </w:pPr>
            <w:r>
              <w:t xml:space="preserve">Larger N allows lower-false-positive scoring threshold because random noise averages out</w:t>
            </w:r>
          </w:p>
        </w:tc>
        <w:tc>
          <w:tcPr/>
          <w:p>
            <w:pPr>
              <w:pStyle w:val="Compact"/>
              <w:jc w:val="right"/>
            </w:pPr>
            <w:r>
              <w:t xml:space="preserve">Primarily power benefit, not rate benefit</w:t>
            </w:r>
          </w:p>
        </w:tc>
      </w:tr>
    </w:tbl>
    <w:p>
      <w:pPr>
        <w:pStyle w:val="BodyText"/>
      </w:pPr>
      <w:r>
        <w:rPr>
          <w:b/>
          <w:bCs/>
        </w:rPr>
        <w:t xml:space="preserve">Society-level projections.</w:t>
      </w:r>
      <w:r>
        <w:t xml:space="preserve"> </w:t>
      </w:r>
      <w:r>
        <w:t xml:space="preserve">SMFM and SGO: expected definite match rate 14–18% (full names + individual DOIs + full affiliations, no auth barrier). NASPAG: similar rate but high uncertainty due to small N (~35/year). ASRM: rate may be 12–16%; auth barrier limits affiliation backfill and reduces one enrichment pathway. ACOG: largest volume (~800/year) but broadest subspecialty scope (general OB/GYN), which may reduce per-abstract match confidence; expected rate 10–14%. AUGS: no DOI-chain search, no affiliation backfill; expected rate similar to AAGL (10–13%). CREOG/APGO: education-focused abstracts often describe curriculum innovations or simulation studies that may publish in education-specific journals less well indexed in PubMed; expected rate 8–12%.</w:t>
      </w:r>
    </w:p>
    <w:p>
      <w:pPr>
        <w:pStyle w:val="BodyText"/>
      </w:pPr>
      <w:r>
        <w:rPr>
          <w:b/>
          <w:bCs/>
        </w:rPr>
        <w:t xml:space="preserve">ORCID enrichment projection.</w:t>
      </w:r>
      <w:r>
        <w:t xml:space="preserve"> </w:t>
      </w:r>
      <w:r>
        <w:t xml:space="preserve">The AAGL pipeline achieved 15.8% ORCID linkage using initials only. All comparison societies provide full first names. Based on published ORCID coverage studies (Bosman &amp; Kramer 2018; Haak et al. 2012), full-name ORCID search against the ORCID public API achieves 55–70% linkage for US academic biomedical authors. Applying a conservative 60% estimate to the five non-AAGL Elsevier societies would increase author-level longitudinal tracking by roughly 4-fold.</w:t>
      </w:r>
    </w:p>
    <w:bookmarkEnd w:id="58"/>
    <w:bookmarkStart w:id="59" w:name="X67b02fd6881def93dc37a03feec5ff1a0c83a1a"/>
    <w:p>
      <w:pPr>
        <w:pStyle w:val="Heading3"/>
      </w:pPr>
      <w:r>
        <w:t xml:space="preserve">A11.6 Statistical Power for Cross-Society Analyses</w:t>
      </w:r>
    </w:p>
    <w:p>
      <w:pPr>
        <w:pStyle w:val="FirstParagraph"/>
      </w:pPr>
      <w:r>
        <w:rPr>
          <w:b/>
          <w:bCs/>
        </w:rPr>
        <w:t xml:space="preserve">Two-proportion z-test for publication rate differences.</w:t>
      </w:r>
      <w:r>
        <w:t xml:space="preserve"> </w:t>
      </w:r>
      <w:r>
        <w:t xml:space="preserve">The primary cross-society comparison of interest is whether two societies differ in their confirmed publication rate. Using a two-sided two-proportion z-test at α = 0.05 and 80% power, the minimum sample size required to detect a 5 percentage-point difference (e.g., 11% vs. 16%) depends on the assumed baseline rate:</w:t>
      </w:r>
    </w:p>
    <w:tbl>
      <w:tblPr>
        <w:tblStyle w:val="Table"/>
        <w:tblW w:type="pct" w:w="5000"/>
        <w:tblLayout w:type="fixed"/>
        <w:tblLook w:firstRow="1" w:lastRow="0" w:firstColumn="0" w:lastColumn="0" w:noHBand="0" w:noVBand="0" w:val="0020"/>
      </w:tblPr>
      <w:tblGrid>
        <w:gridCol w:w="1542"/>
        <w:gridCol w:w="1748"/>
        <w:gridCol w:w="1234"/>
        <w:gridCol w:w="1542"/>
        <w:gridCol w:w="1851"/>
      </w:tblGrid>
      <w:tr>
        <w:trPr>
          <w:tblHeader w:val="on"/>
        </w:trPr>
        <w:tc>
          <w:tcPr/>
          <w:p>
            <w:pPr>
              <w:pStyle w:val="Compact"/>
              <w:jc w:val="center"/>
            </w:pPr>
            <w:r>
              <w:t xml:space="preserve">Baseline Rate</w:t>
            </w:r>
          </w:p>
        </w:tc>
        <w:tc>
          <w:tcPr/>
          <w:p>
            <w:pPr>
              <w:pStyle w:val="Compact"/>
              <w:jc w:val="center"/>
            </w:pPr>
            <w:r>
              <w:t xml:space="preserve">Comparison Rate</w:t>
            </w:r>
          </w:p>
        </w:tc>
        <w:tc>
          <w:tcPr/>
          <w:p>
            <w:pPr>
              <w:pStyle w:val="Compact"/>
              <w:jc w:val="center"/>
            </w:pPr>
            <w:r>
              <w:t xml:space="preserve">Difference</w:t>
            </w:r>
          </w:p>
        </w:tc>
        <w:tc>
          <w:tcPr/>
          <w:p>
            <w:pPr>
              <w:pStyle w:val="Compact"/>
              <w:jc w:val="center"/>
            </w:pPr>
            <w:r>
              <w:t xml:space="preserve">N per Society</w:t>
            </w:r>
          </w:p>
        </w:tc>
        <w:tc>
          <w:tcPr/>
          <w:p>
            <w:pPr>
              <w:pStyle w:val="Compact"/>
              <w:jc w:val="center"/>
            </w:pPr>
            <w:r>
              <w:t xml:space="preserve">Total N Required</w:t>
            </w:r>
          </w:p>
        </w:tc>
      </w:tr>
      <w:tr>
        <w:tc>
          <w:tcPr/>
          <w:p>
            <w:pPr>
              <w:pStyle w:val="Compact"/>
              <w:jc w:val="center"/>
            </w:pPr>
            <w:r>
              <w:t xml:space="preserve">11% (AAGL)</w:t>
            </w:r>
          </w:p>
        </w:tc>
        <w:tc>
          <w:tcPr/>
          <w:p>
            <w:pPr>
              <w:pStyle w:val="Compact"/>
              <w:jc w:val="center"/>
            </w:pPr>
            <w:r>
              <w:t xml:space="preserve">16%</w:t>
            </w:r>
          </w:p>
        </w:tc>
        <w:tc>
          <w:tcPr/>
          <w:p>
            <w:pPr>
              <w:pStyle w:val="Compact"/>
              <w:jc w:val="center"/>
            </w:pPr>
            <w:r>
              <w:t xml:space="preserve">5 pp</w:t>
            </w:r>
          </w:p>
        </w:tc>
        <w:tc>
          <w:tcPr/>
          <w:p>
            <w:pPr>
              <w:pStyle w:val="Compact"/>
              <w:jc w:val="center"/>
            </w:pPr>
            <w:r>
              <w:t xml:space="preserve">487</w:t>
            </w:r>
          </w:p>
        </w:tc>
        <w:tc>
          <w:tcPr/>
          <w:p>
            <w:pPr>
              <w:pStyle w:val="Compact"/>
              <w:jc w:val="center"/>
            </w:pPr>
            <w:r>
              <w:t xml:space="preserve">974</w:t>
            </w:r>
          </w:p>
        </w:tc>
      </w:tr>
      <w:tr>
        <w:tc>
          <w:tcPr/>
          <w:p>
            <w:pPr>
              <w:pStyle w:val="Compact"/>
              <w:jc w:val="center"/>
            </w:pPr>
            <w:r>
              <w:t xml:space="preserve">11% (AAGL)</w:t>
            </w:r>
          </w:p>
        </w:tc>
        <w:tc>
          <w:tcPr/>
          <w:p>
            <w:pPr>
              <w:pStyle w:val="Compact"/>
              <w:jc w:val="center"/>
            </w:pPr>
            <w:r>
              <w:t xml:space="preserve">18%</w:t>
            </w:r>
          </w:p>
        </w:tc>
        <w:tc>
          <w:tcPr/>
          <w:p>
            <w:pPr>
              <w:pStyle w:val="Compact"/>
              <w:jc w:val="center"/>
            </w:pPr>
            <w:r>
              <w:t xml:space="preserve">7 pp</w:t>
            </w:r>
          </w:p>
        </w:tc>
        <w:tc>
          <w:tcPr/>
          <w:p>
            <w:pPr>
              <w:pStyle w:val="Compact"/>
              <w:jc w:val="center"/>
            </w:pPr>
            <w:r>
              <w:t xml:space="preserve">260</w:t>
            </w:r>
          </w:p>
        </w:tc>
        <w:tc>
          <w:tcPr/>
          <w:p>
            <w:pPr>
              <w:pStyle w:val="Compact"/>
              <w:jc w:val="center"/>
            </w:pPr>
            <w:r>
              <w:t xml:space="preserve">520</w:t>
            </w:r>
          </w:p>
        </w:tc>
      </w:tr>
      <w:tr>
        <w:tc>
          <w:tcPr/>
          <w:p>
            <w:pPr>
              <w:pStyle w:val="Compact"/>
              <w:jc w:val="center"/>
            </w:pPr>
            <w:r>
              <w:t xml:space="preserve">15% (projected)</w:t>
            </w:r>
          </w:p>
        </w:tc>
        <w:tc>
          <w:tcPr/>
          <w:p>
            <w:pPr>
              <w:pStyle w:val="Compact"/>
              <w:jc w:val="center"/>
            </w:pPr>
            <w:r>
              <w:t xml:space="preserve">20%</w:t>
            </w:r>
          </w:p>
        </w:tc>
        <w:tc>
          <w:tcPr/>
          <w:p>
            <w:pPr>
              <w:pStyle w:val="Compact"/>
              <w:jc w:val="center"/>
            </w:pPr>
            <w:r>
              <w:t xml:space="preserve">5 pp</w:t>
            </w:r>
          </w:p>
        </w:tc>
        <w:tc>
          <w:tcPr/>
          <w:p>
            <w:pPr>
              <w:pStyle w:val="Compact"/>
              <w:jc w:val="center"/>
            </w:pPr>
            <w:r>
              <w:t xml:space="preserve">523</w:t>
            </w:r>
          </w:p>
        </w:tc>
        <w:tc>
          <w:tcPr/>
          <w:p>
            <w:pPr>
              <w:pStyle w:val="Compact"/>
              <w:jc w:val="center"/>
            </w:pPr>
            <w:r>
              <w:t xml:space="preserve">1,046</w:t>
            </w:r>
          </w:p>
        </w:tc>
      </w:tr>
      <w:tr>
        <w:tc>
          <w:tcPr/>
          <w:p>
            <w:pPr>
              <w:pStyle w:val="Compact"/>
              <w:jc w:val="center"/>
            </w:pPr>
            <w:r>
              <w:t xml:space="preserve">15% (projected)</w:t>
            </w:r>
          </w:p>
        </w:tc>
        <w:tc>
          <w:tcPr/>
          <w:p>
            <w:pPr>
              <w:pStyle w:val="Compact"/>
              <w:jc w:val="center"/>
            </w:pPr>
            <w:r>
              <w:t xml:space="preserve">22%</w:t>
            </w:r>
          </w:p>
        </w:tc>
        <w:tc>
          <w:tcPr/>
          <w:p>
            <w:pPr>
              <w:pStyle w:val="Compact"/>
              <w:jc w:val="center"/>
            </w:pPr>
            <w:r>
              <w:t xml:space="preserve">7 pp</w:t>
            </w:r>
          </w:p>
        </w:tc>
        <w:tc>
          <w:tcPr/>
          <w:p>
            <w:pPr>
              <w:pStyle w:val="Compact"/>
              <w:jc w:val="center"/>
            </w:pPr>
            <w:r>
              <w:t xml:space="preserve">279</w:t>
            </w:r>
          </w:p>
        </w:tc>
        <w:tc>
          <w:tcPr/>
          <w:p>
            <w:pPr>
              <w:pStyle w:val="Compact"/>
              <w:jc w:val="center"/>
            </w:pPr>
            <w:r>
              <w:t xml:space="preserve">558</w:t>
            </w:r>
          </w:p>
        </w:tc>
      </w:tr>
    </w:tbl>
    <w:p>
      <w:pPr>
        <w:pStyle w:val="BodyText"/>
      </w:pPr>
      <w:r>
        <w:rPr>
          <w:b/>
          <w:bCs/>
        </w:rPr>
        <w:t xml:space="preserve">AAGL alone is underpowered for subgroup analyses.</w:t>
      </w:r>
      <w:r>
        <w:t xml:space="preserve"> </w:t>
      </w:r>
      <w:r>
        <w:t xml:space="preserve">With ~90 abstracts/year × 11 years = ~990 total abstracts and 122 definite matches, AAGL alone cannot support two-proportion tests within subgroups (e.g., by year, by session type, by research category). Splitting 122 events into 4 research categories yields ~30 events per cell, providing approximately 32% power to detect a 7 pp difference — substantially below the 80% threshold recommended for confirmatory analyses.</w:t>
      </w:r>
    </w:p>
    <w:p>
      <w:pPr>
        <w:pStyle w:val="BodyText"/>
      </w:pPr>
      <w:r>
        <w:rPr>
          <w:b/>
          <w:bCs/>
        </w:rPr>
        <w:t xml:space="preserve">Combined AAGL + SMFM + SGO reaches adequate power within 3 years.</w:t>
      </w:r>
      <w:r>
        <w:t xml:space="preserve"> </w:t>
      </w:r>
      <w:r>
        <w:t xml:space="preserve">AAGL + SMFM + SGO contribute approximately 90 + 500 + 570 = 1,160 abstracts/year. At an assumed 14% pooled publication rate, this generates approximately 162 new confirmed publications per year. Within 3 years of combined data collection, the pooled dataset would contain ~3,480 abstracts and ~487 confirmed publications — sufficient for two-proportion z-tests between any two of the three societies at 80% power for a 5 pp difference, and for Cox model subgroup analyses with adequate event counts (&gt;50 per stratum) in all major subgroups (RCT vs. non-RCT, positive vs. negative results, US vs. international).</w:t>
      </w:r>
    </w:p>
    <w:p>
      <w:pPr>
        <w:pStyle w:val="BodyText"/>
      </w:pPr>
      <w:r>
        <w:rPr>
          <w:b/>
          <w:bCs/>
        </w:rPr>
        <w:t xml:space="preserve">Cox proportional hazards model power: event-count requirements.</w:t>
      </w:r>
      <w:r>
        <w:t xml:space="preserve"> </w:t>
      </w:r>
      <w:r>
        <w:t xml:space="preserve">For Cox model covariate effects, the rule of thumb is ≥10 events per predictor variable (EPP), with a minimum of 50 total events for stable hazard ratio estimation. The AAGL dataset with 122 definite matches over 11 years provides adequate power (EPP ≥ 10) for a model with up to 12 covariates — which matches the current model specification. However, for interaction terms (e.g., subspecialty × result positivity) at least 50 events per interaction cell are needed. AAGL alone (122 events total) cannot support such interactions. A combined 3-society dataset with ~487 events over 3 years would support Cox models with up to 6 interaction terms while maintaining EPP ≥ 10, enabling the first adequately powered cross-subspecialty time-to-publication analysis in OB/GYN.</w:t>
      </w:r>
    </w:p>
    <w:bookmarkEnd w:id="59"/>
    <w:bookmarkStart w:id="60" w:name="X770fba4056c5de83ce90628210006748e0949e3"/>
    <w:p>
      <w:pPr>
        <w:pStyle w:val="Heading3"/>
      </w:pPr>
      <w:r>
        <w:t xml:space="preserve">A11.7 Disambiguation Challenges by Society</w:t>
      </w:r>
    </w:p>
    <w:p>
      <w:pPr>
        <w:pStyle w:val="FirstParagraph"/>
      </w:pPr>
      <w:r>
        <w:t xml:space="preserve">Each society presents distinct challenges for the name disambiguation, gender inference, and identity resolution components of the pipeline. Understanding these challenges prospectively allows targeted solutions to be built into the ingestion layer rather than discovered post-hoc.</w:t>
      </w:r>
    </w:p>
    <w:p>
      <w:pPr>
        <w:pStyle w:val="BodyText"/>
      </w:pPr>
      <w:r>
        <w:rPr>
          <w:b/>
          <w:bCs/>
        </w:rPr>
        <w:t xml:space="preserve">AAGL.</w:t>
      </w:r>
      <w:r>
        <w:t xml:space="preserve"> </w:t>
      </w:r>
      <w:r>
        <w:t xml:space="preserve">The primary and most consequential challenge is initials-only first names (e.g.,</w:t>
      </w:r>
      <w:r>
        <w:t xml:space="preserve"> </w:t>
      </w:r>
      <w:r>
        <w:t xml:space="preserve">“R.S. Guido”</w:t>
      </w:r>
      <w:r>
        <w:t xml:space="preserve">). This single feature limits ORCID linkage to 15.8%, disables exact-name NPI matching for 84% of US authors, and reduces genderize.io inference accuracy. No other society in the candidate set has this limitation. The recommended mitigation — cross-referencing confirmed publications to retrieve full author names from PubMed XML — recovers full names for confirmed matches but leaves unmatched abstracts with initials only.</w:t>
      </w:r>
    </w:p>
    <w:p>
      <w:pPr>
        <w:pStyle w:val="BodyText"/>
      </w:pPr>
      <w:r>
        <w:rPr>
          <w:b/>
          <w:bCs/>
        </w:rPr>
        <w:t xml:space="preserve">SMFM.</w:t>
      </w:r>
      <w:r>
        <w:t xml:space="preserve"> </w:t>
      </w:r>
      <w:r>
        <w:t xml:space="preserve">The MFM community has a higher proportion of international presenters than MIGS (reflecting MFM’s broader geographic scope in high-risk obstetrics). Authors with Hebrew, Arabic, Chinese, Korean, and South Asian names present two challenges: (1) genderize.io has lower accuracy for non-Western names (reported coverage 60–75% vs. &gt;90% for Western European names); and (2) multi-character transliteration variants (e.g.,</w:t>
      </w:r>
      <w:r>
        <w:t xml:space="preserve"> </w:t>
      </w:r>
      <w:r>
        <w:t xml:space="preserve">“Weissman”</w:t>
      </w:r>
      <w:r>
        <w:t xml:space="preserve"> </w:t>
      </w:r>
      <w:r>
        <w:t xml:space="preserve">vs. </w:t>
      </w:r>
      <w:r>
        <w:t xml:space="preserve">“Weisman”</w:t>
      </w:r>
      <w:r>
        <w:t xml:space="preserve">) increase false-negative rates in PubMed author-name matching. The recommended mitigation is applying Unicode normalization before string matching and using ORCID-linked affiliations to anchor transliteration variants.</w:t>
      </w:r>
    </w:p>
    <w:p>
      <w:pPr>
        <w:pStyle w:val="BodyText"/>
      </w:pPr>
      <w:r>
        <w:rPr>
          <w:b/>
          <w:bCs/>
        </w:rPr>
        <w:t xml:space="preserve">SGO.</w:t>
      </w:r>
      <w:r>
        <w:t xml:space="preserve"> </w:t>
      </w:r>
      <w:r>
        <w:t xml:space="preserve">Gynecologic oncology fellows are disproportionately first authors at SGO, reflecting the mentorship structure of oncology training. Fellows who present in year 1 of fellowship may be attending physicians by year 3 (when the abstract most likely converts to a publication), meaning their NPI affiliation state changes between abstract submission and paper publication. This creates a temporal mismatch in state-level career-stage analyses. The mitigation is recording the abstract-submission year as the reference year for career-stage determination, not the publication year.</w:t>
      </w:r>
    </w:p>
    <w:p>
      <w:pPr>
        <w:pStyle w:val="BodyText"/>
      </w:pPr>
      <w:r>
        <w:rPr>
          <w:b/>
          <w:bCs/>
        </w:rPr>
        <w:t xml:space="preserve">ASRM.</w:t>
      </w:r>
      <w:r>
        <w:t xml:space="preserve"> </w:t>
      </w:r>
      <w:r>
        <w:t xml:space="preserve">ASRM abstracts include presentations by embryologists, andrologists, reproductive biologists, and PhD-level researchers who do not hold MD degrees and therefore do not appear in the ABOG NPI pool. An estimated 20–30% of ASRM first authors may be non-physicians, for whom the NPI matching component is not applicable. Affiliation text parsing (detecting</w:t>
      </w:r>
      <w:r>
        <w:t xml:space="preserve"> </w:t>
      </w:r>
      <w:r>
        <w:t xml:space="preserve">“PhD,”</w:t>
      </w:r>
      <w:r>
        <w:t xml:space="preserve"> </w:t>
      </w:r>
      <w:r>
        <w:t xml:space="preserve">“HCLD,”</w:t>
      </w:r>
      <w:r>
        <w:t xml:space="preserve"> </w:t>
      </w:r>
      <w:r>
        <w:t xml:space="preserve">“MS”</w:t>
      </w:r>
      <w:r>
        <w:t xml:space="preserve"> </w:t>
      </w:r>
      <w:r>
        <w:t xml:space="preserve">in credentials, or</w:t>
      </w:r>
      <w:r>
        <w:t xml:space="preserve"> </w:t>
      </w:r>
      <w:r>
        <w:t xml:space="preserve">“laboratory”</w:t>
      </w:r>
      <w:r>
        <w:t xml:space="preserve"> </w:t>
      </w:r>
      <w:r>
        <w:t xml:space="preserve">in institutional title) should flag non-physician authors before NPI matching to avoid spurious low-confidence matches.</w:t>
      </w:r>
    </w:p>
    <w:p>
      <w:pPr>
        <w:pStyle w:val="BodyText"/>
      </w:pPr>
      <w:r>
        <w:rPr>
          <w:b/>
          <w:bCs/>
        </w:rPr>
        <w:t xml:space="preserve">ACOG.</w:t>
      </w:r>
      <w:r>
        <w:t xml:space="preserve"> </w:t>
      </w:r>
      <w:r>
        <w:t xml:space="preserve">ACOG is the largest and most heterogeneous society, encompassing community general obstetrician-gynecologists, academic specialists, and residents presenting case reports. General OB/GYN practitioners are harder to NPI-match than subspecialists because (a) they outnumber subspecialists in the ABOG pool by approximately 3:1, increasing name collision probability, and (b) they are less likely to have institutional affiliation strings that disambiguate between similarly-named physicians in the same specialty. The MIGS subspecialty bonus used in the AAGL NPI scoring model should be disabled for ACOG and replaced with a generalist-aware prior.</w:t>
      </w:r>
    </w:p>
    <w:p>
      <w:pPr>
        <w:pStyle w:val="BodyText"/>
      </w:pPr>
      <w:r>
        <w:rPr>
          <w:b/>
          <w:bCs/>
        </w:rPr>
        <w:t xml:space="preserve">NASPAG.</w:t>
      </w:r>
      <w:r>
        <w:t xml:space="preserve"> </w:t>
      </w:r>
      <w:r>
        <w:t xml:space="preserve">The pediatric and adolescent gynecology community is small (~1,200 members). Many authors present at multiple annual meetings over their careers, creating an unusual opportunity for longitudinal author-level analysis within a single society. With only ~35 abstracts/year, repeat-presenter rates are high enough that a dedicated author-deduplication step (merging the same individual’s presentations across years) would be scientifically valuable and technically feasible. This is not implemented in the current AAGL pipeline, where repeat presenters are treated independently.</w:t>
      </w:r>
    </w:p>
    <w:p>
      <w:pPr>
        <w:pStyle w:val="BodyText"/>
      </w:pPr>
      <w:r>
        <w:rPr>
          <w:b/>
          <w:bCs/>
        </w:rPr>
        <w:t xml:space="preserve">SFP.</w:t>
      </w:r>
      <w:r>
        <w:t xml:space="preserve"> </w:t>
      </w:r>
      <w:r>
        <w:t xml:space="preserve">The family planning community includes a notable proportion of non-OB/GYN investigators: epidemiologists, public health researchers, social scientists, and family medicine physicians who present on contraception access, abortion policy, and reproductive health disparities. These authors do not hold OB/GYN board certification and will not appear in the ABOG NPI pool. Additionally, SFP publications may appear in</w:t>
      </w:r>
      <w:r>
        <w:t xml:space="preserve"> </w:t>
      </w:r>
      <w:r>
        <w:rPr>
          <w:i/>
          <w:iCs/>
        </w:rPr>
        <w:t xml:space="preserve">Perspectives on Sexual and Reproductive Health</w:t>
      </w:r>
      <w:r>
        <w:t xml:space="preserve">,</w:t>
      </w:r>
      <w:r>
        <w:t xml:space="preserve"> </w:t>
      </w:r>
      <w:r>
        <w:rPr>
          <w:i/>
          <w:iCs/>
        </w:rPr>
        <w:t xml:space="preserve">Contraception</w:t>
      </w:r>
      <w:r>
        <w:t xml:space="preserve">,</w:t>
      </w:r>
      <w:r>
        <w:t xml:space="preserve"> </w:t>
      </w:r>
      <w:r>
        <w:rPr>
          <w:i/>
          <w:iCs/>
        </w:rPr>
        <w:t xml:space="preserve">American Journal of Public Health</w:t>
      </w:r>
      <w:r>
        <w:t xml:space="preserve">, and other non-OB/GYN journals not captured by the 12-journal relevance scoring list in the current pipeline. Expanding the journal relevance list is recommended before applying the pipeline to SFP.</w:t>
      </w:r>
    </w:p>
    <w:bookmarkEnd w:id="60"/>
    <w:bookmarkStart w:id="61" w:name="X9d2c14ea718c3f2dfd81b4e56bef96d177be14e"/>
    <w:p>
      <w:pPr>
        <w:pStyle w:val="Heading3"/>
      </w:pPr>
      <w:r>
        <w:t xml:space="preserve">A11.8 Recommended Implementation Sequence</w:t>
      </w:r>
    </w:p>
    <w:p>
      <w:pPr>
        <w:pStyle w:val="FirstParagraph"/>
      </w:pPr>
      <w:r>
        <w:t xml:space="preserve">The following phased schedule balances scientific priority, engineering complexity, and data volume to ensure each new society’s data can be validated against AAGL results before committing to the next expansion.</w:t>
      </w:r>
    </w:p>
    <w:p>
      <w:pPr>
        <w:pStyle w:val="BodyText"/>
      </w:pPr>
      <w:r>
        <w:rPr>
          <w:b/>
          <w:bCs/>
        </w:rPr>
        <w:t xml:space="preserve">Phase 1 (Months 1–3): SMFM.</w:t>
      </w:r>
      <w:r>
        <w:t xml:space="preserve"> </w:t>
      </w:r>
      <w:r>
        <w:t xml:space="preserve">SMFM is the highest-priority first expansion because it shares the ScienceDirect platform with AAGL (zero new platform engineering), provides the strongest scientific contrast (maternal-fetal medicine vs. minimally invasive gynecologic surgery), and contributes the largest additional abstract volume of any single-platform society (~500/year). Full first names and affiliations are available at ingestion. The AJOG supplement URL pattern is confirmed across 2013–2023. The primary implementation tasks are: update journal DOI prefix and URL pattern in</w:t>
      </w:r>
      <w:r>
        <w:t xml:space="preserve"> </w:t>
      </w:r>
      <w:r>
        <w:rPr>
          <w:rStyle w:val="VerbatimChar"/>
        </w:rPr>
        <w:t xml:space="preserve">01b_parse_web.R</w:t>
      </w:r>
      <w:r>
        <w:t xml:space="preserve">; adjust NPI subspecialty filter to MFM; update journal relevance list to include AJOG,</w:t>
      </w:r>
      <w:r>
        <w:t xml:space="preserve"> </w:t>
      </w:r>
      <w:r>
        <w:rPr>
          <w:i/>
          <w:iCs/>
        </w:rPr>
        <w:t xml:space="preserve">Prenatal Diagnosis</w:t>
      </w:r>
      <w:r>
        <w:t xml:space="preserve">, and</w:t>
      </w:r>
      <w:r>
        <w:t xml:space="preserve"> </w:t>
      </w:r>
      <w:r>
        <w:rPr>
          <w:i/>
          <w:iCs/>
        </w:rPr>
        <w:t xml:space="preserve">Ultrasound in Obstetrics &amp; Gynecology</w:t>
      </w:r>
      <w:r>
        <w:t xml:space="preserve">; validate against a 50-abstract manually verified gold standard.</w:t>
      </w:r>
    </w:p>
    <w:p>
      <w:pPr>
        <w:pStyle w:val="BodyText"/>
      </w:pPr>
      <w:r>
        <w:rPr>
          <w:b/>
          <w:bCs/>
        </w:rPr>
        <w:t xml:space="preserve">Phase 2 (Months 4–6): SGO.</w:t>
      </w:r>
      <w:r>
        <w:t xml:space="preserve"> </w:t>
      </w:r>
      <w:r>
        <w:t xml:space="preserve">SGO adds the gynecologic oncology perspective with ~570 abstracts/year on ScienceDirect. Implementation is identical to SMFM except for the 2013 data gap (no dedicated supplement in</w:t>
      </w:r>
      <w:r>
        <w:t xml:space="preserve"> </w:t>
      </w:r>
      <w:r>
        <w:rPr>
          <w:i/>
          <w:iCs/>
        </w:rPr>
        <w:t xml:space="preserve">Gynecologic Oncology</w:t>
      </w:r>
      <w:r>
        <w:t xml:space="preserve"> </w:t>
      </w:r>
      <w:r>
        <w:t xml:space="preserve">Vol 129) and the need to expand the journal relevance list to oncology-specific outlets (</w:t>
      </w:r>
      <w:r>
        <w:rPr>
          <w:i/>
          <w:iCs/>
        </w:rPr>
        <w:t xml:space="preserve">Cancer</w:t>
      </w:r>
      <w:r>
        <w:t xml:space="preserve">,</w:t>
      </w:r>
      <w:r>
        <w:t xml:space="preserve"> </w:t>
      </w:r>
      <w:r>
        <w:rPr>
          <w:i/>
          <w:iCs/>
        </w:rPr>
        <w:t xml:space="preserve">Journal of Clinical Oncology</w:t>
      </w:r>
      <w:r>
        <w:t xml:space="preserve">,</w:t>
      </w:r>
      <w:r>
        <w:t xml:space="preserve"> </w:t>
      </w:r>
      <w:r>
        <w:rPr>
          <w:i/>
          <w:iCs/>
        </w:rPr>
        <w:t xml:space="preserve">Gynecologic Oncology</w:t>
      </w:r>
      <w:r>
        <w:t xml:space="preserve">). The fellow-as-first-author challenge (described in A11.7) should be addressed by adding a career-stage temporal mismatch flag to the output CSV.</w:t>
      </w:r>
    </w:p>
    <w:p>
      <w:pPr>
        <w:pStyle w:val="BodyText"/>
      </w:pPr>
      <w:r>
        <w:rPr>
          <w:b/>
          <w:bCs/>
        </w:rPr>
        <w:t xml:space="preserve">Phase 3 (Months 7–9): NASPAG.</w:t>
      </w:r>
      <w:r>
        <w:t xml:space="preserve"> </w:t>
      </w:r>
      <w:r>
        <w:t xml:space="preserve">NASPAG completes the Elsevier/ScienceDirect implementation set at low volume (~35 abstracts/year). The small annual N means the full 2013–2023 dataset contains only ~385 abstracts — smaller than a single ASRM year — but the complete dataset can be processed in a single pipeline run. The longitudinal author-deduplication enhancement described in A11.7 should be implemented here, as NASPAG’s small, stable community makes it the ideal test case.</w:t>
      </w:r>
    </w:p>
    <w:p>
      <w:pPr>
        <w:pStyle w:val="BodyText"/>
      </w:pPr>
      <w:r>
        <w:rPr>
          <w:b/>
          <w:bCs/>
        </w:rPr>
        <w:t xml:space="preserve">Phase 4 (Months 10–12): ASRM.</w:t>
      </w:r>
      <w:r>
        <w:t xml:space="preserve"> </w:t>
      </w:r>
      <w:r>
        <w:t xml:space="preserve">ASRM’s institutional authentication requirement for supplement browsing is the primary implementation obstacle. The recommended approach is to enumerate abstract DOIs from the CrossRef API (which does not require authentication:</w:t>
      </w:r>
      <w:r>
        <w:t xml:space="preserve"> </w:t>
      </w:r>
      <w:r>
        <w:rPr>
          <w:rStyle w:val="VerbatimChar"/>
        </w:rPr>
        <w:t xml:space="preserve">https://api.crossref.org/works?filter=issn:0015-0282,type:journal-article&amp;query={year}</w:t>
      </w:r>
      <w:r>
        <w:t xml:space="preserve">) and resolve individual DOIs via</w:t>
      </w:r>
      <w:r>
        <w:t xml:space="preserve"> </w:t>
      </w:r>
      <w:r>
        <w:rPr>
          <w:rStyle w:val="VerbatimChar"/>
        </w:rPr>
        <w:t xml:space="preserve">https://doi.org/10.1016/j.fertnstert.{YYYY}.{MM}.{NNN}</w:t>
      </w:r>
      <w:r>
        <w:t xml:space="preserve">, which resolves publicly even when the browse index requires auth. A non-physician-author detection flag should be added to the output schema before ASRM processing. With ~1,200 abstracts/year across 11 years, ASRM is the most computationally intensive society and should be run on a multi-core machine with</w:t>
      </w:r>
      <w:r>
        <w:t xml:space="preserve"> </w:t>
      </w:r>
      <w:r>
        <w:rPr>
          <w:rStyle w:val="VerbatimChar"/>
        </w:rPr>
        <w:t xml:space="preserve">furrr::future_map()</w:t>
      </w:r>
      <w:r>
        <w:t xml:space="preserve"> </w:t>
      </w:r>
      <w:r>
        <w:t xml:space="preserve">parallelization.</w:t>
      </w:r>
    </w:p>
    <w:p>
      <w:pPr>
        <w:pStyle w:val="BodyText"/>
      </w:pPr>
      <w:r>
        <w:rPr>
          <w:b/>
          <w:bCs/>
        </w:rPr>
        <w:t xml:space="preserve">Phase 5 (Year 2): LWW Societies — ACOG, CREOG/APGO, AUGS.</w:t>
      </w:r>
      <w:r>
        <w:t xml:space="preserve"> </w:t>
      </w:r>
      <w:r>
        <w:t xml:space="preserve">These three societies share the LWW platform and can be processed once a single LWW scraper is built. The scraper should handle: JavaScript-rendered TOC pagination (use</w:t>
      </w:r>
      <w:r>
        <w:t xml:space="preserve"> </w:t>
      </w:r>
      <w:r>
        <w:rPr>
          <w:rStyle w:val="VerbatimChar"/>
        </w:rPr>
        <w:t xml:space="preserve">httr2</w:t>
      </w:r>
      <w:r>
        <w:t xml:space="preserve"> </w:t>
      </w:r>
      <w:r>
        <w:t xml:space="preserve">with the LWW API endpoint or</w:t>
      </w:r>
      <w:r>
        <w:t xml:space="preserve"> </w:t>
      </w:r>
      <w:r>
        <w:rPr>
          <w:rStyle w:val="VerbatimChar"/>
        </w:rPr>
        <w:t xml:space="preserve">RSelenium</w:t>
      </w:r>
      <w:r>
        <w:t xml:space="preserve"> </w:t>
      </w:r>
      <w:r>
        <w:t xml:space="preserve">as fallback), LWW-specific HTML affiliation extraction (plain-text rather than JSON-blob), and hash-based DOI format (</w:t>
      </w:r>
      <w:r>
        <w:rPr>
          <w:rStyle w:val="VerbatimChar"/>
        </w:rPr>
        <w:t xml:space="preserve">10.1097/01.AOG.XXXXXXXX</w:t>
      </w:r>
      <w:r>
        <w:t xml:space="preserve">). Building and validating the scraper against the AUGS 2023 supplement (the most recent and structurally representative) is recommended before applying it to ACOG and CREOG/APGO. The three societies can then be processed in parallel.</w:t>
      </w:r>
    </w:p>
    <w:p>
      <w:pPr>
        <w:pStyle w:val="BodyText"/>
      </w:pPr>
      <w:r>
        <w:rPr>
          <w:b/>
          <w:bCs/>
        </w:rPr>
        <w:t xml:space="preserve">Defer: SFP and SASGOG.</w:t>
      </w:r>
      <w:r>
        <w:t xml:space="preserve"> </w:t>
      </w:r>
      <w:r>
        <w:t xml:space="preserve">SFP’s collection-level DOI model requires parsing full-text collection articles — a fundamentally different ingestion approach that should be tackled only after the volume societies (SMFM, SGO, ASRM) are validated. SASGOG lacks a journal, lacks DOIs, and lacks PubMed indexing; implementing the pipeline for SASGOG provides no DOI-chain search benefit and requires custom web scraping of a society website with unknown historical URL structure. SASGOG is deferred indefinitely unless the society introduces journal publication.</w:t>
      </w:r>
    </w:p>
    <w:bookmarkEnd w:id="61"/>
    <w:bookmarkStart w:id="62" w:name="X8be282f36c0076a3ef610b0435952eb5fb33bb5"/>
    <w:p>
      <w:pPr>
        <w:pStyle w:val="Heading3"/>
      </w:pPr>
      <w:r>
        <w:t xml:space="preserve">A11.9 Scientific Questions Enabled by Multi-Society Data</w:t>
      </w:r>
    </w:p>
    <w:p>
      <w:pPr>
        <w:pStyle w:val="FirstParagraph"/>
      </w:pPr>
      <w:r>
        <w:t xml:space="preserve">A fully assembled 10-society OB/GYN abstract-to-publication dataset would enable the following research questions, listed with expected effect sizes where empirical estimates exist in the literature and with the covariate structure available in the combined dataset.</w:t>
      </w:r>
    </w:p>
    <w:p>
      <w:pPr>
        <w:pStyle w:val="BodyText"/>
      </w:pPr>
      <w:r>
        <w:rPr>
          <w:b/>
          <w:bCs/>
        </w:rPr>
        <w:t xml:space="preserve">Hypothesis 1: Cross-subspecialty publication rate heterogeneity.</w:t>
      </w:r>
      <w:r>
        <w:t xml:space="preserve"> </w:t>
      </w:r>
      <w:r>
        <w:t xml:space="preserve">Publication rates at surgical subspecialty meetings (AAGL, AUGS, SGO) differ from those at medical/consultative subspecialty meetings (SMFM, ASRM) after controlling for study design and year.</w:t>
      </w:r>
      <w:r>
        <w:t xml:space="preserve"> </w:t>
      </w:r>
      <w:r>
        <w:rPr>
          <w:i/>
          <w:iCs/>
        </w:rPr>
        <w:t xml:space="preserve">Expected effect size:</w:t>
      </w:r>
      <w:r>
        <w:t xml:space="preserve"> </w:t>
      </w:r>
      <w:r>
        <w:t xml:space="preserve">Based on single-society studies, surgical meeting rates range 15–30% (SGO: Salani et al. 2008, 29%; AAGL current: 11.4%) and medical meeting rates range 20–40% (SMFM: Dunbar et al. 2022). A 10–15 pp difference between surgical and medical meetings is plausible.</w:t>
      </w:r>
      <w:r>
        <w:t xml:space="preserve"> </w:t>
      </w:r>
      <w:r>
        <w:rPr>
          <w:i/>
          <w:iCs/>
        </w:rPr>
        <w:t xml:space="preserve">Available covariates:</w:t>
      </w:r>
      <w:r>
        <w:t xml:space="preserve"> </w:t>
      </w:r>
      <w:r>
        <w:t xml:space="preserve">society, subspecialty, year, RCT status, result positivity, first-author gender, career stage, US vs. international affiliation.</w:t>
      </w:r>
    </w:p>
    <w:p>
      <w:pPr>
        <w:pStyle w:val="BodyText"/>
      </w:pPr>
      <w:r>
        <w:rPr>
          <w:b/>
          <w:bCs/>
        </w:rPr>
        <w:t xml:space="preserve">Hypothesis 2: The AAGL initials-only effect.</w:t>
      </w:r>
      <w:r>
        <w:t xml:space="preserve"> </w:t>
      </w:r>
      <w:r>
        <w:t xml:space="preserve">Controlling for all other factors, AAGL abstracts will show lower confirmed publication rates than structurally similar Elsevier societies (SMFM, SGO, NASPAG) — not because MIGS researchers publish less, but because the pipeline’s name-based search is less effective with initials. This methodological artifact can be estimated directly by comparing AAGL match rates for abstracts with confirmed publications (where full names can be recovered from PubMed) vs. abstract-only records.</w:t>
      </w:r>
      <w:r>
        <w:t xml:space="preserve"> </w:t>
      </w:r>
      <w:r>
        <w:rPr>
          <w:i/>
          <w:iCs/>
        </w:rPr>
        <w:t xml:space="preserve">Expected magnitude:</w:t>
      </w:r>
      <w:r>
        <w:t xml:space="preserve"> </w:t>
      </w:r>
      <w:r>
        <w:t xml:space="preserve">2–5 pp rate undercount attributable to initials-only limitation.</w:t>
      </w:r>
    </w:p>
    <w:p>
      <w:pPr>
        <w:pStyle w:val="BodyText"/>
      </w:pPr>
      <w:r>
        <w:rPr>
          <w:b/>
          <w:bCs/>
        </w:rPr>
        <w:t xml:space="preserve">Hypothesis 3: Publication bias is consistent across subspecialties.</w:t>
      </w:r>
      <w:r>
        <w:t xml:space="preserve"> </w:t>
      </w:r>
      <w:r>
        <w:t xml:space="preserve">The positive result publication advantage observed in AAGL (HR for positive results in Cox model: direction and magnitude to be confirmed from the current analysis) is replicated across societies. If the hazard ratio for positive-result abstracts is consistent across subspecialties (I² &lt; 25% in random-effects meta-analysis across societies), this supports a domain-general publication bias mechanism rather than subspecialty-specific editorial norms.</w:t>
      </w:r>
      <w:r>
        <w:t xml:space="preserve"> </w:t>
      </w:r>
      <w:r>
        <w:rPr>
          <w:i/>
          <w:iCs/>
        </w:rPr>
        <w:t xml:space="preserve">Covariate:</w:t>
      </w:r>
      <w:r>
        <w:t xml:space="preserve"> </w:t>
      </w:r>
      <w:r>
        <w:rPr>
          <w:rStyle w:val="VerbatimChar"/>
        </w:rPr>
        <w:t xml:space="preserve">result_positivity</w:t>
      </w:r>
      <w:r>
        <w:t xml:space="preserve"> </w:t>
      </w:r>
      <w:r>
        <w:t xml:space="preserve">(already extracted by NLP in the current pipeline).</w:t>
      </w:r>
    </w:p>
    <w:p>
      <w:pPr>
        <w:pStyle w:val="BodyText"/>
      </w:pPr>
      <w:r>
        <w:rPr>
          <w:b/>
          <w:bCs/>
        </w:rPr>
        <w:t xml:space="preserve">Hypothesis 4: Gender parity trends differ by subspecialty.</w:t>
      </w:r>
      <w:r>
        <w:t xml:space="preserve"> </w:t>
      </w:r>
      <w:r>
        <w:t xml:space="preserve">SMFM and NASPAG — the two OB/GYN subspecialties with the highest proportion of women practitioners — will show earlier gender parity in first authorship than AAGL (historically male-dominated MIGS) or SGO (historically male-dominated surgical oncology).</w:t>
      </w:r>
      <w:r>
        <w:t xml:space="preserve"> </w:t>
      </w:r>
      <w:r>
        <w:rPr>
          <w:i/>
          <w:iCs/>
        </w:rPr>
        <w:t xml:space="preserve">Available covariates:</w:t>
      </w:r>
      <w:r>
        <w:t xml:space="preserve"> </w:t>
      </w:r>
      <w:r>
        <w:rPr>
          <w:rStyle w:val="VerbatimChar"/>
        </w:rPr>
        <w:t xml:space="preserve">first_author_gender</w:t>
      </w:r>
      <w:r>
        <w:t xml:space="preserve"> </w:t>
      </w:r>
      <w:r>
        <w:t xml:space="preserve">(genderize.io),</w:t>
      </w:r>
      <w:r>
        <w:t xml:space="preserve"> </w:t>
      </w:r>
      <w:r>
        <w:rPr>
          <w:rStyle w:val="VerbatimChar"/>
        </w:rPr>
        <w:t xml:space="preserve">congress_year</w:t>
      </w:r>
      <w:r>
        <w:t xml:space="preserve">, society.</w:t>
      </w:r>
      <w:r>
        <w:t xml:space="preserve"> </w:t>
      </w:r>
      <w:r>
        <w:rPr>
          <w:i/>
          <w:iCs/>
        </w:rPr>
        <w:t xml:space="preserve">Expected pattern based on prior literature:</w:t>
      </w:r>
      <w:r>
        <w:t xml:space="preserve"> </w:t>
      </w:r>
      <w:r>
        <w:t xml:space="preserve">2–4% annual increase in female first-authorship in surgical subspecialties (Rao et al. 2021); parity already achieved in SMFM by 2015 (Bhatt et al. 2019 reported 55% female at SMFM meetings).</w:t>
      </w:r>
    </w:p>
    <w:p>
      <w:pPr>
        <w:pStyle w:val="BodyText"/>
      </w:pPr>
      <w:r>
        <w:rPr>
          <w:b/>
          <w:bCs/>
        </w:rPr>
        <w:t xml:space="preserve">Hypothesis 5: RCT design advantage is attenuated in educational research.</w:t>
      </w:r>
      <w:r>
        <w:t xml:space="preserve"> </w:t>
      </w:r>
      <w:r>
        <w:t xml:space="preserve">The AAGL Cox model shows a hazard ratio of 2.36 for RCT vs. non-RCT abstracts — a strong design advantage for the gold-standard study type. In CREOG/APGO data, where the majority of presentations are simulation studies and curriculum evaluations, the RCT is less culturally normative. The RCT hazard ratio in CREOG/APGO data is expected to be smaller (projected HR 1.4–1.8) or non-significant, reflecting the different publication norms of medical education research.</w:t>
      </w:r>
    </w:p>
    <w:p>
      <w:pPr>
        <w:pStyle w:val="BodyText"/>
      </w:pPr>
      <w:r>
        <w:rPr>
          <w:b/>
          <w:bCs/>
        </w:rPr>
        <w:t xml:space="preserve">Combined dataset covariate matrix.</w:t>
      </w:r>
      <w:r>
        <w:t xml:space="preserve"> </w:t>
      </w:r>
      <w:r>
        <w:t xml:space="preserve">A fully assembled multi-society dataset would contain the following covariates for each abstract:</w:t>
      </w:r>
      <w:r>
        <w:t xml:space="preserve"> </w:t>
      </w:r>
      <w:r>
        <w:rPr>
          <w:rStyle w:val="VerbatimChar"/>
        </w:rPr>
        <w:t xml:space="preserve">society</w:t>
      </w:r>
      <w:r>
        <w:t xml:space="preserve"> </w:t>
      </w:r>
      <w:r>
        <w:t xml:space="preserve">(10-level factor),</w:t>
      </w:r>
      <w:r>
        <w:t xml:space="preserve"> </w:t>
      </w:r>
      <w:r>
        <w:rPr>
          <w:rStyle w:val="VerbatimChar"/>
        </w:rPr>
        <w:t xml:space="preserve">platform</w:t>
      </w:r>
      <w:r>
        <w:t xml:space="preserve"> </w:t>
      </w:r>
      <w:r>
        <w:t xml:space="preserve">(ScienceDirect/LWW/web),</w:t>
      </w:r>
      <w:r>
        <w:t xml:space="preserve"> </w:t>
      </w:r>
      <w:r>
        <w:rPr>
          <w:rStyle w:val="VerbatimChar"/>
        </w:rPr>
        <w:t xml:space="preserve">doi_type</w:t>
      </w:r>
      <w:r>
        <w:t xml:space="preserve"> </w:t>
      </w:r>
      <w:r>
        <w:t xml:space="preserve">(individual/collection/none),</w:t>
      </w:r>
      <w:r>
        <w:t xml:space="preserve"> </w:t>
      </w:r>
      <w:r>
        <w:rPr>
          <w:rStyle w:val="VerbatimChar"/>
        </w:rPr>
        <w:t xml:space="preserve">congress_year</w:t>
      </w:r>
      <w:r>
        <w:t xml:space="preserve"> </w:t>
      </w:r>
      <w:r>
        <w:t xml:space="preserve">(2012–2023),</w:t>
      </w:r>
      <w:r>
        <w:t xml:space="preserve"> </w:t>
      </w:r>
      <w:r>
        <w:rPr>
          <w:rStyle w:val="VerbatimChar"/>
        </w:rPr>
        <w:t xml:space="preserve">n_abstracts_that_year</w:t>
      </w:r>
      <w:r>
        <w:t xml:space="preserve"> </w:t>
      </w:r>
      <w:r>
        <w:t xml:space="preserve">(society-year abstract volume),</w:t>
      </w:r>
      <w:r>
        <w:t xml:space="preserve"> </w:t>
      </w:r>
      <w:r>
        <w:rPr>
          <w:rStyle w:val="VerbatimChar"/>
        </w:rPr>
        <w:t xml:space="preserve">first_author_full_name_available</w:t>
      </w:r>
      <w:r>
        <w:t xml:space="preserve"> </w:t>
      </w:r>
      <w:r>
        <w:t xml:space="preserve">(logical),</w:t>
      </w:r>
      <w:r>
        <w:t xml:space="preserve"> </w:t>
      </w:r>
      <w:r>
        <w:rPr>
          <w:rStyle w:val="VerbatimChar"/>
        </w:rPr>
        <w:t xml:space="preserve">result_positivity</w:t>
      </w:r>
      <w:r>
        <w:t xml:space="preserve">,</w:t>
      </w:r>
      <w:r>
        <w:t xml:space="preserve"> </w:t>
      </w:r>
      <w:r>
        <w:rPr>
          <w:rStyle w:val="VerbatimChar"/>
        </w:rPr>
        <w:t xml:space="preserve">is_rct</w:t>
      </w:r>
      <w:r>
        <w:t xml:space="preserve">,</w:t>
      </w:r>
      <w:r>
        <w:t xml:space="preserve"> </w:t>
      </w:r>
      <w:r>
        <w:rPr>
          <w:rStyle w:val="VerbatimChar"/>
        </w:rPr>
        <w:t xml:space="preserve">study_design</w:t>
      </w:r>
      <w:r>
        <w:t xml:space="preserve">,</w:t>
      </w:r>
      <w:r>
        <w:t xml:space="preserve"> </w:t>
      </w:r>
      <w:r>
        <w:rPr>
          <w:rStyle w:val="VerbatimChar"/>
        </w:rPr>
        <w:t xml:space="preserve">research_category</w:t>
      </w:r>
      <w:r>
        <w:t xml:space="preserve">,</w:t>
      </w:r>
      <w:r>
        <w:t xml:space="preserve"> </w:t>
      </w:r>
      <w:r>
        <w:rPr>
          <w:rStyle w:val="VerbatimChar"/>
        </w:rPr>
        <w:t xml:space="preserve">first_author_gender</w:t>
      </w:r>
      <w:r>
        <w:t xml:space="preserve">,</w:t>
      </w:r>
      <w:r>
        <w:t xml:space="preserve"> </w:t>
      </w:r>
      <w:r>
        <w:rPr>
          <w:rStyle w:val="VerbatimChar"/>
        </w:rPr>
        <w:t xml:space="preserve">first_author_country</w:t>
      </w:r>
      <w:r>
        <w:t xml:space="preserve">,</w:t>
      </w:r>
      <w:r>
        <w:t xml:space="preserve"> </w:t>
      </w:r>
      <w:r>
        <w:rPr>
          <w:rStyle w:val="VerbatimChar"/>
        </w:rPr>
        <w:t xml:space="preserve">first_author_career_stage</w:t>
      </w:r>
      <w:r>
        <w:t xml:space="preserve">,</w:t>
      </w:r>
      <w:r>
        <w:t xml:space="preserve"> </w:t>
      </w:r>
      <w:r>
        <w:rPr>
          <w:rStyle w:val="VerbatimChar"/>
        </w:rPr>
        <w:t xml:space="preserve">practice_type</w:t>
      </w:r>
      <w:r>
        <w:t xml:space="preserve">,</w:t>
      </w:r>
      <w:r>
        <w:t xml:space="preserve"> </w:t>
      </w:r>
      <w:r>
        <w:rPr>
          <w:rStyle w:val="VerbatimChar"/>
        </w:rPr>
        <w:t xml:space="preserve">subspecialty_npi</w:t>
      </w:r>
      <w:r>
        <w:t xml:space="preserve">,</w:t>
      </w:r>
      <w:r>
        <w:t xml:space="preserve"> </w:t>
      </w:r>
      <w:r>
        <w:rPr>
          <w:rStyle w:val="VerbatimChar"/>
        </w:rPr>
        <w:t xml:space="preserve">has_industry_funding</w:t>
      </w:r>
      <w:r>
        <w:t xml:space="preserve">,</w:t>
      </w:r>
      <w:r>
        <w:t xml:space="preserve"> </w:t>
      </w:r>
      <w:r>
        <w:rPr>
          <w:rStyle w:val="VerbatimChar"/>
        </w:rPr>
        <w:t xml:space="preserve">has_trial_registration</w:t>
      </w:r>
      <w:r>
        <w:t xml:space="preserve">, and all matching-quality flags (</w:t>
      </w:r>
      <w:r>
        <w:rPr>
          <w:rStyle w:val="VerbatimChar"/>
        </w:rPr>
        <w:t xml:space="preserve">classification</w:t>
      </w:r>
      <w:r>
        <w:t xml:space="preserve">,</w:t>
      </w:r>
      <w:r>
        <w:t xml:space="preserve"> </w:t>
      </w:r>
      <w:r>
        <w:rPr>
          <w:rStyle w:val="VerbatimChar"/>
        </w:rPr>
        <w:t xml:space="preserve">best_score</w:t>
      </w:r>
      <w:r>
        <w:t xml:space="preserve">,</w:t>
      </w:r>
      <w:r>
        <w:t xml:space="preserve"> </w:t>
      </w:r>
      <w:r>
        <w:rPr>
          <w:rStyle w:val="VerbatimChar"/>
        </w:rPr>
        <w:t xml:space="preserve">n_candidates</w:t>
      </w:r>
      <w:r>
        <w:t xml:space="preserve">,</w:t>
      </w:r>
      <w:r>
        <w:t xml:space="preserve"> </w:t>
      </w:r>
      <w:r>
        <w:rPr>
          <w:rStyle w:val="VerbatimChar"/>
        </w:rPr>
        <w:t xml:space="preserve">has_tie</w:t>
      </w:r>
      <w:r>
        <w:t xml:space="preserve">). This covariate richness supports multi-level modeling with society as the clustering unit and abstract-year as the within-cluster observation.</w:t>
      </w:r>
    </w:p>
    <w:bookmarkEnd w:id="62"/>
    <w:bookmarkStart w:id="75" w:name="X5adcebed53402b0a470dee944c93ca36bc7dae6"/>
    <w:p>
      <w:pPr>
        <w:pStyle w:val="Heading3"/>
      </w:pPr>
      <w:r>
        <w:t xml:space="preserve">A11.10 SMFM Abstract Supplement URLs (2013–2023)</w:t>
      </w:r>
    </w:p>
    <w:p>
      <w:pPr>
        <w:pStyle w:val="FirstParagraph"/>
      </w:pPr>
      <w:r>
        <w:t xml:space="preserve">SMFM (Society for Maternal-Fetal Medicine) annual meeting abstracts are published as supplement issues of the</w:t>
      </w:r>
      <w:r>
        <w:t xml:space="preserve"> </w:t>
      </w:r>
      <w:r>
        <w:rPr>
          <w:i/>
          <w:iCs/>
        </w:rPr>
        <w:t xml:space="preserve">American Journal of Obstetrics and Gynecology</w:t>
      </w:r>
      <w:r>
        <w:t xml:space="preserve"> </w:t>
      </w:r>
      <w:r>
        <w:t xml:space="preserve">(AJOG) on ScienceDirect (Elsevier). Unlike AUGS abstracts,</w:t>
      </w:r>
      <w:r>
        <w:t xml:space="preserve"> </w:t>
      </w:r>
      <w:r>
        <w:rPr>
          <w:b/>
          <w:bCs/>
        </w:rPr>
        <w:t xml:space="preserve">each individual SMFM abstract receives a unique DOI</w:t>
      </w:r>
      <w:r>
        <w:t xml:space="preserve"> </w:t>
      </w:r>
      <w:r>
        <w:t xml:space="preserve">following the pattern</w:t>
      </w:r>
      <w:r>
        <w:t xml:space="preserve"> </w:t>
      </w:r>
      <w:r>
        <w:rPr>
          <w:rStyle w:val="VerbatimChar"/>
        </w:rPr>
        <w:t xml:space="preserve">10.1016/j.ajog.YYYY.MM.NNN</w:t>
      </w:r>
      <w:r>
        <w:t xml:space="preserve">, where NNN increments sequentially within the supplement. This was confirmed by inspecting the 2023 supplement, where abstracts are numbered sequentially (…004, …005, …006, etc.).</w:t>
      </w:r>
    </w:p>
    <w:p>
      <w:pPr>
        <w:pStyle w:val="BodyText"/>
      </w:pPr>
      <w:r>
        <w:t xml:space="preserve">This is the same DOI structure as AAGL/JMIG abstracts, meaning the full pipeline — including DOI-chain search via OpenAlex, CrossRef metadata retrieval, and ScienceDirect HTML affiliation backfill — can be applied without modification.</w:t>
      </w:r>
    </w:p>
    <w:p>
      <w:pPr>
        <w:pStyle w:val="BodyText"/>
      </w:pPr>
      <w:r>
        <w:rPr>
          <w:b/>
          <w:bCs/>
        </w:rPr>
        <w:t xml:space="preserve">Note:</w:t>
      </w:r>
      <w:r>
        <w:t xml:space="preserve"> </w:t>
      </w:r>
      <w:r>
        <w:t xml:space="preserve">The 2021 supplement appears in Issue 2 rather than Issue 1, likely due to meeting rescheduling from the COVID-19 virtual format. All other years use Issue 1.</w:t>
      </w:r>
    </w:p>
    <w:tbl>
      <w:tblPr>
        <w:tblStyle w:val="Table"/>
        <w:tblW w:type="pct" w:w="5000"/>
        <w:tblLayout w:type="fixed"/>
        <w:tblLook w:firstRow="1" w:lastRow="0" w:firstColumn="0" w:lastColumn="0" w:noHBand="0" w:noVBand="0" w:val="0020"/>
      </w:tblPr>
      <w:tblGrid>
        <w:gridCol w:w="742"/>
        <w:gridCol w:w="1113"/>
        <w:gridCol w:w="1237"/>
        <w:gridCol w:w="866"/>
        <w:gridCol w:w="2351"/>
        <w:gridCol w:w="1608"/>
      </w:tblGrid>
      <w:tr>
        <w:trPr>
          <w:tblHeader w:val="on"/>
        </w:trPr>
        <w:tc>
          <w:tcPr/>
          <w:p>
            <w:pPr>
              <w:pStyle w:val="Compact"/>
            </w:pPr>
            <w:r>
              <w:t xml:space="preserve">Year</w:t>
            </w:r>
          </w:p>
        </w:tc>
        <w:tc>
          <w:tcPr/>
          <w:p>
            <w:pPr>
              <w:pStyle w:val="Compact"/>
            </w:pPr>
            <w:r>
              <w:t xml:space="preserve">Meeting</w:t>
            </w:r>
          </w:p>
        </w:tc>
        <w:tc>
          <w:tcPr/>
          <w:p>
            <w:pPr>
              <w:pStyle w:val="Compact"/>
            </w:pPr>
            <w:r>
              <w:t xml:space="preserve">AJOG Vol</w:t>
            </w:r>
          </w:p>
        </w:tc>
        <w:tc>
          <w:tcPr/>
          <w:p>
            <w:pPr>
              <w:pStyle w:val="Compact"/>
            </w:pPr>
            <w:r>
              <w:t xml:space="preserve">Issue</w:t>
            </w:r>
          </w:p>
        </w:tc>
        <w:tc>
          <w:tcPr/>
          <w:p>
            <w:pPr>
              <w:pStyle w:val="Compact"/>
            </w:pPr>
            <w:r>
              <w:t xml:space="preserve">ScienceDirect URL</w:t>
            </w:r>
          </w:p>
        </w:tc>
        <w:tc>
          <w:tcPr/>
          <w:p>
            <w:pPr>
              <w:pStyle w:val="Compact"/>
            </w:pPr>
            <w:r>
              <w:t xml:space="preserve">DOI Pattern</w:t>
            </w:r>
          </w:p>
        </w:tc>
      </w:tr>
      <w:tr>
        <w:tc>
          <w:tcPr/>
          <w:p>
            <w:pPr>
              <w:pStyle w:val="Compact"/>
            </w:pPr>
            <w:r>
              <w:t xml:space="preserve">2023</w:t>
            </w:r>
          </w:p>
        </w:tc>
        <w:tc>
          <w:tcPr/>
          <w:p>
            <w:pPr>
              <w:pStyle w:val="Compact"/>
            </w:pPr>
            <w:r>
              <w:t xml:space="preserve">43rd</w:t>
            </w:r>
          </w:p>
        </w:tc>
        <w:tc>
          <w:tcPr/>
          <w:p>
            <w:pPr>
              <w:pStyle w:val="Compact"/>
            </w:pPr>
            <w:r>
              <w:t xml:space="preserve">228</w:t>
            </w:r>
          </w:p>
        </w:tc>
        <w:tc>
          <w:tcPr/>
          <w:p>
            <w:pPr>
              <w:pStyle w:val="Compact"/>
            </w:pPr>
            <w:r>
              <w:t xml:space="preserve">1, Suppl S</w:t>
            </w:r>
          </w:p>
        </w:tc>
        <w:tc>
          <w:tcPr/>
          <w:p>
            <w:pPr>
              <w:pStyle w:val="Compact"/>
            </w:pPr>
            <w:hyperlink r:id="rId63">
              <w:r>
                <w:rPr>
                  <w:rStyle w:val="Hyperlink"/>
                </w:rPr>
                <w:t xml:space="preserve">https://www.sciencedirect.com/journal/american-journal-of-obstetrics-and-gynecology/vol/228/issue/1/suppl/S</w:t>
              </w:r>
            </w:hyperlink>
          </w:p>
        </w:tc>
        <w:tc>
          <w:tcPr/>
          <w:p>
            <w:pPr>
              <w:pStyle w:val="Compact"/>
            </w:pPr>
            <w:r>
              <w:t xml:space="preserve">10.1016/j.ajog.2022.11.xxx</w:t>
            </w:r>
          </w:p>
        </w:tc>
      </w:tr>
      <w:tr>
        <w:tc>
          <w:tcPr/>
          <w:p>
            <w:pPr>
              <w:pStyle w:val="Compact"/>
            </w:pPr>
            <w:r>
              <w:t xml:space="preserve">2022</w:t>
            </w:r>
          </w:p>
        </w:tc>
        <w:tc>
          <w:tcPr/>
          <w:p>
            <w:pPr>
              <w:pStyle w:val="Compact"/>
            </w:pPr>
            <w:r>
              <w:t xml:space="preserve">42nd</w:t>
            </w:r>
          </w:p>
        </w:tc>
        <w:tc>
          <w:tcPr/>
          <w:p>
            <w:pPr>
              <w:pStyle w:val="Compact"/>
            </w:pPr>
            <w:r>
              <w:t xml:space="preserve">226</w:t>
            </w:r>
          </w:p>
        </w:tc>
        <w:tc>
          <w:tcPr/>
          <w:p>
            <w:pPr>
              <w:pStyle w:val="Compact"/>
            </w:pPr>
            <w:r>
              <w:t xml:space="preserve">1, Suppl S</w:t>
            </w:r>
          </w:p>
        </w:tc>
        <w:tc>
          <w:tcPr/>
          <w:p>
            <w:pPr>
              <w:pStyle w:val="Compact"/>
            </w:pPr>
            <w:hyperlink r:id="rId64">
              <w:r>
                <w:rPr>
                  <w:rStyle w:val="Hyperlink"/>
                </w:rPr>
                <w:t xml:space="preserve">https://www.sciencedirect.com/journal/american-journal-of-obstetrics-and-gynecology/vol/226/issue/1/suppl/S</w:t>
              </w:r>
            </w:hyperlink>
          </w:p>
        </w:tc>
        <w:tc>
          <w:tcPr/>
          <w:p>
            <w:pPr>
              <w:pStyle w:val="Compact"/>
            </w:pPr>
            <w:r>
              <w:t xml:space="preserve">10.1016/j.ajog.2021.11.xxx</w:t>
            </w:r>
          </w:p>
        </w:tc>
      </w:tr>
      <w:tr>
        <w:tc>
          <w:tcPr/>
          <w:p>
            <w:pPr>
              <w:pStyle w:val="Compact"/>
            </w:pPr>
            <w:r>
              <w:t xml:space="preserve">2021</w:t>
            </w:r>
          </w:p>
        </w:tc>
        <w:tc>
          <w:tcPr/>
          <w:p>
            <w:pPr>
              <w:pStyle w:val="Compact"/>
            </w:pPr>
            <w:r>
              <w:t xml:space="preserve">41st</w:t>
            </w:r>
          </w:p>
        </w:tc>
        <w:tc>
          <w:tcPr/>
          <w:p>
            <w:pPr>
              <w:pStyle w:val="Compact"/>
            </w:pPr>
            <w:r>
              <w:t xml:space="preserve">224</w:t>
            </w:r>
          </w:p>
        </w:tc>
        <w:tc>
          <w:tcPr/>
          <w:p>
            <w:pPr>
              <w:pStyle w:val="Compact"/>
            </w:pPr>
            <w:r>
              <w:rPr>
                <w:b/>
                <w:bCs/>
              </w:rPr>
              <w:t xml:space="preserve">2</w:t>
            </w:r>
            <w:r>
              <w:t xml:space="preserve">, Suppl S</w:t>
            </w:r>
          </w:p>
        </w:tc>
        <w:tc>
          <w:tcPr/>
          <w:p>
            <w:pPr>
              <w:pStyle w:val="Compact"/>
            </w:pPr>
            <w:hyperlink r:id="rId65">
              <w:r>
                <w:rPr>
                  <w:rStyle w:val="Hyperlink"/>
                </w:rPr>
                <w:t xml:space="preserve">https://www.sciencedirect.com/journal/american-journal-of-obstetrics-and-gynecology/vol/224/issue/2/suppl/S</w:t>
              </w:r>
            </w:hyperlink>
          </w:p>
        </w:tc>
        <w:tc>
          <w:tcPr/>
          <w:p>
            <w:pPr>
              <w:pStyle w:val="Compact"/>
            </w:pPr>
            <w:r>
              <w:t xml:space="preserve">10.1016/j.ajog.2020.12.xxx</w:t>
            </w:r>
          </w:p>
        </w:tc>
      </w:tr>
      <w:tr>
        <w:tc>
          <w:tcPr/>
          <w:p>
            <w:pPr>
              <w:pStyle w:val="Compact"/>
            </w:pPr>
            <w:r>
              <w:t xml:space="preserve">2020</w:t>
            </w:r>
          </w:p>
        </w:tc>
        <w:tc>
          <w:tcPr/>
          <w:p>
            <w:pPr>
              <w:pStyle w:val="Compact"/>
            </w:pPr>
            <w:r>
              <w:t xml:space="preserve">40th</w:t>
            </w:r>
          </w:p>
        </w:tc>
        <w:tc>
          <w:tcPr/>
          <w:p>
            <w:pPr>
              <w:pStyle w:val="Compact"/>
            </w:pPr>
            <w:r>
              <w:t xml:space="preserve">222</w:t>
            </w:r>
          </w:p>
        </w:tc>
        <w:tc>
          <w:tcPr/>
          <w:p>
            <w:pPr>
              <w:pStyle w:val="Compact"/>
            </w:pPr>
            <w:r>
              <w:t xml:space="preserve">1, Suppl S</w:t>
            </w:r>
          </w:p>
        </w:tc>
        <w:tc>
          <w:tcPr/>
          <w:p>
            <w:pPr>
              <w:pStyle w:val="Compact"/>
            </w:pPr>
            <w:hyperlink r:id="rId66">
              <w:r>
                <w:rPr>
                  <w:rStyle w:val="Hyperlink"/>
                </w:rPr>
                <w:t xml:space="preserve">https://www.sciencedirect.com/journal/american-journal-of-obstetrics-and-gynecology/vol/222/issue/1/suppl/S</w:t>
              </w:r>
            </w:hyperlink>
          </w:p>
        </w:tc>
        <w:tc>
          <w:tcPr/>
          <w:p>
            <w:pPr>
              <w:pStyle w:val="Compact"/>
            </w:pPr>
            <w:r>
              <w:t xml:space="preserve">10.1016/j.ajog.2019.11.xxx</w:t>
            </w:r>
          </w:p>
        </w:tc>
      </w:tr>
      <w:tr>
        <w:tc>
          <w:tcPr/>
          <w:p>
            <w:pPr>
              <w:pStyle w:val="Compact"/>
            </w:pPr>
            <w:r>
              <w:t xml:space="preserve">2019</w:t>
            </w:r>
          </w:p>
        </w:tc>
        <w:tc>
          <w:tcPr/>
          <w:p>
            <w:pPr>
              <w:pStyle w:val="Compact"/>
            </w:pPr>
            <w:r>
              <w:t xml:space="preserve">39th</w:t>
            </w:r>
          </w:p>
        </w:tc>
        <w:tc>
          <w:tcPr/>
          <w:p>
            <w:pPr>
              <w:pStyle w:val="Compact"/>
            </w:pPr>
            <w:r>
              <w:t xml:space="preserve">220</w:t>
            </w:r>
          </w:p>
        </w:tc>
        <w:tc>
          <w:tcPr/>
          <w:p>
            <w:pPr>
              <w:pStyle w:val="Compact"/>
            </w:pPr>
            <w:r>
              <w:t xml:space="preserve">1, Suppl S</w:t>
            </w:r>
          </w:p>
        </w:tc>
        <w:tc>
          <w:tcPr/>
          <w:p>
            <w:pPr>
              <w:pStyle w:val="Compact"/>
            </w:pPr>
            <w:hyperlink r:id="rId67">
              <w:r>
                <w:rPr>
                  <w:rStyle w:val="Hyperlink"/>
                </w:rPr>
                <w:t xml:space="preserve">https://www.sciencedirect.com/journal/american-journal-of-obstetrics-and-gynecology/vol/220/issue/1/suppl/S</w:t>
              </w:r>
            </w:hyperlink>
          </w:p>
        </w:tc>
        <w:tc>
          <w:tcPr/>
          <w:p>
            <w:pPr>
              <w:pStyle w:val="Compact"/>
            </w:pPr>
            <w:r>
              <w:t xml:space="preserve">10.1016/j.ajog.2018.11.xxx</w:t>
            </w:r>
          </w:p>
        </w:tc>
      </w:tr>
      <w:tr>
        <w:tc>
          <w:tcPr/>
          <w:p>
            <w:pPr>
              <w:pStyle w:val="Compact"/>
            </w:pPr>
            <w:r>
              <w:t xml:space="preserve">2018</w:t>
            </w:r>
          </w:p>
        </w:tc>
        <w:tc>
          <w:tcPr/>
          <w:p>
            <w:pPr>
              <w:pStyle w:val="Compact"/>
            </w:pPr>
            <w:r>
              <w:t xml:space="preserve">38th</w:t>
            </w:r>
          </w:p>
        </w:tc>
        <w:tc>
          <w:tcPr/>
          <w:p>
            <w:pPr>
              <w:pStyle w:val="Compact"/>
            </w:pPr>
            <w:r>
              <w:t xml:space="preserve">218</w:t>
            </w:r>
          </w:p>
        </w:tc>
        <w:tc>
          <w:tcPr/>
          <w:p>
            <w:pPr>
              <w:pStyle w:val="Compact"/>
            </w:pPr>
            <w:r>
              <w:t xml:space="preserve">1, Suppl S</w:t>
            </w:r>
          </w:p>
        </w:tc>
        <w:tc>
          <w:tcPr/>
          <w:p>
            <w:pPr>
              <w:pStyle w:val="Compact"/>
            </w:pPr>
            <w:hyperlink r:id="rId68">
              <w:r>
                <w:rPr>
                  <w:rStyle w:val="Hyperlink"/>
                </w:rPr>
                <w:t xml:space="preserve">https://www.sciencedirect.com/journal/american-journal-of-obstetrics-and-gynecology/vol/218/issue/1/suppl/S</w:t>
              </w:r>
            </w:hyperlink>
          </w:p>
        </w:tc>
        <w:tc>
          <w:tcPr/>
          <w:p>
            <w:pPr>
              <w:pStyle w:val="Compact"/>
            </w:pPr>
            <w:r>
              <w:t xml:space="preserve">10.1016/j.ajog.2017.11.xxx</w:t>
            </w:r>
          </w:p>
        </w:tc>
      </w:tr>
      <w:tr>
        <w:tc>
          <w:tcPr/>
          <w:p>
            <w:pPr>
              <w:pStyle w:val="Compact"/>
            </w:pPr>
            <w:r>
              <w:t xml:space="preserve">2017</w:t>
            </w:r>
          </w:p>
        </w:tc>
        <w:tc>
          <w:tcPr/>
          <w:p>
            <w:pPr>
              <w:pStyle w:val="Compact"/>
            </w:pPr>
            <w:r>
              <w:t xml:space="preserve">37th</w:t>
            </w:r>
          </w:p>
        </w:tc>
        <w:tc>
          <w:tcPr/>
          <w:p>
            <w:pPr>
              <w:pStyle w:val="Compact"/>
            </w:pPr>
            <w:r>
              <w:t xml:space="preserve">216</w:t>
            </w:r>
          </w:p>
        </w:tc>
        <w:tc>
          <w:tcPr/>
          <w:p>
            <w:pPr>
              <w:pStyle w:val="Compact"/>
            </w:pPr>
            <w:r>
              <w:t xml:space="preserve">1, Suppl S</w:t>
            </w:r>
          </w:p>
        </w:tc>
        <w:tc>
          <w:tcPr/>
          <w:p>
            <w:pPr>
              <w:pStyle w:val="Compact"/>
            </w:pPr>
            <w:hyperlink r:id="rId69">
              <w:r>
                <w:rPr>
                  <w:rStyle w:val="Hyperlink"/>
                </w:rPr>
                <w:t xml:space="preserve">https://www.sciencedirect.com/journal/american-journal-of-obstetrics-and-gynecology/vol/216/issue/1/suppl/S</w:t>
              </w:r>
            </w:hyperlink>
          </w:p>
        </w:tc>
        <w:tc>
          <w:tcPr/>
          <w:p>
            <w:pPr>
              <w:pStyle w:val="Compact"/>
            </w:pPr>
            <w:r>
              <w:t xml:space="preserve">10.1016/j.ajog.2016.11.xxx</w:t>
            </w:r>
          </w:p>
        </w:tc>
      </w:tr>
      <w:tr>
        <w:tc>
          <w:tcPr/>
          <w:p>
            <w:pPr>
              <w:pStyle w:val="Compact"/>
            </w:pPr>
            <w:r>
              <w:t xml:space="preserve">2016</w:t>
            </w:r>
          </w:p>
        </w:tc>
        <w:tc>
          <w:tcPr/>
          <w:p>
            <w:pPr>
              <w:pStyle w:val="Compact"/>
            </w:pPr>
            <w:r>
              <w:t xml:space="preserve">36th</w:t>
            </w:r>
          </w:p>
        </w:tc>
        <w:tc>
          <w:tcPr/>
          <w:p>
            <w:pPr>
              <w:pStyle w:val="Compact"/>
            </w:pPr>
            <w:r>
              <w:t xml:space="preserve">214</w:t>
            </w:r>
          </w:p>
        </w:tc>
        <w:tc>
          <w:tcPr/>
          <w:p>
            <w:pPr>
              <w:pStyle w:val="Compact"/>
            </w:pPr>
            <w:r>
              <w:t xml:space="preserve">1, Suppl S</w:t>
            </w:r>
          </w:p>
        </w:tc>
        <w:tc>
          <w:tcPr/>
          <w:p>
            <w:pPr>
              <w:pStyle w:val="Compact"/>
            </w:pPr>
            <w:hyperlink r:id="rId70">
              <w:r>
                <w:rPr>
                  <w:rStyle w:val="Hyperlink"/>
                </w:rPr>
                <w:t xml:space="preserve">https://www.sciencedirect.com/journal/american-journal-of-obstetrics-and-gynecology/vol/214/issue/1/suppl/S</w:t>
              </w:r>
            </w:hyperlink>
          </w:p>
        </w:tc>
        <w:tc>
          <w:tcPr/>
          <w:p>
            <w:pPr>
              <w:pStyle w:val="Compact"/>
            </w:pPr>
            <w:r>
              <w:t xml:space="preserve">10.1016/j.ajog.2015.11.xxx</w:t>
            </w:r>
          </w:p>
        </w:tc>
      </w:tr>
      <w:tr>
        <w:tc>
          <w:tcPr/>
          <w:p>
            <w:pPr>
              <w:pStyle w:val="Compact"/>
            </w:pPr>
            <w:r>
              <w:t xml:space="preserve">2015</w:t>
            </w:r>
          </w:p>
        </w:tc>
        <w:tc>
          <w:tcPr/>
          <w:p>
            <w:pPr>
              <w:pStyle w:val="Compact"/>
            </w:pPr>
            <w:r>
              <w:t xml:space="preserve">35th</w:t>
            </w:r>
          </w:p>
        </w:tc>
        <w:tc>
          <w:tcPr/>
          <w:p>
            <w:pPr>
              <w:pStyle w:val="Compact"/>
            </w:pPr>
            <w:r>
              <w:t xml:space="preserve">212</w:t>
            </w:r>
          </w:p>
        </w:tc>
        <w:tc>
          <w:tcPr/>
          <w:p>
            <w:pPr>
              <w:pStyle w:val="Compact"/>
            </w:pPr>
            <w:r>
              <w:t xml:space="preserve">1, Suppl S</w:t>
            </w:r>
          </w:p>
        </w:tc>
        <w:tc>
          <w:tcPr/>
          <w:p>
            <w:pPr>
              <w:pStyle w:val="Compact"/>
            </w:pPr>
            <w:hyperlink r:id="rId71">
              <w:r>
                <w:rPr>
                  <w:rStyle w:val="Hyperlink"/>
                </w:rPr>
                <w:t xml:space="preserve">https://www.sciencedirect.com/journal/american-journal-of-obstetrics-and-gynecology/vol/212/issue/1/suppl/S</w:t>
              </w:r>
            </w:hyperlink>
          </w:p>
        </w:tc>
        <w:tc>
          <w:tcPr/>
          <w:p>
            <w:pPr>
              <w:pStyle w:val="Compact"/>
            </w:pPr>
            <w:r>
              <w:t xml:space="preserve">10.1016/j.ajog.2014.11.xxx</w:t>
            </w:r>
          </w:p>
        </w:tc>
      </w:tr>
      <w:tr>
        <w:tc>
          <w:tcPr/>
          <w:p>
            <w:pPr>
              <w:pStyle w:val="Compact"/>
            </w:pPr>
            <w:r>
              <w:t xml:space="preserve">2014</w:t>
            </w:r>
          </w:p>
        </w:tc>
        <w:tc>
          <w:tcPr/>
          <w:p>
            <w:pPr>
              <w:pStyle w:val="Compact"/>
            </w:pPr>
            <w:r>
              <w:t xml:space="preserve">34th</w:t>
            </w:r>
          </w:p>
        </w:tc>
        <w:tc>
          <w:tcPr/>
          <w:p>
            <w:pPr>
              <w:pStyle w:val="Compact"/>
            </w:pPr>
            <w:r>
              <w:t xml:space="preserve">210</w:t>
            </w:r>
          </w:p>
        </w:tc>
        <w:tc>
          <w:tcPr/>
          <w:p>
            <w:pPr>
              <w:pStyle w:val="Compact"/>
            </w:pPr>
            <w:r>
              <w:t xml:space="preserve">1, Suppl S</w:t>
            </w:r>
          </w:p>
        </w:tc>
        <w:tc>
          <w:tcPr/>
          <w:p>
            <w:pPr>
              <w:pStyle w:val="Compact"/>
            </w:pPr>
            <w:hyperlink r:id="rId72">
              <w:r>
                <w:rPr>
                  <w:rStyle w:val="Hyperlink"/>
                </w:rPr>
                <w:t xml:space="preserve">https://www.sciencedirect.com/journal/american-journal-of-obstetrics-and-gynecology/vol/210/issue/1/suppl/S</w:t>
              </w:r>
            </w:hyperlink>
          </w:p>
        </w:tc>
        <w:tc>
          <w:tcPr/>
          <w:p>
            <w:pPr>
              <w:pStyle w:val="Compact"/>
            </w:pPr>
            <w:r>
              <w:t xml:space="preserve">10.1016/j.ajog.2013.11.xxx</w:t>
            </w:r>
          </w:p>
        </w:tc>
      </w:tr>
      <w:tr>
        <w:tc>
          <w:tcPr/>
          <w:p>
            <w:pPr>
              <w:pStyle w:val="Compact"/>
            </w:pPr>
            <w:r>
              <w:t xml:space="preserve">2013</w:t>
            </w:r>
          </w:p>
        </w:tc>
        <w:tc>
          <w:tcPr/>
          <w:p>
            <w:pPr>
              <w:pStyle w:val="Compact"/>
            </w:pPr>
            <w:r>
              <w:t xml:space="preserve">33rd</w:t>
            </w:r>
          </w:p>
        </w:tc>
        <w:tc>
          <w:tcPr/>
          <w:p>
            <w:pPr>
              <w:pStyle w:val="Compact"/>
            </w:pPr>
            <w:r>
              <w:t xml:space="preserve">208</w:t>
            </w:r>
          </w:p>
        </w:tc>
        <w:tc>
          <w:tcPr/>
          <w:p>
            <w:pPr>
              <w:pStyle w:val="Compact"/>
            </w:pPr>
            <w:r>
              <w:t xml:space="preserve">1, Suppl S</w:t>
            </w:r>
          </w:p>
        </w:tc>
        <w:tc>
          <w:tcPr/>
          <w:p>
            <w:pPr>
              <w:pStyle w:val="Compact"/>
            </w:pPr>
            <w:hyperlink r:id="rId73">
              <w:r>
                <w:rPr>
                  <w:rStyle w:val="Hyperlink"/>
                </w:rPr>
                <w:t xml:space="preserve">https://www.sciencedirect.com/journal/american-journal-of-obstetrics-and-gynecology/vol/208/issue/1/suppl/S</w:t>
              </w:r>
            </w:hyperlink>
          </w:p>
        </w:tc>
        <w:tc>
          <w:tcPr/>
          <w:p>
            <w:pPr>
              <w:pStyle w:val="Compact"/>
            </w:pPr>
            <w:r>
              <w:t xml:space="preserve">10.1016/j.ajog.2012.11.xxx</w:t>
            </w:r>
          </w:p>
        </w:tc>
      </w:tr>
    </w:tbl>
    <w:p>
      <w:pPr>
        <w:pStyle w:val="BodyText"/>
      </w:pPr>
      <w:r>
        <w:rPr>
          <w:b/>
          <w:bCs/>
        </w:rPr>
        <w:t xml:space="preserve">DOI uniqueness confirmed:</w:t>
      </w:r>
      <w:r>
        <w:t xml:space="preserve"> </w:t>
      </w:r>
      <w:r>
        <w:t xml:space="preserve">Individual abstract DOIs increment sequentially within each supplement. Because AJOG is hosted on ScienceDirect (Elsevier) — the same platform as JMIG — the existing</w:t>
      </w:r>
      <w:r>
        <w:t xml:space="preserve"> </w:t>
      </w:r>
      <w:r>
        <w:rPr>
          <w:rStyle w:val="VerbatimChar"/>
        </w:rPr>
        <w:t xml:space="preserve">backfill_affiliations_from_cache.R</w:t>
      </w:r>
      <w:r>
        <w:t xml:space="preserve">,</w:t>
      </w:r>
      <w:r>
        <w:t xml:space="preserve"> </w:t>
      </w:r>
      <w:r>
        <w:rPr>
          <w:rStyle w:val="VerbatimChar"/>
        </w:rPr>
        <w:t xml:space="preserve">01b_parse_web.R</w:t>
      </w:r>
      <w:r>
        <w:t xml:space="preserve">, and</w:t>
      </w:r>
      <w:r>
        <w:t xml:space="preserve"> </w:t>
      </w:r>
      <w:r>
        <w:rPr>
          <w:rStyle w:val="VerbatimChar"/>
        </w:rPr>
        <w:t xml:space="preserve">03c_doi_chain_search.R</w:t>
      </w:r>
      <w:r>
        <w:t xml:space="preserve"> </w:t>
      </w:r>
      <w:r>
        <w:t xml:space="preserve">scripts can be adapted for SMFM with minimal modification, primarily updating the journal-specific URL patterns and PII extraction logic.</w:t>
      </w:r>
    </w:p>
    <w:p>
      <w:pPr>
        <w:pStyle w:val="BodyText"/>
      </w:pPr>
      <w:r>
        <w:rPr>
          <w:i/>
          <w:iCs/>
        </w:rPr>
        <w:t xml:space="preserve">Sources: ScienceDirect AJOG special issues index;</w:t>
      </w:r>
      <w:r>
        <w:rPr>
          <w:i/>
          <w:iCs/>
        </w:rPr>
        <w:t xml:space="preserve"> </w:t>
      </w:r>
      <w:hyperlink r:id="rId74">
        <w:r>
          <w:rPr>
            <w:rStyle w:val="Hyperlink"/>
            <w:i/>
            <w:iCs/>
          </w:rPr>
          <w:t xml:space="preserve">https://publications.smfm.org/</w:t>
        </w:r>
      </w:hyperlink>
    </w:p>
    <w:bookmarkEnd w:id="75"/>
    <w:bookmarkStart w:id="76" w:name="X0194632da0eacb2919432c7e09a49e6d1a40992"/>
    <w:p>
      <w:pPr>
        <w:pStyle w:val="Heading3"/>
      </w:pPr>
      <w:r>
        <w:t xml:space="preserve">A11.11 ASRM Abstract Supplement URLs (2013–2023)</w:t>
      </w:r>
    </w:p>
    <w:p>
      <w:pPr>
        <w:pStyle w:val="FirstParagraph"/>
      </w:pPr>
      <w:r>
        <w:t xml:space="preserve">ASRM (American Society for Reproductive Medicine) annual meeting abstracts are published as supplement issues of</w:t>
      </w:r>
      <w:r>
        <w:t xml:space="preserve"> </w:t>
      </w:r>
      <w:r>
        <w:rPr>
          <w:i/>
          <w:iCs/>
        </w:rPr>
        <w:t xml:space="preserve">Fertility and Sterility</w:t>
      </w:r>
      <w:r>
        <w:t xml:space="preserve"> </w:t>
      </w:r>
      <w:r>
        <w:t xml:space="preserve">(ISSN 0015-0282) on ScienceDirect (Elsevier).</w:t>
      </w:r>
      <w:r>
        <w:t xml:space="preserve"> </w:t>
      </w:r>
      <w:r>
        <w:rPr>
          <w:b/>
          <w:bCs/>
        </w:rPr>
        <w:t xml:space="preserve">Every abstract receives a unique DOI</w:t>
      </w:r>
      <w:r>
        <w:t xml:space="preserve"> </w:t>
      </w:r>
      <w:r>
        <w:t xml:space="preserve">in the format</w:t>
      </w:r>
      <w:r>
        <w:t xml:space="preserve"> </w:t>
      </w:r>
      <w:r>
        <w:rPr>
          <w:rStyle w:val="VerbatimChar"/>
        </w:rPr>
        <w:t xml:space="preserve">10.1016/j.fertnstert.YYYY.MM.NNN</w:t>
      </w:r>
      <w:r>
        <w:t xml:space="preserve">, where NNN is a sequential article number. DOI uniqueness is guaranteed by the DOI standard, enforced by CrossRef at ingestion (duplicates are rejected), and confirmed by spot-check of 50 sampled DOIs across years.</w:t>
      </w:r>
    </w:p>
    <w:p>
      <w:pPr>
        <w:pStyle w:val="BodyText"/>
      </w:pPr>
      <w:r>
        <w:t xml:space="preserve">Because</w:t>
      </w:r>
      <w:r>
        <w:t xml:space="preserve"> </w:t>
      </w:r>
      <w:r>
        <w:rPr>
          <w:i/>
          <w:iCs/>
        </w:rPr>
        <w:t xml:space="preserve">Fertility and Sterility</w:t>
      </w:r>
      <w:r>
        <w:t xml:space="preserve"> </w:t>
      </w:r>
      <w:r>
        <w:t xml:space="preserve">is hosted on ScienceDirect (Elsevier) — the same platform as JMIG and AJOG — the existing pipeline components for DOI-chain search, ScienceDirect HTML affiliation extraction, and web scraping apply directly.</w:t>
      </w:r>
    </w:p>
    <w:p>
      <w:pPr>
        <w:pStyle w:val="BodyText"/>
      </w:pPr>
      <w:r>
        <w:rPr>
          <w:b/>
          <w:bCs/>
        </w:rPr>
        <w:t xml:space="preserve">Note:</w:t>
      </w:r>
      <w:r>
        <w:t xml:space="preserve"> </w:t>
      </w:r>
      <w:r>
        <w:t xml:space="preserve">Full supplement browsing requires institutional ScienceDirect authentication (fertstert.org and sciencedirect.com return 403 for unauthenticated access). Individual abstracts resolve publicly via</w:t>
      </w:r>
      <w:r>
        <w:t xml:space="preserve"> </w:t>
      </w:r>
      <w:r>
        <w:rPr>
          <w:rStyle w:val="VerbatimChar"/>
        </w:rPr>
        <w:t xml:space="preserve">https://doi.org/10.1016/j.fertnstert.YYYY.MM.NNN</w:t>
      </w:r>
      <w:r>
        <w:t xml:space="preserve">. PubMed indexes selected abstracts from these supplements and is freely accessible.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ASRM Meeting</w:t>
            </w:r>
          </w:p>
        </w:tc>
        <w:tc>
          <w:tcPr/>
          <w:p>
            <w:pPr>
              <w:pStyle w:val="Compact"/>
            </w:pPr>
            <w:r>
              <w:t xml:space="preserve">Volume</w:t>
            </w:r>
          </w:p>
        </w:tc>
        <w:tc>
          <w:tcPr/>
          <w:p>
            <w:pPr>
              <w:pStyle w:val="Compact"/>
            </w:pPr>
            <w:r>
              <w:t xml:space="preserve">Issue</w:t>
            </w:r>
          </w:p>
        </w:tc>
        <w:tc>
          <w:tcPr/>
          <w:p>
            <w:pPr>
              <w:pStyle w:val="Compact"/>
            </w:pPr>
            <w:r>
              <w:t xml:space="preserve">DOI Pattern</w:t>
            </w:r>
          </w:p>
        </w:tc>
      </w:tr>
      <w:tr>
        <w:tc>
          <w:tcPr/>
          <w:p>
            <w:pPr>
              <w:pStyle w:val="Compact"/>
            </w:pPr>
            <w:r>
              <w:t xml:space="preserve">2023</w:t>
            </w:r>
          </w:p>
        </w:tc>
        <w:tc>
          <w:tcPr/>
          <w:p>
            <w:pPr>
              <w:pStyle w:val="Compact"/>
            </w:pPr>
            <w:r>
              <w:t xml:space="preserve">79th Annual</w:t>
            </w:r>
          </w:p>
        </w:tc>
        <w:tc>
          <w:tcPr/>
          <w:p>
            <w:pPr>
              <w:pStyle w:val="Compact"/>
            </w:pPr>
            <w:r>
              <w:t xml:space="preserve">120</w:t>
            </w:r>
          </w:p>
        </w:tc>
        <w:tc>
          <w:tcPr/>
          <w:p>
            <w:pPr>
              <w:pStyle w:val="Compact"/>
            </w:pPr>
            <w:r>
              <w:t xml:space="preserve">4</w:t>
            </w:r>
          </w:p>
        </w:tc>
        <w:tc>
          <w:tcPr/>
          <w:p>
            <w:pPr>
              <w:pStyle w:val="Compact"/>
            </w:pPr>
            <w:r>
              <w:t xml:space="preserve">10.1016/j.fertnstert.2023.MM.xxx</w:t>
            </w:r>
          </w:p>
        </w:tc>
      </w:tr>
      <w:tr>
        <w:tc>
          <w:tcPr/>
          <w:p>
            <w:pPr>
              <w:pStyle w:val="Compact"/>
            </w:pPr>
            <w:r>
              <w:t xml:space="preserve">2022</w:t>
            </w:r>
          </w:p>
        </w:tc>
        <w:tc>
          <w:tcPr/>
          <w:p>
            <w:pPr>
              <w:pStyle w:val="Compact"/>
            </w:pPr>
            <w:r>
              <w:t xml:space="preserve">78th Annual</w:t>
            </w:r>
          </w:p>
        </w:tc>
        <w:tc>
          <w:tcPr/>
          <w:p>
            <w:pPr>
              <w:pStyle w:val="Compact"/>
            </w:pPr>
            <w:r>
              <w:t xml:space="preserve">118</w:t>
            </w:r>
          </w:p>
        </w:tc>
        <w:tc>
          <w:tcPr/>
          <w:p>
            <w:pPr>
              <w:pStyle w:val="Compact"/>
            </w:pPr>
            <w:r>
              <w:t xml:space="preserve">4</w:t>
            </w:r>
          </w:p>
        </w:tc>
        <w:tc>
          <w:tcPr/>
          <w:p>
            <w:pPr>
              <w:pStyle w:val="Compact"/>
            </w:pPr>
            <w:r>
              <w:t xml:space="preserve">10.1016/j.fertnstert.2022.MM.xxx</w:t>
            </w:r>
          </w:p>
        </w:tc>
      </w:tr>
      <w:tr>
        <w:tc>
          <w:tcPr/>
          <w:p>
            <w:pPr>
              <w:pStyle w:val="Compact"/>
            </w:pPr>
            <w:r>
              <w:t xml:space="preserve">2021</w:t>
            </w:r>
          </w:p>
        </w:tc>
        <w:tc>
          <w:tcPr/>
          <w:p>
            <w:pPr>
              <w:pStyle w:val="Compact"/>
            </w:pPr>
            <w:r>
              <w:t xml:space="preserve">77th Annual</w:t>
            </w:r>
          </w:p>
        </w:tc>
        <w:tc>
          <w:tcPr/>
          <w:p>
            <w:pPr>
              <w:pStyle w:val="Compact"/>
            </w:pPr>
            <w:r>
              <w:t xml:space="preserve">116</w:t>
            </w:r>
          </w:p>
        </w:tc>
        <w:tc>
          <w:tcPr/>
          <w:p>
            <w:pPr>
              <w:pStyle w:val="Compact"/>
            </w:pPr>
            <w:r>
              <w:t xml:space="preserve">3</w:t>
            </w:r>
          </w:p>
        </w:tc>
        <w:tc>
          <w:tcPr/>
          <w:p>
            <w:pPr>
              <w:pStyle w:val="Compact"/>
            </w:pPr>
            <w:r>
              <w:t xml:space="preserve">10.1016/j.fertnstert.2021.MM.xxx</w:t>
            </w:r>
          </w:p>
        </w:tc>
      </w:tr>
      <w:tr>
        <w:tc>
          <w:tcPr/>
          <w:p>
            <w:pPr>
              <w:pStyle w:val="Compact"/>
            </w:pPr>
            <w:r>
              <w:t xml:space="preserve">2020</w:t>
            </w:r>
          </w:p>
        </w:tc>
        <w:tc>
          <w:tcPr/>
          <w:p>
            <w:pPr>
              <w:pStyle w:val="Compact"/>
            </w:pPr>
            <w:r>
              <w:t xml:space="preserve">76th Annual</w:t>
            </w:r>
          </w:p>
        </w:tc>
        <w:tc>
          <w:tcPr/>
          <w:p>
            <w:pPr>
              <w:pStyle w:val="Compact"/>
            </w:pPr>
            <w:r>
              <w:t xml:space="preserve">114</w:t>
            </w:r>
          </w:p>
        </w:tc>
        <w:tc>
          <w:tcPr/>
          <w:p>
            <w:pPr>
              <w:pStyle w:val="Compact"/>
            </w:pPr>
            <w:r>
              <w:t xml:space="preserve">3</w:t>
            </w:r>
          </w:p>
        </w:tc>
        <w:tc>
          <w:tcPr/>
          <w:p>
            <w:pPr>
              <w:pStyle w:val="Compact"/>
            </w:pPr>
            <w:r>
              <w:t xml:space="preserve">10.1016/j.fertnstert.2020.MM.xxx</w:t>
            </w:r>
          </w:p>
        </w:tc>
      </w:tr>
      <w:tr>
        <w:tc>
          <w:tcPr/>
          <w:p>
            <w:pPr>
              <w:pStyle w:val="Compact"/>
            </w:pPr>
            <w:r>
              <w:t xml:space="preserve">2019</w:t>
            </w:r>
          </w:p>
        </w:tc>
        <w:tc>
          <w:tcPr/>
          <w:p>
            <w:pPr>
              <w:pStyle w:val="Compact"/>
            </w:pPr>
            <w:r>
              <w:t xml:space="preserve">75th Annual</w:t>
            </w:r>
          </w:p>
        </w:tc>
        <w:tc>
          <w:tcPr/>
          <w:p>
            <w:pPr>
              <w:pStyle w:val="Compact"/>
            </w:pPr>
            <w:r>
              <w:t xml:space="preserve">112</w:t>
            </w:r>
          </w:p>
        </w:tc>
        <w:tc>
          <w:tcPr/>
          <w:p>
            <w:pPr>
              <w:pStyle w:val="Compact"/>
            </w:pPr>
            <w:r>
              <w:t xml:space="preserve">3</w:t>
            </w:r>
          </w:p>
        </w:tc>
        <w:tc>
          <w:tcPr/>
          <w:p>
            <w:pPr>
              <w:pStyle w:val="Compact"/>
            </w:pPr>
            <w:r>
              <w:t xml:space="preserve">10.1016/j.fertnstert.2019.MM.xxx</w:t>
            </w:r>
          </w:p>
        </w:tc>
      </w:tr>
      <w:tr>
        <w:tc>
          <w:tcPr/>
          <w:p>
            <w:pPr>
              <w:pStyle w:val="Compact"/>
            </w:pPr>
            <w:r>
              <w:t xml:space="preserve">2018</w:t>
            </w:r>
          </w:p>
        </w:tc>
        <w:tc>
          <w:tcPr/>
          <w:p>
            <w:pPr>
              <w:pStyle w:val="Compact"/>
            </w:pPr>
            <w:r>
              <w:t xml:space="preserve">74th Annual</w:t>
            </w:r>
          </w:p>
        </w:tc>
        <w:tc>
          <w:tcPr/>
          <w:p>
            <w:pPr>
              <w:pStyle w:val="Compact"/>
            </w:pPr>
            <w:r>
              <w:t xml:space="preserve">110</w:t>
            </w:r>
          </w:p>
        </w:tc>
        <w:tc>
          <w:tcPr/>
          <w:p>
            <w:pPr>
              <w:pStyle w:val="Compact"/>
            </w:pPr>
            <w:r>
              <w:t xml:space="preserve">4</w:t>
            </w:r>
          </w:p>
        </w:tc>
        <w:tc>
          <w:tcPr/>
          <w:p>
            <w:pPr>
              <w:pStyle w:val="Compact"/>
            </w:pPr>
            <w:r>
              <w:t xml:space="preserve">10.1016/j.fertnstert.2018.MM.xxx</w:t>
            </w:r>
          </w:p>
        </w:tc>
      </w:tr>
      <w:tr>
        <w:tc>
          <w:tcPr/>
          <w:p>
            <w:pPr>
              <w:pStyle w:val="Compact"/>
            </w:pPr>
            <w:r>
              <w:t xml:space="preserve">2017</w:t>
            </w:r>
          </w:p>
        </w:tc>
        <w:tc>
          <w:tcPr/>
          <w:p>
            <w:pPr>
              <w:pStyle w:val="Compact"/>
            </w:pPr>
            <w:r>
              <w:t xml:space="preserve">73rd Annual</w:t>
            </w:r>
          </w:p>
        </w:tc>
        <w:tc>
          <w:tcPr/>
          <w:p>
            <w:pPr>
              <w:pStyle w:val="Compact"/>
            </w:pPr>
            <w:r>
              <w:t xml:space="preserve">108</w:t>
            </w:r>
          </w:p>
        </w:tc>
        <w:tc>
          <w:tcPr/>
          <w:p>
            <w:pPr>
              <w:pStyle w:val="Compact"/>
            </w:pPr>
            <w:r>
              <w:t xml:space="preserve">3</w:t>
            </w:r>
          </w:p>
        </w:tc>
        <w:tc>
          <w:tcPr/>
          <w:p>
            <w:pPr>
              <w:pStyle w:val="Compact"/>
            </w:pPr>
            <w:r>
              <w:t xml:space="preserve">10.1016/j.fertnstert.2017.MM.xxx</w:t>
            </w:r>
          </w:p>
        </w:tc>
      </w:tr>
      <w:tr>
        <w:tc>
          <w:tcPr/>
          <w:p>
            <w:pPr>
              <w:pStyle w:val="Compact"/>
            </w:pPr>
            <w:r>
              <w:t xml:space="preserve">2016</w:t>
            </w:r>
          </w:p>
        </w:tc>
        <w:tc>
          <w:tcPr/>
          <w:p>
            <w:pPr>
              <w:pStyle w:val="Compact"/>
            </w:pPr>
            <w:r>
              <w:t xml:space="preserve">72nd Annual</w:t>
            </w:r>
          </w:p>
        </w:tc>
        <w:tc>
          <w:tcPr/>
          <w:p>
            <w:pPr>
              <w:pStyle w:val="Compact"/>
            </w:pPr>
            <w:r>
              <w:t xml:space="preserve">106</w:t>
            </w:r>
          </w:p>
        </w:tc>
        <w:tc>
          <w:tcPr/>
          <w:p>
            <w:pPr>
              <w:pStyle w:val="Compact"/>
            </w:pPr>
            <w:r>
              <w:t xml:space="preserve">3</w:t>
            </w:r>
          </w:p>
        </w:tc>
        <w:tc>
          <w:tcPr/>
          <w:p>
            <w:pPr>
              <w:pStyle w:val="Compact"/>
            </w:pPr>
            <w:r>
              <w:t xml:space="preserve">10.1016/j.fertnstert.2016.MM.xxx</w:t>
            </w:r>
          </w:p>
        </w:tc>
      </w:tr>
      <w:tr>
        <w:tc>
          <w:tcPr/>
          <w:p>
            <w:pPr>
              <w:pStyle w:val="Compact"/>
            </w:pPr>
            <w:r>
              <w:t xml:space="preserve">2015</w:t>
            </w:r>
          </w:p>
        </w:tc>
        <w:tc>
          <w:tcPr/>
          <w:p>
            <w:pPr>
              <w:pStyle w:val="Compact"/>
            </w:pPr>
            <w:r>
              <w:t xml:space="preserve">71st Annual</w:t>
            </w:r>
          </w:p>
        </w:tc>
        <w:tc>
          <w:tcPr/>
          <w:p>
            <w:pPr>
              <w:pStyle w:val="Compact"/>
            </w:pPr>
            <w:r>
              <w:t xml:space="preserve">104</w:t>
            </w:r>
          </w:p>
        </w:tc>
        <w:tc>
          <w:tcPr/>
          <w:p>
            <w:pPr>
              <w:pStyle w:val="Compact"/>
            </w:pPr>
            <w:r>
              <w:t xml:space="preserve">3</w:t>
            </w:r>
          </w:p>
        </w:tc>
        <w:tc>
          <w:tcPr/>
          <w:p>
            <w:pPr>
              <w:pStyle w:val="Compact"/>
            </w:pPr>
            <w:r>
              <w:t xml:space="preserve">10.1016/j.fertnstert.2015.MM.xxx</w:t>
            </w:r>
          </w:p>
        </w:tc>
      </w:tr>
      <w:tr>
        <w:tc>
          <w:tcPr/>
          <w:p>
            <w:pPr>
              <w:pStyle w:val="Compact"/>
            </w:pPr>
            <w:r>
              <w:t xml:space="preserve">2014</w:t>
            </w:r>
          </w:p>
        </w:tc>
        <w:tc>
          <w:tcPr/>
          <w:p>
            <w:pPr>
              <w:pStyle w:val="Compact"/>
            </w:pPr>
            <w:r>
              <w:t xml:space="preserve">70th Annual</w:t>
            </w:r>
          </w:p>
        </w:tc>
        <w:tc>
          <w:tcPr/>
          <w:p>
            <w:pPr>
              <w:pStyle w:val="Compact"/>
            </w:pPr>
            <w:r>
              <w:t xml:space="preserve">102</w:t>
            </w:r>
          </w:p>
        </w:tc>
        <w:tc>
          <w:tcPr/>
          <w:p>
            <w:pPr>
              <w:pStyle w:val="Compact"/>
            </w:pPr>
            <w:r>
              <w:t xml:space="preserve">3</w:t>
            </w:r>
          </w:p>
        </w:tc>
        <w:tc>
          <w:tcPr/>
          <w:p>
            <w:pPr>
              <w:pStyle w:val="Compact"/>
            </w:pPr>
            <w:r>
              <w:t xml:space="preserve">10.1016/j.fertnstert.2014.MM.xxx</w:t>
            </w:r>
          </w:p>
        </w:tc>
      </w:tr>
      <w:tr>
        <w:tc>
          <w:tcPr/>
          <w:p>
            <w:pPr>
              <w:pStyle w:val="Compact"/>
            </w:pPr>
            <w:r>
              <w:t xml:space="preserve">2013</w:t>
            </w:r>
          </w:p>
        </w:tc>
        <w:tc>
          <w:tcPr/>
          <w:p>
            <w:pPr>
              <w:pStyle w:val="Compact"/>
            </w:pPr>
            <w:r>
              <w:t xml:space="preserve">69th Annual</w:t>
            </w:r>
          </w:p>
        </w:tc>
        <w:tc>
          <w:tcPr/>
          <w:p>
            <w:pPr>
              <w:pStyle w:val="Compact"/>
            </w:pPr>
            <w:r>
              <w:t xml:space="preserve">100</w:t>
            </w:r>
          </w:p>
        </w:tc>
        <w:tc>
          <w:tcPr/>
          <w:p>
            <w:pPr>
              <w:pStyle w:val="Compact"/>
            </w:pPr>
            <w:r>
              <w:t xml:space="preserve">3</w:t>
            </w:r>
          </w:p>
        </w:tc>
        <w:tc>
          <w:tcPr/>
          <w:p>
            <w:pPr>
              <w:pStyle w:val="Compact"/>
            </w:pPr>
            <w:r>
              <w:t xml:space="preserve">10.1016/j.fertnstert.2013.MM.xxx</w:t>
            </w:r>
          </w:p>
        </w:tc>
      </w:tr>
    </w:tbl>
    <w:p>
      <w:pPr>
        <w:pStyle w:val="BodyText"/>
      </w:pPr>
      <w:r>
        <w:rPr>
          <w:b/>
          <w:bCs/>
        </w:rPr>
        <w:t xml:space="preserve">Abstract counts per year (CrossRef):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DOIs indexed in CrossRef</w:t>
            </w:r>
          </w:p>
        </w:tc>
      </w:tr>
      <w:tr>
        <w:tc>
          <w:tcPr/>
          <w:p>
            <w:pPr>
              <w:pStyle w:val="Compact"/>
            </w:pPr>
            <w:r>
              <w:t xml:space="preserve">2023</w:t>
            </w:r>
          </w:p>
        </w:tc>
        <w:tc>
          <w:tcPr/>
          <w:p>
            <w:pPr>
              <w:pStyle w:val="Compact"/>
            </w:pPr>
            <w:r>
              <w:t xml:space="preserve">940</w:t>
            </w:r>
          </w:p>
        </w:tc>
      </w:tr>
      <w:tr>
        <w:tc>
          <w:tcPr/>
          <w:p>
            <w:pPr>
              <w:pStyle w:val="Compact"/>
            </w:pPr>
            <w:r>
              <w:t xml:space="preserve">2022</w:t>
            </w:r>
          </w:p>
        </w:tc>
        <w:tc>
          <w:tcPr/>
          <w:p>
            <w:pPr>
              <w:pStyle w:val="Compact"/>
            </w:pPr>
            <w:r>
              <w:t xml:space="preserve">1,142</w:t>
            </w:r>
          </w:p>
        </w:tc>
      </w:tr>
      <w:tr>
        <w:tc>
          <w:tcPr/>
          <w:p>
            <w:pPr>
              <w:pStyle w:val="Compact"/>
            </w:pPr>
            <w:r>
              <w:t xml:space="preserve">2021</w:t>
            </w:r>
          </w:p>
        </w:tc>
        <w:tc>
          <w:tcPr/>
          <w:p>
            <w:pPr>
              <w:pStyle w:val="Compact"/>
            </w:pPr>
            <w:r>
              <w:t xml:space="preserve">1,239</w:t>
            </w:r>
          </w:p>
        </w:tc>
      </w:tr>
      <w:tr>
        <w:tc>
          <w:tcPr/>
          <w:p>
            <w:pPr>
              <w:pStyle w:val="Compact"/>
            </w:pPr>
            <w:r>
              <w:t xml:space="preserve">2020</w:t>
            </w:r>
          </w:p>
        </w:tc>
        <w:tc>
          <w:tcPr/>
          <w:p>
            <w:pPr>
              <w:pStyle w:val="Compact"/>
            </w:pPr>
            <w:r>
              <w:t xml:space="preserve">1,456</w:t>
            </w:r>
          </w:p>
        </w:tc>
      </w:tr>
      <w:tr>
        <w:tc>
          <w:tcPr/>
          <w:p>
            <w:pPr>
              <w:pStyle w:val="Compact"/>
            </w:pPr>
            <w:r>
              <w:t xml:space="preserve">2019</w:t>
            </w:r>
          </w:p>
        </w:tc>
        <w:tc>
          <w:tcPr/>
          <w:p>
            <w:pPr>
              <w:pStyle w:val="Compact"/>
            </w:pPr>
            <w:r>
              <w:t xml:space="preserve">1,259</w:t>
            </w:r>
          </w:p>
        </w:tc>
      </w:tr>
      <w:tr>
        <w:tc>
          <w:tcPr/>
          <w:p>
            <w:pPr>
              <w:pStyle w:val="Compact"/>
            </w:pPr>
            <w:r>
              <w:t xml:space="preserve">2018</w:t>
            </w:r>
          </w:p>
        </w:tc>
        <w:tc>
          <w:tcPr/>
          <w:p>
            <w:pPr>
              <w:pStyle w:val="Compact"/>
            </w:pPr>
            <w:r>
              <w:t xml:space="preserve">1,214</w:t>
            </w:r>
          </w:p>
        </w:tc>
      </w:tr>
      <w:tr>
        <w:tc>
          <w:tcPr/>
          <w:p>
            <w:pPr>
              <w:pStyle w:val="Compact"/>
            </w:pPr>
            <w:r>
              <w:t xml:space="preserve">2017</w:t>
            </w:r>
          </w:p>
        </w:tc>
        <w:tc>
          <w:tcPr/>
          <w:p>
            <w:pPr>
              <w:pStyle w:val="Compact"/>
            </w:pPr>
            <w:r>
              <w:t xml:space="preserve">1,111</w:t>
            </w:r>
          </w:p>
        </w:tc>
      </w:tr>
      <w:tr>
        <w:tc>
          <w:tcPr/>
          <w:p>
            <w:pPr>
              <w:pStyle w:val="Compact"/>
            </w:pPr>
            <w:r>
              <w:t xml:space="preserve">2016</w:t>
            </w:r>
          </w:p>
        </w:tc>
        <w:tc>
          <w:tcPr/>
          <w:p>
            <w:pPr>
              <w:pStyle w:val="Compact"/>
            </w:pPr>
            <w:r>
              <w:t xml:space="preserve">1,147</w:t>
            </w:r>
          </w:p>
        </w:tc>
      </w:tr>
      <w:tr>
        <w:tc>
          <w:tcPr/>
          <w:p>
            <w:pPr>
              <w:pStyle w:val="Compact"/>
            </w:pPr>
            <w:r>
              <w:t xml:space="preserve">2015</w:t>
            </w:r>
          </w:p>
        </w:tc>
        <w:tc>
          <w:tcPr/>
          <w:p>
            <w:pPr>
              <w:pStyle w:val="Compact"/>
            </w:pPr>
            <w:r>
              <w:t xml:space="preserve">1,153</w:t>
            </w:r>
          </w:p>
        </w:tc>
      </w:tr>
      <w:tr>
        <w:tc>
          <w:tcPr/>
          <w:p>
            <w:pPr>
              <w:pStyle w:val="Compact"/>
            </w:pPr>
            <w:r>
              <w:t xml:space="preserve">2014</w:t>
            </w:r>
          </w:p>
        </w:tc>
        <w:tc>
          <w:tcPr/>
          <w:p>
            <w:pPr>
              <w:pStyle w:val="Compact"/>
            </w:pPr>
            <w:r>
              <w:t xml:space="preserve">1,227</w:t>
            </w:r>
          </w:p>
        </w:tc>
      </w:tr>
      <w:tr>
        <w:tc>
          <w:tcPr/>
          <w:p>
            <w:pPr>
              <w:pStyle w:val="Compact"/>
            </w:pPr>
            <w:r>
              <w:t xml:space="preserve">2013</w:t>
            </w:r>
          </w:p>
        </w:tc>
        <w:tc>
          <w:tcPr/>
          <w:p>
            <w:pPr>
              <w:pStyle w:val="Compact"/>
            </w:pPr>
            <w:r>
              <w:t xml:space="preserve">2,010</w:t>
            </w:r>
          </w:p>
        </w:tc>
      </w:tr>
    </w:tbl>
    <w:p>
      <w:pPr>
        <w:pStyle w:val="BodyText"/>
      </w:pPr>
      <w:r>
        <w:rPr>
          <w:b/>
          <w:bCs/>
        </w:rPr>
        <w:t xml:space="preserve">Advance program DOIs</w:t>
      </w:r>
      <w:r>
        <w:t xml:space="preserve"> </w:t>
      </w:r>
      <w:r>
        <w:t xml:space="preserve">(publicly resolvable</w:t>
      </w:r>
      <w:r>
        <w:t xml:space="preserve"> </w:t>
      </w:r>
      <w:r>
        <w:t xml:space="preserve">“Scientific Papers to Be Presented”</w:t>
      </w:r>
      <w:r>
        <w:t xml:space="preserve"> </w:t>
      </w:r>
      <w:r>
        <w:t xml:space="preserve">TOC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Advance Program DOI</w:t>
            </w:r>
          </w:p>
        </w:tc>
      </w:tr>
      <w:tr>
        <w:tc>
          <w:tcPr/>
          <w:p>
            <w:pPr>
              <w:pStyle w:val="Compact"/>
            </w:pPr>
            <w:r>
              <w:t xml:space="preserve">2013</w:t>
            </w:r>
          </w:p>
        </w:tc>
        <w:tc>
          <w:tcPr/>
          <w:p>
            <w:pPr>
              <w:pStyle w:val="Compact"/>
            </w:pPr>
            <w:r>
              <w:t xml:space="preserve">10.1016/j.fertnstert.2013.01.001</w:t>
            </w:r>
          </w:p>
        </w:tc>
      </w:tr>
      <w:tr>
        <w:tc>
          <w:tcPr/>
          <w:p>
            <w:pPr>
              <w:pStyle w:val="Compact"/>
            </w:pPr>
            <w:r>
              <w:t xml:space="preserve">2014</w:t>
            </w:r>
          </w:p>
        </w:tc>
        <w:tc>
          <w:tcPr/>
          <w:p>
            <w:pPr>
              <w:pStyle w:val="Compact"/>
            </w:pPr>
            <w:r>
              <w:t xml:space="preserve">10.1016/j.fertnstert.2013.11.036</w:t>
            </w:r>
          </w:p>
        </w:tc>
      </w:tr>
      <w:tr>
        <w:tc>
          <w:tcPr/>
          <w:p>
            <w:pPr>
              <w:pStyle w:val="Compact"/>
            </w:pPr>
            <w:r>
              <w:t xml:space="preserve">2015</w:t>
            </w:r>
          </w:p>
        </w:tc>
        <w:tc>
          <w:tcPr/>
          <w:p>
            <w:pPr>
              <w:pStyle w:val="Compact"/>
            </w:pPr>
            <w:r>
              <w:t xml:space="preserve">10.1016/j.fertnstert.2014.12.002</w:t>
            </w:r>
          </w:p>
        </w:tc>
      </w:tr>
      <w:tr>
        <w:tc>
          <w:tcPr/>
          <w:p>
            <w:pPr>
              <w:pStyle w:val="Compact"/>
            </w:pPr>
            <w:r>
              <w:t xml:space="preserve">2016</w:t>
            </w:r>
          </w:p>
        </w:tc>
        <w:tc>
          <w:tcPr/>
          <w:p>
            <w:pPr>
              <w:pStyle w:val="Compact"/>
            </w:pPr>
            <w:r>
              <w:t xml:space="preserve">10.1016/j.fertnstert.2015.12.123</w:t>
            </w:r>
          </w:p>
        </w:tc>
      </w:tr>
      <w:tr>
        <w:tc>
          <w:tcPr/>
          <w:p>
            <w:pPr>
              <w:pStyle w:val="Compact"/>
            </w:pPr>
            <w:r>
              <w:t xml:space="preserve">2017</w:t>
            </w:r>
          </w:p>
        </w:tc>
        <w:tc>
          <w:tcPr/>
          <w:p>
            <w:pPr>
              <w:pStyle w:val="Compact"/>
            </w:pPr>
            <w:r>
              <w:t xml:space="preserve">10.1016/j.fertnstert.2017.02.003</w:t>
            </w:r>
          </w:p>
        </w:tc>
      </w:tr>
      <w:tr>
        <w:tc>
          <w:tcPr/>
          <w:p>
            <w:pPr>
              <w:pStyle w:val="Compact"/>
            </w:pPr>
            <w:r>
              <w:t xml:space="preserve">2018</w:t>
            </w:r>
          </w:p>
        </w:tc>
        <w:tc>
          <w:tcPr/>
          <w:p>
            <w:pPr>
              <w:pStyle w:val="Compact"/>
            </w:pPr>
            <w:r>
              <w:t xml:space="preserve">10.1016/j.fertnstert.2018.02.014</w:t>
            </w:r>
          </w:p>
        </w:tc>
      </w:tr>
      <w:tr>
        <w:tc>
          <w:tcPr/>
          <w:p>
            <w:pPr>
              <w:pStyle w:val="Compact"/>
            </w:pPr>
            <w:r>
              <w:t xml:space="preserve">2019</w:t>
            </w:r>
          </w:p>
        </w:tc>
        <w:tc>
          <w:tcPr/>
          <w:p>
            <w:pPr>
              <w:pStyle w:val="Compact"/>
            </w:pPr>
            <w:r>
              <w:t xml:space="preserve">10.1016/j.fertnstert.2019.02.032</w:t>
            </w:r>
          </w:p>
        </w:tc>
      </w:tr>
      <w:tr>
        <w:tc>
          <w:tcPr/>
          <w:p>
            <w:pPr>
              <w:pStyle w:val="Compact"/>
            </w:pPr>
            <w:r>
              <w:t xml:space="preserve">2022</w:t>
            </w:r>
          </w:p>
        </w:tc>
        <w:tc>
          <w:tcPr/>
          <w:p>
            <w:pPr>
              <w:pStyle w:val="Compact"/>
            </w:pPr>
            <w:r>
              <w:t xml:space="preserve">10.1016/s0015-0282(22)01984-7</w:t>
            </w:r>
          </w:p>
        </w:tc>
      </w:tr>
    </w:tbl>
    <w:p>
      <w:pPr>
        <w:pStyle w:val="BodyText"/>
      </w:pPr>
      <w:r>
        <w:rPr>
          <w:i/>
          <w:iCs/>
        </w:rPr>
        <w:t xml:space="preserve">Note: Advance program DOIs for 2020, 2021, and 2023 were not recoverable from CrossRef search.</w:t>
      </w:r>
    </w:p>
    <w:p>
      <w:pPr>
        <w:pStyle w:val="BodyText"/>
      </w:pPr>
      <w:r>
        <w:rPr>
          <w:b/>
          <w:bCs/>
        </w:rPr>
        <w:t xml:space="preserve">Comparison with AAGL and SMFM for pipeline reuse:</w:t>
      </w:r>
    </w:p>
    <w:tbl>
      <w:tblPr>
        <w:tblStyle w:val="Table"/>
        <w:tblW w:type="pct" w:w="5000"/>
        <w:tblLayout w:type="fixed"/>
        <w:tblLook w:firstRow="1" w:lastRow="0" w:firstColumn="0" w:lastColumn="0" w:noHBand="0" w:noVBand="0" w:val="0020"/>
      </w:tblPr>
      <w:tblGrid>
        <w:gridCol w:w="1033"/>
        <w:gridCol w:w="1492"/>
        <w:gridCol w:w="1492"/>
        <w:gridCol w:w="1377"/>
        <w:gridCol w:w="2525"/>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r>
      <w:tr>
        <w:tc>
          <w:tcPr/>
          <w:p>
            <w:pPr>
              <w:pStyle w:val="Compact"/>
            </w:pPr>
            <w:r>
              <w:t xml:space="preserve">CrossRef abstract count (avg/year)</w:t>
            </w:r>
          </w:p>
        </w:tc>
        <w:tc>
          <w:tcPr/>
          <w:p>
            <w:pPr>
              <w:pStyle w:val="Compact"/>
            </w:pPr>
            <w:r>
              <w:t xml:space="preserve">~90</w:t>
            </w:r>
          </w:p>
        </w:tc>
        <w:tc>
          <w:tcPr/>
          <w:p>
            <w:pPr>
              <w:pStyle w:val="Compact"/>
            </w:pPr>
            <w:r>
              <w:t xml:space="preserve">~500</w:t>
            </w:r>
          </w:p>
        </w:tc>
        <w:tc>
          <w:tcPr/>
          <w:p>
            <w:pPr>
              <w:pStyle w:val="Compact"/>
            </w:pPr>
            <w:r>
              <w:t xml:space="preserve">~1,300</w:t>
            </w:r>
          </w:p>
        </w:tc>
        <w:tc>
          <w:tcPr/>
          <w:p>
            <w:pPr>
              <w:pStyle w:val="Compact"/>
            </w:pPr>
            <w:r>
              <w:t xml:space="preserve">~400</w:t>
            </w:r>
          </w:p>
        </w:tc>
      </w:tr>
    </w:tbl>
    <w:p>
      <w:pPr>
        <w:pStyle w:val="BodyText"/>
      </w:pPr>
      <w:r>
        <w:t xml:space="preserve">ASRM is the largest of the four societies by abstract volume (~1,100–2,000/year vs. ~90 for AAGL), making it the highest-powered dataset for publication-rate analysis but also the most computationally intensive to process.</w:t>
      </w:r>
    </w:p>
    <w:bookmarkEnd w:id="76"/>
    <w:bookmarkStart w:id="88" w:name="Xe76bb52889b8f468b0dbf41a7eaa3b845bc40a9"/>
    <w:p>
      <w:pPr>
        <w:pStyle w:val="Heading3"/>
      </w:pPr>
      <w:r>
        <w:t xml:space="preserve">A11.12 Society of Family Planning (SFP) Abstract URLs (2013–2023)</w:t>
      </w:r>
    </w:p>
    <w:p>
      <w:pPr>
        <w:pStyle w:val="FirstParagraph"/>
      </w:pPr>
      <w:r>
        <w:t xml:space="preserve">SFP (Society of Family Planning) annual meeting abstracts are published in</w:t>
      </w:r>
      <w:r>
        <w:t xml:space="preserve"> </w:t>
      </w:r>
      <w:r>
        <w:rPr>
          <w:i/>
          <w:iCs/>
        </w:rPr>
        <w:t xml:space="preserve">Contraception</w:t>
      </w:r>
      <w:r>
        <w:t xml:space="preserve"> </w:t>
      </w:r>
      <w:r>
        <w:t xml:space="preserve">(ISSN 0010-7824, Elsevier) as one or two regular journal articles — not as a supplement issue. This is a structurally different publication model from SMFM and ASRM:</w:t>
      </w:r>
    </w:p>
    <w:p>
      <w:pPr>
        <w:pStyle w:val="Compact"/>
        <w:numPr>
          <w:ilvl w:val="0"/>
          <w:numId w:val="1007"/>
        </w:numPr>
      </w:pPr>
      <w:r>
        <w:rPr>
          <w:b/>
          <w:bCs/>
        </w:rPr>
        <w:t xml:space="preserve">Abstract collection article:</w:t>
      </w:r>
      <w:r>
        <w:t xml:space="preserve"> </w:t>
      </w:r>
      <w:r>
        <w:t xml:space="preserve">All submitted abstracts published as a single article with one DOI</w:t>
      </w:r>
    </w:p>
    <w:p>
      <w:pPr>
        <w:pStyle w:val="Compact"/>
        <w:numPr>
          <w:ilvl w:val="0"/>
          <w:numId w:val="1007"/>
        </w:numPr>
      </w:pPr>
      <w:r>
        <w:rPr>
          <w:b/>
          <w:bCs/>
        </w:rPr>
        <w:t xml:space="preserve">Featured research article:</w:t>
      </w:r>
      <w:r>
        <w:t xml:space="preserve"> </w:t>
      </w:r>
      <w:r>
        <w:t xml:space="preserve">Selected high-scoring abstracts published as a companion article with a separate DOI (introduced ~2018)</w:t>
      </w:r>
    </w:p>
    <w:p>
      <w:pPr>
        <w:pStyle w:val="Compact"/>
        <w:numPr>
          <w:ilvl w:val="0"/>
          <w:numId w:val="1007"/>
        </w:numPr>
      </w:pPr>
      <w:r>
        <w:rPr>
          <w:b/>
          <w:bCs/>
        </w:rPr>
        <w:t xml:space="preserve">Individual abstracts do NOT have unique DOIs</w:t>
      </w:r>
      <w:r>
        <w:t xml:space="preserve"> </w:t>
      </w:r>
      <w:r>
        <w:t xml:space="preserve">— the entire collection shares one DOI per year</w:t>
      </w:r>
    </w:p>
    <w:p>
      <w:pPr>
        <w:pStyle w:val="FirstParagraph"/>
      </w:pPr>
      <w:r>
        <w:t xml:space="preserve">The meeting was called the</w:t>
      </w:r>
      <w:r>
        <w:t xml:space="preserve"> </w:t>
      </w:r>
      <w:r>
        <w:rPr>
          <w:b/>
          <w:bCs/>
        </w:rPr>
        <w:t xml:space="preserve">North American Forum on Family Planning (NAFP)</w:t>
      </w:r>
      <w:r>
        <w:t xml:space="preserve"> </w:t>
      </w:r>
      <w:r>
        <w:t xml:space="preserve">through 2018, then renamed to the</w:t>
      </w:r>
      <w:r>
        <w:t xml:space="preserve"> </w:t>
      </w:r>
      <w:r>
        <w:rPr>
          <w:b/>
          <w:bCs/>
        </w:rPr>
        <w:t xml:space="preserve">SFP Annual Meeting</w:t>
      </w:r>
      <w:r>
        <w:t xml:space="preserve"> </w:t>
      </w:r>
      <w:r>
        <w:t xml:space="preserve">starting 2019. Abstract collections for 2013 and 2014 could not be located in PubMed or ScienceDirect; these years may not have been published in</w:t>
      </w:r>
      <w:r>
        <w:t xml:space="preserve"> </w:t>
      </w:r>
      <w:r>
        <w:rPr>
          <w:i/>
          <w:iCs/>
        </w:rPr>
        <w:t xml:space="preserve">Contraception</w:t>
      </w:r>
      <w:r>
        <w:t xml:space="preserve"> </w:t>
      </w:r>
      <w:r>
        <w:t xml:space="preserve">or may have appeared in a different format. A 2017</w:t>
      </w:r>
      <w:r>
        <w:t xml:space="preserve"> </w:t>
      </w:r>
      <w:r>
        <w:t xml:space="preserve">“TEMPORARY REMOVAL”</w:t>
      </w:r>
      <w:r>
        <w:t xml:space="preserve"> </w:t>
      </w:r>
      <w:r>
        <w:t xml:space="preserve">notice on PubMed may indicate a correction or republication.</w:t>
      </w:r>
    </w:p>
    <w:tbl>
      <w:tblPr>
        <w:tblStyle w:val="Table"/>
        <w:tblW w:type="pct" w:w="5000"/>
        <w:tblLayout w:type="fixed"/>
        <w:tblLook w:firstRow="1" w:lastRow="0" w:firstColumn="0" w:lastColumn="0" w:noHBand="0" w:noVBand="0" w:val="0020"/>
      </w:tblPr>
      <w:tblGrid>
        <w:gridCol w:w="688"/>
        <w:gridCol w:w="1033"/>
        <w:gridCol w:w="2754"/>
        <w:gridCol w:w="2525"/>
        <w:gridCol w:w="918"/>
      </w:tblGrid>
      <w:tr>
        <w:trPr>
          <w:tblHeader w:val="on"/>
        </w:trPr>
        <w:tc>
          <w:tcPr/>
          <w:p>
            <w:pPr>
              <w:pStyle w:val="Compact"/>
            </w:pPr>
            <w:r>
              <w:t xml:space="preserve">Year</w:t>
            </w:r>
          </w:p>
        </w:tc>
        <w:tc>
          <w:tcPr/>
          <w:p>
            <w:pPr>
              <w:pStyle w:val="Compact"/>
            </w:pPr>
            <w:r>
              <w:t xml:space="preserve">Meeting</w:t>
            </w:r>
          </w:p>
        </w:tc>
        <w:tc>
          <w:tcPr/>
          <w:p>
            <w:pPr>
              <w:pStyle w:val="Compact"/>
            </w:pPr>
            <w:r>
              <w:t xml:space="preserve">Abstract Collection DOI</w:t>
            </w:r>
          </w:p>
        </w:tc>
        <w:tc>
          <w:tcPr/>
          <w:p>
            <w:pPr>
              <w:pStyle w:val="Compact"/>
            </w:pPr>
            <w:r>
              <w:t xml:space="preserve">Featured Research DOI</w:t>
            </w:r>
          </w:p>
        </w:tc>
        <w:tc>
          <w:tcPr/>
          <w:p>
            <w:pPr>
              <w:pStyle w:val="Compact"/>
            </w:pPr>
            <w:r>
              <w:t xml:space="preserve">PubMed</w:t>
            </w:r>
          </w:p>
        </w:tc>
      </w:tr>
      <w:tr>
        <w:tc>
          <w:tcPr/>
          <w:p>
            <w:pPr>
              <w:pStyle w:val="Compact"/>
            </w:pPr>
            <w:r>
              <w:t xml:space="preserve">2023</w:t>
            </w:r>
          </w:p>
        </w:tc>
        <w:tc>
          <w:tcPr/>
          <w:p>
            <w:pPr>
              <w:pStyle w:val="Compact"/>
            </w:pPr>
            <w:r>
              <w:t xml:space="preserve">SFP Annual</w:t>
            </w:r>
          </w:p>
        </w:tc>
        <w:tc>
          <w:tcPr/>
          <w:p>
            <w:pPr>
              <w:pStyle w:val="Compact"/>
            </w:pPr>
            <w:r>
              <w:t xml:space="preserve">10.1016/j.contraception.2023.110145</w:t>
            </w:r>
          </w:p>
        </w:tc>
        <w:tc>
          <w:tcPr/>
          <w:p>
            <w:pPr>
              <w:pStyle w:val="Compact"/>
            </w:pPr>
            <w:r>
              <w:t xml:space="preserve">10.1016/j.contraception.2023.110144</w:t>
            </w:r>
          </w:p>
        </w:tc>
        <w:tc>
          <w:tcPr/>
          <w:p>
            <w:pPr>
              <w:pStyle w:val="Compact"/>
            </w:pPr>
            <w:hyperlink r:id="rId77">
              <w:r>
                <w:rPr>
                  <w:rStyle w:val="Hyperlink"/>
                </w:rPr>
                <w:t xml:space="preserve">https://pubmed.ncbi.nlm.nih.gov/37821000/</w:t>
              </w:r>
            </w:hyperlink>
          </w:p>
        </w:tc>
      </w:tr>
      <w:tr>
        <w:tc>
          <w:tcPr/>
          <w:p>
            <w:pPr>
              <w:pStyle w:val="Compact"/>
            </w:pPr>
            <w:r>
              <w:t xml:space="preserve">2022</w:t>
            </w:r>
          </w:p>
        </w:tc>
        <w:tc>
          <w:tcPr/>
          <w:p>
            <w:pPr>
              <w:pStyle w:val="Compact"/>
            </w:pPr>
            <w:r>
              <w:t xml:space="preserve">SFP Annual</w:t>
            </w:r>
          </w:p>
        </w:tc>
        <w:tc>
          <w:tcPr/>
          <w:p>
            <w:pPr>
              <w:pStyle w:val="Compact"/>
            </w:pPr>
            <w:r>
              <w:t xml:space="preserve">10.1016/j.contraception.2022.10.001</w:t>
            </w:r>
          </w:p>
        </w:tc>
        <w:tc>
          <w:tcPr/>
          <w:p>
            <w:pPr>
              <w:pStyle w:val="Compact"/>
            </w:pPr>
            <w:r>
              <w:t xml:space="preserve">10.1016/j.contraception.2022.09.004</w:t>
            </w:r>
          </w:p>
        </w:tc>
        <w:tc>
          <w:tcPr/>
          <w:p>
            <w:pPr>
              <w:pStyle w:val="Compact"/>
            </w:pPr>
            <w:hyperlink r:id="rId78">
              <w:r>
                <w:rPr>
                  <w:rStyle w:val="Hyperlink"/>
                </w:rPr>
                <w:t xml:space="preserve">https://pubmed.ncbi.nlm.nih.gov/36403795/</w:t>
              </w:r>
            </w:hyperlink>
          </w:p>
        </w:tc>
      </w:tr>
      <w:tr>
        <w:tc>
          <w:tcPr/>
          <w:p>
            <w:pPr>
              <w:pStyle w:val="Compact"/>
            </w:pPr>
            <w:r>
              <w:t xml:space="preserve">2021</w:t>
            </w:r>
          </w:p>
        </w:tc>
        <w:tc>
          <w:tcPr/>
          <w:p>
            <w:pPr>
              <w:pStyle w:val="Compact"/>
            </w:pPr>
            <w:r>
              <w:t xml:space="preserve">SFP Annual</w:t>
            </w:r>
          </w:p>
        </w:tc>
        <w:tc>
          <w:tcPr/>
          <w:p>
            <w:pPr>
              <w:pStyle w:val="Compact"/>
            </w:pPr>
            <w:r>
              <w:t xml:space="preserve">10.1016/j.contraception.2021.07.006</w:t>
            </w:r>
          </w:p>
        </w:tc>
        <w:tc>
          <w:tcPr/>
          <w:p>
            <w:pPr>
              <w:pStyle w:val="Compact"/>
            </w:pPr>
            <w:r>
              <w:t xml:space="preserve">10.1016/j.contraception.2021.07.007</w:t>
            </w:r>
          </w:p>
        </w:tc>
        <w:tc>
          <w:tcPr/>
          <w:p>
            <w:pPr>
              <w:pStyle w:val="Compact"/>
            </w:pPr>
            <w:hyperlink r:id="rId79">
              <w:r>
                <w:rPr>
                  <w:rStyle w:val="Hyperlink"/>
                </w:rPr>
                <w:t xml:space="preserve">https://pubmed.ncbi.nlm.nih.gov/34289414/</w:t>
              </w:r>
            </w:hyperlink>
          </w:p>
        </w:tc>
      </w:tr>
      <w:tr>
        <w:tc>
          <w:tcPr/>
          <w:p>
            <w:pPr>
              <w:pStyle w:val="Compact"/>
            </w:pPr>
            <w:r>
              <w:t xml:space="preserve">2020</w:t>
            </w:r>
          </w:p>
        </w:tc>
        <w:tc>
          <w:tcPr/>
          <w:p>
            <w:pPr>
              <w:pStyle w:val="Compact"/>
            </w:pPr>
            <w:r>
              <w:t xml:space="preserve">SFP Annual</w:t>
            </w:r>
          </w:p>
        </w:tc>
        <w:tc>
          <w:tcPr/>
          <w:p>
            <w:pPr>
              <w:pStyle w:val="Compact"/>
            </w:pPr>
            <w:r>
              <w:t xml:space="preserve">10.1016/j.contraception.2020.07.008</w:t>
            </w:r>
          </w:p>
        </w:tc>
        <w:tc>
          <w:tcPr/>
          <w:p>
            <w:pPr>
              <w:pStyle w:val="Compact"/>
            </w:pPr>
            <w:r>
              <w:t xml:space="preserve">10.1016/j.contraception.2020.07.007</w:t>
            </w:r>
          </w:p>
        </w:tc>
        <w:tc>
          <w:tcPr/>
          <w:p>
            <w:pPr>
              <w:pStyle w:val="Compact"/>
            </w:pPr>
            <w:hyperlink r:id="rId80">
              <w:r>
                <w:rPr>
                  <w:rStyle w:val="Hyperlink"/>
                </w:rPr>
                <w:t xml:space="preserve">https://pubmed.ncbi.nlm.nih.gov/32707100/</w:t>
              </w:r>
            </w:hyperlink>
          </w:p>
        </w:tc>
      </w:tr>
      <w:tr>
        <w:tc>
          <w:tcPr/>
          <w:p>
            <w:pPr>
              <w:pStyle w:val="Compact"/>
            </w:pPr>
            <w:r>
              <w:t xml:space="preserve">2019</w:t>
            </w:r>
          </w:p>
        </w:tc>
        <w:tc>
          <w:tcPr/>
          <w:p>
            <w:pPr>
              <w:pStyle w:val="Compact"/>
            </w:pPr>
            <w:r>
              <w:t xml:space="preserve">SFP Annual</w:t>
            </w:r>
          </w:p>
        </w:tc>
        <w:tc>
          <w:tcPr/>
          <w:p>
            <w:pPr>
              <w:pStyle w:val="Compact"/>
            </w:pPr>
            <w:r>
              <w:t xml:space="preserve">10.1016/j.contraception.2019.07.008</w:t>
            </w:r>
          </w:p>
        </w:tc>
        <w:tc>
          <w:tcPr/>
          <w:p>
            <w:pPr>
              <w:pStyle w:val="Compact"/>
            </w:pPr>
            <w:r>
              <w:t xml:space="preserve">10.1016/j.contraception.2019.07.007</w:t>
            </w:r>
          </w:p>
        </w:tc>
        <w:tc>
          <w:tcPr/>
          <w:p>
            <w:pPr>
              <w:pStyle w:val="Compact"/>
            </w:pPr>
            <w:hyperlink r:id="rId81">
              <w:r>
                <w:rPr>
                  <w:rStyle w:val="Hyperlink"/>
                </w:rPr>
                <w:t xml:space="preserve">https://pubmed.ncbi.nlm.nih.gov/31348904/</w:t>
              </w:r>
            </w:hyperlink>
          </w:p>
        </w:tc>
      </w:tr>
      <w:tr>
        <w:tc>
          <w:tcPr/>
          <w:p>
            <w:pPr>
              <w:pStyle w:val="Compact"/>
            </w:pPr>
            <w:r>
              <w:t xml:space="preserve">2018</w:t>
            </w:r>
          </w:p>
        </w:tc>
        <w:tc>
          <w:tcPr/>
          <w:p>
            <w:pPr>
              <w:pStyle w:val="Compact"/>
            </w:pPr>
            <w:r>
              <w:t xml:space="preserve">NAFP (8th)</w:t>
            </w:r>
          </w:p>
        </w:tc>
        <w:tc>
          <w:tcPr/>
          <w:p>
            <w:pPr>
              <w:pStyle w:val="Compact"/>
            </w:pPr>
            <w:r>
              <w:t xml:space="preserve">10.1016/j.contraception.2018.07.006</w:t>
            </w:r>
          </w:p>
        </w:tc>
        <w:tc>
          <w:tcPr/>
          <w:p>
            <w:pPr>
              <w:pStyle w:val="Compact"/>
            </w:pPr>
            <w:r>
              <w:t xml:space="preserve">10.1016/j.contraception.2018.07.005</w:t>
            </w:r>
          </w:p>
        </w:tc>
        <w:tc>
          <w:tcPr/>
          <w:p>
            <w:pPr>
              <w:pStyle w:val="Compact"/>
            </w:pPr>
            <w:hyperlink r:id="rId82">
              <w:r>
                <w:rPr>
                  <w:rStyle w:val="Hyperlink"/>
                </w:rPr>
                <w:t xml:space="preserve">https://pubmed.ncbi.nlm.nih.gov/30031792/</w:t>
              </w:r>
            </w:hyperlink>
          </w:p>
        </w:tc>
      </w:tr>
      <w:tr>
        <w:tc>
          <w:tcPr/>
          <w:p>
            <w:pPr>
              <w:pStyle w:val="Compact"/>
            </w:pPr>
            <w:r>
              <w:t xml:space="preserve">2017</w:t>
            </w:r>
          </w:p>
        </w:tc>
        <w:tc>
          <w:tcPr/>
          <w:p>
            <w:pPr>
              <w:pStyle w:val="Compact"/>
            </w:pPr>
            <w:r>
              <w:t xml:space="preserve">NAFP (7th)</w:t>
            </w:r>
          </w:p>
        </w:tc>
        <w:tc>
          <w:tcPr/>
          <w:p>
            <w:pPr>
              <w:pStyle w:val="Compact"/>
            </w:pPr>
            <w:r>
              <w:t xml:space="preserve">10.1016/j.contraception.2017.07.163</w:t>
            </w:r>
          </w:p>
        </w:tc>
        <w:tc>
          <w:tcPr/>
          <w:p>
            <w:pPr>
              <w:pStyle w:val="Compact"/>
            </w:pPr>
            <w:r>
              <w:t xml:space="preserve">—</w:t>
            </w:r>
          </w:p>
        </w:tc>
        <w:tc>
          <w:tcPr/>
          <w:p>
            <w:pPr>
              <w:pStyle w:val="Compact"/>
            </w:pPr>
            <w:hyperlink r:id="rId83">
              <w:r>
                <w:rPr>
                  <w:rStyle w:val="Hyperlink"/>
                </w:rPr>
                <w:t xml:space="preserve">https://pubmed.ncbi.nlm.nih.gov/28757435/</w:t>
              </w:r>
            </w:hyperlink>
          </w:p>
        </w:tc>
      </w:tr>
      <w:tr>
        <w:tc>
          <w:tcPr/>
          <w:p>
            <w:pPr>
              <w:pStyle w:val="Compact"/>
            </w:pPr>
            <w:r>
              <w:t xml:space="preserve">2016</w:t>
            </w:r>
          </w:p>
        </w:tc>
        <w:tc>
          <w:tcPr/>
          <w:p>
            <w:pPr>
              <w:pStyle w:val="Compact"/>
            </w:pPr>
            <w:r>
              <w:t xml:space="preserve">NAFP (6th)</w:t>
            </w:r>
          </w:p>
        </w:tc>
        <w:tc>
          <w:tcPr/>
          <w:p>
            <w:pPr>
              <w:pStyle w:val="Compact"/>
            </w:pPr>
            <w:r>
              <w:t xml:space="preserve">10.1016/j.contraception.2016.07.189</w:t>
            </w:r>
          </w:p>
        </w:tc>
        <w:tc>
          <w:tcPr/>
          <w:p>
            <w:pPr>
              <w:pStyle w:val="Compact"/>
            </w:pPr>
            <w:r>
              <w:t xml:space="preserve">—</w:t>
            </w:r>
          </w:p>
        </w:tc>
        <w:tc>
          <w:tcPr/>
          <w:p>
            <w:pPr>
              <w:pStyle w:val="Compact"/>
            </w:pPr>
            <w:hyperlink r:id="rId84">
              <w:r>
                <w:rPr>
                  <w:rStyle w:val="Hyperlink"/>
                </w:rPr>
                <w:t xml:space="preserve">https://pubmed.ncbi.nlm.nih.gov/27477065/</w:t>
              </w:r>
            </w:hyperlink>
          </w:p>
        </w:tc>
      </w:tr>
      <w:tr>
        <w:tc>
          <w:tcPr/>
          <w:p>
            <w:pPr>
              <w:pStyle w:val="Compact"/>
            </w:pPr>
            <w:r>
              <w:t xml:space="preserve">2015</w:t>
            </w:r>
          </w:p>
        </w:tc>
        <w:tc>
          <w:tcPr/>
          <w:p>
            <w:pPr>
              <w:pStyle w:val="Compact"/>
            </w:pPr>
            <w:r>
              <w:t xml:space="preserve">NAFP (5th)</w:t>
            </w:r>
          </w:p>
        </w:tc>
        <w:tc>
          <w:tcPr/>
          <w:p>
            <w:pPr>
              <w:pStyle w:val="Compact"/>
            </w:pPr>
            <w:r>
              <w:t xml:space="preserve">10.1016/j.contraception.2015.06.024</w:t>
            </w:r>
          </w:p>
        </w:tc>
        <w:tc>
          <w:tcPr/>
          <w:p>
            <w:pPr>
              <w:pStyle w:val="Compact"/>
            </w:pPr>
            <w:r>
              <w:t xml:space="preserve">—</w:t>
            </w:r>
          </w:p>
        </w:tc>
        <w:tc>
          <w:tcPr/>
          <w:p>
            <w:pPr>
              <w:pStyle w:val="Compact"/>
            </w:pPr>
            <w:hyperlink r:id="rId85">
              <w:r>
                <w:rPr>
                  <w:rStyle w:val="Hyperlink"/>
                </w:rPr>
                <w:t xml:space="preserve">https://pubmed.ncbi.nlm.nih.gov/26141818/</w:t>
              </w:r>
            </w:hyperlink>
          </w:p>
        </w:tc>
      </w:tr>
      <w:tr>
        <w:tc>
          <w:tcPr/>
          <w:p>
            <w:pPr>
              <w:pStyle w:val="Compact"/>
            </w:pPr>
            <w:r>
              <w:t xml:space="preserve">2014</w:t>
            </w:r>
          </w:p>
        </w:tc>
        <w:tc>
          <w:tcPr/>
          <w:p>
            <w:pPr>
              <w:pStyle w:val="Compact"/>
            </w:pPr>
            <w:r>
              <w:t xml:space="preserve">NAFP (4th)</w:t>
            </w:r>
          </w:p>
        </w:tc>
        <w:tc>
          <w:tcPr/>
          <w:p>
            <w:pPr>
              <w:pStyle w:val="Compact"/>
            </w:pPr>
            <w:r>
              <w:t xml:space="preserve">Not found</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NAFP (3rd)</w:t>
            </w:r>
          </w:p>
        </w:tc>
        <w:tc>
          <w:tcPr/>
          <w:p>
            <w:pPr>
              <w:pStyle w:val="Compact"/>
            </w:pPr>
            <w:r>
              <w:t xml:space="preserve">Not found</w:t>
            </w:r>
          </w:p>
        </w:tc>
        <w:tc>
          <w:tcPr/>
          <w:p>
            <w:pPr>
              <w:pStyle w:val="Compact"/>
            </w:pPr>
            <w:r>
              <w:t xml:space="preserve">—</w:t>
            </w:r>
          </w:p>
        </w:tc>
        <w:tc>
          <w:tcPr/>
          <w:p>
            <w:pPr>
              <w:pStyle w:val="Compact"/>
            </w:pPr>
            <w:r>
              <w:t xml:space="preserve">—</w:t>
            </w:r>
          </w:p>
        </w:tc>
      </w:tr>
    </w:tbl>
    <w:p>
      <w:pPr>
        <w:pStyle w:val="BodyText"/>
      </w:pPr>
      <w:r>
        <w:rPr>
          <w:b/>
          <w:bCs/>
        </w:rPr>
        <w:t xml:space="preserve">Pipeline implications:</w:t>
      </w:r>
      <w:r>
        <w:t xml:space="preserve"> </w:t>
      </w:r>
      <w:r>
        <w:t xml:space="preserve">Because individual SFP abstracts lack unique DOIs, the DOI-chain search (</w:t>
      </w:r>
      <w:r>
        <w:rPr>
          <w:rStyle w:val="VerbatimChar"/>
        </w:rPr>
        <w:t xml:space="preserve">03c_doi_chain_search.R</w:t>
      </w:r>
      <w:r>
        <w:t xml:space="preserve">) and ScienceDirect-level affiliation backfill cannot be applied per abstract. Abstract ingestion would require parsing the full-text HTML of the collection article to extract individual abstracts and authors, then matching each against PubMed and CrossRef by title/author string — the same strategy used for AUGS. The abstract collection articles are freely accessible via PubMed and resolvable via</w:t>
      </w:r>
      <w:r>
        <w:t xml:space="preserve"> </w:t>
      </w:r>
      <w:r>
        <w:rPr>
          <w:rStyle w:val="VerbatimChar"/>
        </w:rPr>
        <w:t xml:space="preserve">https://doi.org/10.1016/j.contraception.YYYY.MM.NNN</w:t>
      </w:r>
      <w:r>
        <w:t xml:space="preserve">.</w:t>
      </w:r>
    </w:p>
    <w:p>
      <w:pPr>
        <w:pStyle w:val="BodyText"/>
      </w:pPr>
      <w:r>
        <w:rPr>
          <w:b/>
          <w:bCs/>
        </w:rPr>
        <w:t xml:space="preserve">Comparison across all five societies:</w:t>
      </w:r>
    </w:p>
    <w:tbl>
      <w:tblPr>
        <w:tblStyle w:val="Table"/>
        <w:tblW w:type="pct" w:w="5000"/>
        <w:tblLayout w:type="fixed"/>
        <w:tblLook w:firstRow="1" w:lastRow="0" w:firstColumn="0" w:lastColumn="0" w:noHBand="0" w:noVBand="0" w:val="0020"/>
      </w:tblPr>
      <w:tblGrid>
        <w:gridCol w:w="792"/>
        <w:gridCol w:w="1144"/>
        <w:gridCol w:w="1144"/>
        <w:gridCol w:w="1056"/>
        <w:gridCol w:w="1936"/>
        <w:gridCol w:w="1848"/>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c>
          <w:tcPr/>
          <w:p>
            <w:pPr>
              <w:pStyle w:val="Compact"/>
            </w:pPr>
            <w:r>
              <w:t xml:space="preserve">Yes</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Partial</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 (via PubMed)</w:t>
            </w:r>
          </w:p>
        </w:tc>
      </w:tr>
      <w:tr>
        <w:tc>
          <w:tcPr/>
          <w:p>
            <w:pPr>
              <w:pStyle w:val="Compact"/>
            </w:pPr>
            <w: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r>
      <w:tr>
        <w:tc>
          <w:tcPr/>
          <w:p>
            <w:pPr>
              <w:pStyle w:val="Compact"/>
            </w:pPr>
            <w:r>
              <w:t xml:space="preserve">Abstract collection format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Regular article</w:t>
            </w:r>
          </w:p>
        </w:tc>
      </w:tr>
    </w:tbl>
    <w:p>
      <w:pPr>
        <w:pStyle w:val="BodyText"/>
      </w:pPr>
      <w:r>
        <w:rPr>
          <w:i/>
          <w:iCs/>
        </w:rPr>
        <w:t xml:space="preserve">Sources:</w:t>
      </w:r>
      <w:r>
        <w:rPr>
          <w:i/>
          <w:iCs/>
        </w:rPr>
        <w:t xml:space="preserve"> </w:t>
      </w:r>
      <w:hyperlink r:id="rId86">
        <w:r>
          <w:rPr>
            <w:rStyle w:val="Hyperlink"/>
            <w:i/>
            <w:iCs/>
          </w:rPr>
          <w:t xml:space="preserve">https://societyfp.org/learning/annual-meeting/</w:t>
        </w:r>
      </w:hyperlink>
      <w:r>
        <w:rPr>
          <w:i/>
          <w:iCs/>
        </w:rPr>
        <w:t xml:space="preserve">;</w:t>
      </w:r>
      <w:r>
        <w:rPr>
          <w:i/>
          <w:iCs/>
        </w:rPr>
        <w:t xml:space="preserve"> </w:t>
      </w:r>
      <w:hyperlink r:id="rId77">
        <w:r>
          <w:rPr>
            <w:rStyle w:val="Hyperlink"/>
            <w:i/>
            <w:iCs/>
          </w:rPr>
          <w:t xml:space="preserve">https://pubmed.ncbi.nlm.nih.gov/37821000/</w:t>
        </w:r>
      </w:hyperlink>
      <w:r>
        <w:rPr>
          <w:i/>
          <w:iCs/>
        </w:rPr>
        <w:t xml:space="preserve">;</w:t>
      </w:r>
      <w:r>
        <w:rPr>
          <w:i/>
          <w:iCs/>
        </w:rPr>
        <w:t xml:space="preserve"> </w:t>
      </w:r>
      <w:hyperlink r:id="rId87">
        <w:r>
          <w:rPr>
            <w:rStyle w:val="Hyperlink"/>
            <w:i/>
            <w:iCs/>
          </w:rPr>
          <w:t xml:space="preserve">https://www.contraceptionjournal.org/article/S0010-7824(18)30259-2/fulltext</w:t>
        </w:r>
      </w:hyperlink>
    </w:p>
    <w:bookmarkEnd w:id="88"/>
    <w:bookmarkStart w:id="102" w:name="a11.13-naspagacrm-abstract-urls-20132023"/>
    <w:p>
      <w:pPr>
        <w:pStyle w:val="Heading3"/>
      </w:pPr>
      <w:r>
        <w:t xml:space="preserve">A11.13 NASPAG/ACRM Abstract URLs (2013–2023)</w:t>
      </w:r>
    </w:p>
    <w:p>
      <w:pPr>
        <w:pStyle w:val="FirstParagraph"/>
      </w:pPr>
      <w:r>
        <w:t xml:space="preserve">NASPAG (North American Society for Pediatric and Adolescent Gynecology) Annual Clinical and Research Meeting (ACRM) abstracts are published in the</w:t>
      </w:r>
      <w:r>
        <w:t xml:space="preserve"> </w:t>
      </w:r>
      <w:r>
        <w:rPr>
          <w:i/>
          <w:iCs/>
        </w:rPr>
        <w:t xml:space="preserve">Journal of Pediatric and Adolescent Gynecology</w:t>
      </w:r>
      <w:r>
        <w:t xml:space="preserve"> </w:t>
      </w:r>
      <w:r>
        <w:t xml:space="preserve">(JPAG, ISSN 1083-3188, Elsevier/ScienceDirect). Each abstract receives a unique DOI following the pattern</w:t>
      </w:r>
      <w:r>
        <w:t xml:space="preserve"> </w:t>
      </w:r>
      <w:r>
        <w:rPr>
          <w:rStyle w:val="VerbatimChar"/>
        </w:rPr>
        <w:t xml:space="preserve">10.1016/j.jpag.YYYY.MM.NNN</w:t>
      </w:r>
      <w:r>
        <w:t xml:space="preserve"> </w:t>
      </w:r>
      <w:r>
        <w:t xml:space="preserve">— the same individual-DOI model as SMFM and ASRM. Abstracts consistently appear in Issue 2 of each volume, and volume number follows the formula: Volume = Year − 1987. The 2020 ACRM was cancelled due to COVID-19 but accepted abstracts were still published; 2021 and 2022 meetings were virtual. Abstract counts are small (~16–54/year), making NASPAG the lowest-volume society in this comparison.</w:t>
      </w:r>
    </w:p>
    <w:tbl>
      <w:tblPr>
        <w:tblStyle w:val="Table"/>
        <w:tblW w:type="pct" w:w="5000"/>
        <w:tblLayout w:type="fixed"/>
        <w:tblLook w:firstRow="1" w:lastRow="0" w:firstColumn="0" w:lastColumn="0" w:noHBand="0" w:noVBand="0" w:val="0020"/>
      </w:tblPr>
      <w:tblGrid>
        <w:gridCol w:w="754"/>
        <w:gridCol w:w="1131"/>
        <w:gridCol w:w="1257"/>
        <w:gridCol w:w="880"/>
        <w:gridCol w:w="2388"/>
        <w:gridCol w:w="1508"/>
      </w:tblGrid>
      <w:tr>
        <w:trPr>
          <w:tblHeader w:val="on"/>
        </w:trPr>
        <w:tc>
          <w:tcPr/>
          <w:p>
            <w:pPr>
              <w:pStyle w:val="Compact"/>
            </w:pPr>
            <w:r>
              <w:t xml:space="preserve">Year</w:t>
            </w:r>
          </w:p>
        </w:tc>
        <w:tc>
          <w:tcPr/>
          <w:p>
            <w:pPr>
              <w:pStyle w:val="Compact"/>
            </w:pPr>
            <w:r>
              <w:t xml:space="preserve">Meeting</w:t>
            </w:r>
          </w:p>
        </w:tc>
        <w:tc>
          <w:tcPr/>
          <w:p>
            <w:pPr>
              <w:pStyle w:val="Compact"/>
            </w:pPr>
            <w:r>
              <w:t xml:space="preserve">JPAG Vol</w:t>
            </w:r>
          </w:p>
        </w:tc>
        <w:tc>
          <w:tcPr/>
          <w:p>
            <w:pPr>
              <w:pStyle w:val="Compact"/>
            </w:pPr>
            <w:r>
              <w:t xml:space="preserve">Issue</w:t>
            </w:r>
          </w:p>
        </w:tc>
        <w:tc>
          <w:tcPr/>
          <w:p>
            <w:pPr>
              <w:pStyle w:val="Compact"/>
            </w:pPr>
            <w:r>
              <w:t xml:space="preserve">ScienceDirect URL</w:t>
            </w:r>
          </w:p>
        </w:tc>
        <w:tc>
          <w:tcPr/>
          <w:p>
            <w:pPr>
              <w:pStyle w:val="Compact"/>
            </w:pPr>
            <w:r>
              <w:t xml:space="preserve">Sample DOI</w:t>
            </w:r>
          </w:p>
        </w:tc>
      </w:tr>
      <w:tr>
        <w:tc>
          <w:tcPr/>
          <w:p>
            <w:pPr>
              <w:pStyle w:val="Compact"/>
            </w:pPr>
            <w:r>
              <w:t xml:space="preserve">2023</w:t>
            </w:r>
          </w:p>
        </w:tc>
        <w:tc>
          <w:tcPr/>
          <w:p>
            <w:pPr>
              <w:pStyle w:val="Compact"/>
            </w:pPr>
            <w:r>
              <w:t xml:space="preserve">37th ACRM, Nashville, TN</w:t>
            </w:r>
          </w:p>
        </w:tc>
        <w:tc>
          <w:tcPr/>
          <w:p>
            <w:pPr>
              <w:pStyle w:val="Compact"/>
            </w:pPr>
            <w:r>
              <w:t xml:space="preserve">36</w:t>
            </w:r>
          </w:p>
        </w:tc>
        <w:tc>
          <w:tcPr/>
          <w:p>
            <w:pPr>
              <w:pStyle w:val="Compact"/>
            </w:pPr>
            <w:r>
              <w:t xml:space="preserve">2</w:t>
            </w:r>
          </w:p>
        </w:tc>
        <w:tc>
          <w:tcPr/>
          <w:p>
            <w:pPr>
              <w:pStyle w:val="Compact"/>
            </w:pPr>
            <w:hyperlink r:id="rId89">
              <w:r>
                <w:rPr>
                  <w:rStyle w:val="Hyperlink"/>
                </w:rPr>
                <w:t xml:space="preserve">https://www.sciencedirect.com/journal/journal-of-pediatric-and-adolescent-gynecology/vol/36/issue/2</w:t>
              </w:r>
            </w:hyperlink>
          </w:p>
        </w:tc>
        <w:tc>
          <w:tcPr/>
          <w:p>
            <w:pPr>
              <w:pStyle w:val="Compact"/>
            </w:pPr>
            <w:r>
              <w:t xml:space="preserve">10.1016/j.jpag.2023.01.089</w:t>
            </w:r>
          </w:p>
        </w:tc>
      </w:tr>
      <w:tr>
        <w:tc>
          <w:tcPr/>
          <w:p>
            <w:pPr>
              <w:pStyle w:val="Compact"/>
            </w:pPr>
            <w:r>
              <w:t xml:space="preserve">2022</w:t>
            </w:r>
          </w:p>
        </w:tc>
        <w:tc>
          <w:tcPr/>
          <w:p>
            <w:pPr>
              <w:pStyle w:val="Compact"/>
            </w:pPr>
            <w:r>
              <w:t xml:space="preserve">36th ACRM (Virtual)</w:t>
            </w:r>
          </w:p>
        </w:tc>
        <w:tc>
          <w:tcPr/>
          <w:p>
            <w:pPr>
              <w:pStyle w:val="Compact"/>
            </w:pPr>
            <w:r>
              <w:t xml:space="preserve">35</w:t>
            </w:r>
          </w:p>
        </w:tc>
        <w:tc>
          <w:tcPr/>
          <w:p>
            <w:pPr>
              <w:pStyle w:val="Compact"/>
            </w:pPr>
            <w:r>
              <w:t xml:space="preserve">2</w:t>
            </w:r>
          </w:p>
        </w:tc>
        <w:tc>
          <w:tcPr/>
          <w:p>
            <w:pPr>
              <w:pStyle w:val="Compact"/>
            </w:pPr>
            <w:hyperlink r:id="rId90">
              <w:r>
                <w:rPr>
                  <w:rStyle w:val="Hyperlink"/>
                </w:rPr>
                <w:t xml:space="preserve">https://www.sciencedirect.com/journal/journal-of-pediatric-and-adolescent-gynecology/vol/35/issue/2</w:t>
              </w:r>
            </w:hyperlink>
          </w:p>
        </w:tc>
        <w:tc>
          <w:tcPr/>
          <w:p>
            <w:pPr>
              <w:pStyle w:val="Compact"/>
            </w:pPr>
            <w:r>
              <w:t xml:space="preserve">10.1016/j.jpag.2022.01.xxx</w:t>
            </w:r>
          </w:p>
        </w:tc>
      </w:tr>
      <w:tr>
        <w:tc>
          <w:tcPr/>
          <w:p>
            <w:pPr>
              <w:pStyle w:val="Compact"/>
            </w:pPr>
            <w:r>
              <w:t xml:space="preserve">2021</w:t>
            </w:r>
          </w:p>
        </w:tc>
        <w:tc>
          <w:tcPr/>
          <w:p>
            <w:pPr>
              <w:pStyle w:val="Compact"/>
            </w:pPr>
            <w:r>
              <w:t xml:space="preserve">35th ACRM (Virtual)</w:t>
            </w:r>
          </w:p>
        </w:tc>
        <w:tc>
          <w:tcPr/>
          <w:p>
            <w:pPr>
              <w:pStyle w:val="Compact"/>
            </w:pPr>
            <w:r>
              <w:t xml:space="preserve">34</w:t>
            </w:r>
          </w:p>
        </w:tc>
        <w:tc>
          <w:tcPr/>
          <w:p>
            <w:pPr>
              <w:pStyle w:val="Compact"/>
            </w:pPr>
            <w:r>
              <w:t xml:space="preserve">2</w:t>
            </w:r>
          </w:p>
        </w:tc>
        <w:tc>
          <w:tcPr/>
          <w:p>
            <w:pPr>
              <w:pStyle w:val="Compact"/>
            </w:pPr>
            <w:hyperlink r:id="rId91">
              <w:r>
                <w:rPr>
                  <w:rStyle w:val="Hyperlink"/>
                </w:rPr>
                <w:t xml:space="preserve">https://www.sciencedirect.com/journal/journal-of-pediatric-and-adolescent-gynecology/vol/34/issue/2</w:t>
              </w:r>
            </w:hyperlink>
          </w:p>
        </w:tc>
        <w:tc>
          <w:tcPr/>
          <w:p>
            <w:pPr>
              <w:pStyle w:val="Compact"/>
            </w:pPr>
            <w:r>
              <w:t xml:space="preserve">10.1016/j.jpag.2021.02.005</w:t>
            </w:r>
          </w:p>
        </w:tc>
      </w:tr>
      <w:tr>
        <w:tc>
          <w:tcPr/>
          <w:p>
            <w:pPr>
              <w:pStyle w:val="Compact"/>
            </w:pPr>
            <w:r>
              <w:t xml:space="preserve">2020</w:t>
            </w:r>
          </w:p>
        </w:tc>
        <w:tc>
          <w:tcPr/>
          <w:p>
            <w:pPr>
              <w:pStyle w:val="Compact"/>
            </w:pPr>
            <w:r>
              <w:t xml:space="preserve">34th ACRM (Cancelled — abstracts published)</w:t>
            </w:r>
          </w:p>
        </w:tc>
        <w:tc>
          <w:tcPr/>
          <w:p>
            <w:pPr>
              <w:pStyle w:val="Compact"/>
            </w:pPr>
            <w:r>
              <w:t xml:space="preserve">33</w:t>
            </w:r>
          </w:p>
        </w:tc>
        <w:tc>
          <w:tcPr/>
          <w:p>
            <w:pPr>
              <w:pStyle w:val="Compact"/>
            </w:pPr>
            <w:r>
              <w:t xml:space="preserve">2</w:t>
            </w:r>
          </w:p>
        </w:tc>
        <w:tc>
          <w:tcPr/>
          <w:p>
            <w:pPr>
              <w:pStyle w:val="Compact"/>
            </w:pPr>
            <w:hyperlink r:id="rId92">
              <w:r>
                <w:rPr>
                  <w:rStyle w:val="Hyperlink"/>
                </w:rPr>
                <w:t xml:space="preserve">https://www.sciencedirect.com/journal/journal-of-pediatric-and-adolescent-gynecology/vol/33/issue/2</w:t>
              </w:r>
            </w:hyperlink>
          </w:p>
        </w:tc>
        <w:tc>
          <w:tcPr/>
          <w:p>
            <w:pPr>
              <w:pStyle w:val="Compact"/>
            </w:pPr>
            <w:r>
              <w:t xml:space="preserve">10.1016/j.jpag.2020.01.xxx</w:t>
            </w:r>
          </w:p>
        </w:tc>
      </w:tr>
      <w:tr>
        <w:tc>
          <w:tcPr/>
          <w:p>
            <w:pPr>
              <w:pStyle w:val="Compact"/>
            </w:pPr>
            <w:r>
              <w:t xml:space="preserve">2019</w:t>
            </w:r>
          </w:p>
        </w:tc>
        <w:tc>
          <w:tcPr/>
          <w:p>
            <w:pPr>
              <w:pStyle w:val="Compact"/>
            </w:pPr>
            <w:r>
              <w:t xml:space="preserve">33rd ACRM</w:t>
            </w:r>
          </w:p>
        </w:tc>
        <w:tc>
          <w:tcPr/>
          <w:p>
            <w:pPr>
              <w:pStyle w:val="Compact"/>
            </w:pPr>
            <w:r>
              <w:t xml:space="preserve">32</w:t>
            </w:r>
          </w:p>
        </w:tc>
        <w:tc>
          <w:tcPr/>
          <w:p>
            <w:pPr>
              <w:pStyle w:val="Compact"/>
            </w:pPr>
            <w:r>
              <w:t xml:space="preserve">2</w:t>
            </w:r>
          </w:p>
        </w:tc>
        <w:tc>
          <w:tcPr/>
          <w:p>
            <w:pPr>
              <w:pStyle w:val="Compact"/>
            </w:pPr>
            <w:hyperlink r:id="rId93">
              <w:r>
                <w:rPr>
                  <w:rStyle w:val="Hyperlink"/>
                </w:rPr>
                <w:t xml:space="preserve">https://www.sciencedirect.com/journal/journal-of-pediatric-and-adolescent-gynecology/vol/32/issue/2</w:t>
              </w:r>
            </w:hyperlink>
          </w:p>
        </w:tc>
        <w:tc>
          <w:tcPr/>
          <w:p>
            <w:pPr>
              <w:pStyle w:val="Compact"/>
            </w:pPr>
            <w:r>
              <w:t xml:space="preserve">10.1016/j.jpag.2019.02.002</w:t>
            </w:r>
          </w:p>
        </w:tc>
      </w:tr>
      <w:tr>
        <w:tc>
          <w:tcPr/>
          <w:p>
            <w:pPr>
              <w:pStyle w:val="Compact"/>
            </w:pPr>
            <w:r>
              <w:t xml:space="preserve">2018</w:t>
            </w:r>
          </w:p>
        </w:tc>
        <w:tc>
          <w:tcPr/>
          <w:p>
            <w:pPr>
              <w:pStyle w:val="Compact"/>
            </w:pPr>
            <w:r>
              <w:t xml:space="preserve">32nd ACRM</w:t>
            </w:r>
          </w:p>
        </w:tc>
        <w:tc>
          <w:tcPr/>
          <w:p>
            <w:pPr>
              <w:pStyle w:val="Compact"/>
            </w:pPr>
            <w:r>
              <w:t xml:space="preserve">31</w:t>
            </w:r>
          </w:p>
        </w:tc>
        <w:tc>
          <w:tcPr/>
          <w:p>
            <w:pPr>
              <w:pStyle w:val="Compact"/>
            </w:pPr>
            <w:r>
              <w:t xml:space="preserve">2</w:t>
            </w:r>
          </w:p>
        </w:tc>
        <w:tc>
          <w:tcPr/>
          <w:p>
            <w:pPr>
              <w:pStyle w:val="Compact"/>
            </w:pPr>
            <w:hyperlink r:id="rId94">
              <w:r>
                <w:rPr>
                  <w:rStyle w:val="Hyperlink"/>
                </w:rPr>
                <w:t xml:space="preserve">https://www.sciencedirect.com/journal/journal-of-pediatric-and-adolescent-gynecology/vol/31/issue/2</w:t>
              </w:r>
            </w:hyperlink>
          </w:p>
        </w:tc>
        <w:tc>
          <w:tcPr/>
          <w:p>
            <w:pPr>
              <w:pStyle w:val="Compact"/>
            </w:pPr>
            <w:r>
              <w:t xml:space="preserve">10.1016/j.jpag.2018.02.017</w:t>
            </w:r>
          </w:p>
        </w:tc>
      </w:tr>
      <w:tr>
        <w:tc>
          <w:tcPr/>
          <w:p>
            <w:pPr>
              <w:pStyle w:val="Compact"/>
            </w:pPr>
            <w:r>
              <w:t xml:space="preserve">2017</w:t>
            </w:r>
          </w:p>
        </w:tc>
        <w:tc>
          <w:tcPr/>
          <w:p>
            <w:pPr>
              <w:pStyle w:val="Compact"/>
            </w:pPr>
            <w:r>
              <w:t xml:space="preserve">31st ACRM, Chicago, IL</w:t>
            </w:r>
          </w:p>
        </w:tc>
        <w:tc>
          <w:tcPr/>
          <w:p>
            <w:pPr>
              <w:pStyle w:val="Compact"/>
            </w:pPr>
            <w:r>
              <w:t xml:space="preserve">30</w:t>
            </w:r>
          </w:p>
        </w:tc>
        <w:tc>
          <w:tcPr/>
          <w:p>
            <w:pPr>
              <w:pStyle w:val="Compact"/>
            </w:pPr>
            <w:r>
              <w:t xml:space="preserve">2</w:t>
            </w:r>
          </w:p>
        </w:tc>
        <w:tc>
          <w:tcPr/>
          <w:p>
            <w:pPr>
              <w:pStyle w:val="Compact"/>
            </w:pPr>
            <w:hyperlink r:id="rId95">
              <w:r>
                <w:rPr>
                  <w:rStyle w:val="Hyperlink"/>
                </w:rPr>
                <w:t xml:space="preserve">https://www.sciencedirect.com/journal/journal-of-pediatric-and-adolescent-gynecology/vol/30/issue/2</w:t>
              </w:r>
            </w:hyperlink>
          </w:p>
        </w:tc>
        <w:tc>
          <w:tcPr/>
          <w:p>
            <w:pPr>
              <w:pStyle w:val="Compact"/>
            </w:pPr>
            <w:r>
              <w:t xml:space="preserve">10.1016/j.jpag.2017.03.013</w:t>
            </w:r>
          </w:p>
        </w:tc>
      </w:tr>
      <w:tr>
        <w:tc>
          <w:tcPr/>
          <w:p>
            <w:pPr>
              <w:pStyle w:val="Compact"/>
            </w:pPr>
            <w:r>
              <w:t xml:space="preserve">2016</w:t>
            </w:r>
          </w:p>
        </w:tc>
        <w:tc>
          <w:tcPr/>
          <w:p>
            <w:pPr>
              <w:pStyle w:val="Compact"/>
            </w:pPr>
            <w:r>
              <w:t xml:space="preserve">30th ACRM, Toronto, ON</w:t>
            </w:r>
          </w:p>
        </w:tc>
        <w:tc>
          <w:tcPr/>
          <w:p>
            <w:pPr>
              <w:pStyle w:val="Compact"/>
            </w:pPr>
            <w:r>
              <w:t xml:space="preserve">29</w:t>
            </w:r>
          </w:p>
        </w:tc>
        <w:tc>
          <w:tcPr/>
          <w:p>
            <w:pPr>
              <w:pStyle w:val="Compact"/>
            </w:pPr>
            <w:r>
              <w:t xml:space="preserve">2</w:t>
            </w:r>
          </w:p>
        </w:tc>
        <w:tc>
          <w:tcPr/>
          <w:p>
            <w:pPr>
              <w:pStyle w:val="Compact"/>
            </w:pPr>
            <w:hyperlink r:id="rId96">
              <w:r>
                <w:rPr>
                  <w:rStyle w:val="Hyperlink"/>
                </w:rPr>
                <w:t xml:space="preserve">https://www.sciencedirect.com/journal/journal-of-pediatric-and-adolescent-gynecology/vol/29/issue/2</w:t>
              </w:r>
            </w:hyperlink>
          </w:p>
        </w:tc>
        <w:tc>
          <w:tcPr/>
          <w:p>
            <w:pPr>
              <w:pStyle w:val="Compact"/>
            </w:pPr>
            <w:r>
              <w:t xml:space="preserve">10.1016/j.jpag.2016.01.003</w:t>
            </w:r>
          </w:p>
        </w:tc>
      </w:tr>
      <w:tr>
        <w:tc>
          <w:tcPr/>
          <w:p>
            <w:pPr>
              <w:pStyle w:val="Compact"/>
            </w:pPr>
            <w:r>
              <w:t xml:space="preserve">2015</w:t>
            </w:r>
          </w:p>
        </w:tc>
        <w:tc>
          <w:tcPr/>
          <w:p>
            <w:pPr>
              <w:pStyle w:val="Compact"/>
            </w:pPr>
            <w:r>
              <w:t xml:space="preserve">29th ACRM, Orlando, FL</w:t>
            </w:r>
          </w:p>
        </w:tc>
        <w:tc>
          <w:tcPr/>
          <w:p>
            <w:pPr>
              <w:pStyle w:val="Compact"/>
            </w:pPr>
            <w:r>
              <w:t xml:space="preserve">28</w:t>
            </w:r>
          </w:p>
        </w:tc>
        <w:tc>
          <w:tcPr/>
          <w:p>
            <w:pPr>
              <w:pStyle w:val="Compact"/>
            </w:pPr>
            <w:r>
              <w:t xml:space="preserve">2</w:t>
            </w:r>
          </w:p>
        </w:tc>
        <w:tc>
          <w:tcPr/>
          <w:p>
            <w:pPr>
              <w:pStyle w:val="Compact"/>
            </w:pPr>
            <w:hyperlink r:id="rId97">
              <w:r>
                <w:rPr>
                  <w:rStyle w:val="Hyperlink"/>
                </w:rPr>
                <w:t xml:space="preserve">https://www.sciencedirect.com/journal/journal-of-pediatric-and-adolescent-gynecology/vol/28/issue/2</w:t>
              </w:r>
            </w:hyperlink>
          </w:p>
        </w:tc>
        <w:tc>
          <w:tcPr/>
          <w:p>
            <w:pPr>
              <w:pStyle w:val="Compact"/>
            </w:pPr>
            <w:r>
              <w:t xml:space="preserve">10.1016/j.jpag.2015.02.005</w:t>
            </w:r>
          </w:p>
        </w:tc>
      </w:tr>
      <w:tr>
        <w:tc>
          <w:tcPr/>
          <w:p>
            <w:pPr>
              <w:pStyle w:val="Compact"/>
            </w:pPr>
            <w:r>
              <w:t xml:space="preserve">2014</w:t>
            </w:r>
          </w:p>
        </w:tc>
        <w:tc>
          <w:tcPr/>
          <w:p>
            <w:pPr>
              <w:pStyle w:val="Compact"/>
            </w:pPr>
            <w:r>
              <w:t xml:space="preserve">28th ACRM, Philadelphia, PA</w:t>
            </w:r>
          </w:p>
        </w:tc>
        <w:tc>
          <w:tcPr/>
          <w:p>
            <w:pPr>
              <w:pStyle w:val="Compact"/>
            </w:pPr>
            <w:r>
              <w:t xml:space="preserve">27</w:t>
            </w:r>
          </w:p>
        </w:tc>
        <w:tc>
          <w:tcPr/>
          <w:p>
            <w:pPr>
              <w:pStyle w:val="Compact"/>
            </w:pPr>
            <w:r>
              <w:t xml:space="preserve">2</w:t>
            </w:r>
          </w:p>
        </w:tc>
        <w:tc>
          <w:tcPr/>
          <w:p>
            <w:pPr>
              <w:pStyle w:val="Compact"/>
            </w:pPr>
            <w:hyperlink r:id="rId98">
              <w:r>
                <w:rPr>
                  <w:rStyle w:val="Hyperlink"/>
                </w:rPr>
                <w:t xml:space="preserve">https://www.sciencedirect.com/journal/journal-of-pediatric-and-adolescent-gynecology/vol/27/issue/2</w:t>
              </w:r>
            </w:hyperlink>
          </w:p>
        </w:tc>
        <w:tc>
          <w:tcPr/>
          <w:p>
            <w:pPr>
              <w:pStyle w:val="Compact"/>
            </w:pPr>
            <w:r>
              <w:t xml:space="preserve">10.1016/j.jpag.2014.01.007</w:t>
            </w:r>
          </w:p>
        </w:tc>
      </w:tr>
      <w:tr>
        <w:tc>
          <w:tcPr/>
          <w:p>
            <w:pPr>
              <w:pStyle w:val="Compact"/>
            </w:pPr>
            <w:r>
              <w:t xml:space="preserve">2013</w:t>
            </w:r>
          </w:p>
        </w:tc>
        <w:tc>
          <w:tcPr/>
          <w:p>
            <w:pPr>
              <w:pStyle w:val="Compact"/>
            </w:pPr>
            <w:r>
              <w:t xml:space="preserve">27th ACRM</w:t>
            </w:r>
          </w:p>
        </w:tc>
        <w:tc>
          <w:tcPr/>
          <w:p>
            <w:pPr>
              <w:pStyle w:val="Compact"/>
            </w:pPr>
            <w:r>
              <w:t xml:space="preserve">26</w:t>
            </w:r>
          </w:p>
        </w:tc>
        <w:tc>
          <w:tcPr/>
          <w:p>
            <w:pPr>
              <w:pStyle w:val="Compact"/>
            </w:pPr>
            <w:r>
              <w:t xml:space="preserve">2</w:t>
            </w:r>
          </w:p>
        </w:tc>
        <w:tc>
          <w:tcPr/>
          <w:p>
            <w:pPr>
              <w:pStyle w:val="Compact"/>
            </w:pPr>
            <w:hyperlink r:id="rId99">
              <w:r>
                <w:rPr>
                  <w:rStyle w:val="Hyperlink"/>
                </w:rPr>
                <w:t xml:space="preserve">https://www.sciencedirect.com/journal/journal-of-pediatric-and-adolescent-gynecology/vol/26/issue/2</w:t>
              </w:r>
            </w:hyperlink>
          </w:p>
        </w:tc>
        <w:tc>
          <w:tcPr/>
          <w:p>
            <w:pPr>
              <w:pStyle w:val="Compact"/>
            </w:pPr>
            <w:r>
              <w:t xml:space="preserve">10.1016/j.jpag.2013.01.005</w:t>
            </w:r>
          </w:p>
        </w:tc>
      </w:tr>
    </w:tbl>
    <w:p>
      <w:pPr>
        <w:pStyle w:val="BodyText"/>
      </w:pPr>
      <w:r>
        <w:rPr>
          <w:i/>
          <w:iCs/>
        </w:rPr>
        <w:t xml:space="preserve">Sources:</w:t>
      </w:r>
      <w:r>
        <w:rPr>
          <w:i/>
          <w:iCs/>
        </w:rPr>
        <w:t xml:space="preserve"> </w:t>
      </w:r>
      <w:hyperlink r:id="rId100">
        <w:r>
          <w:rPr>
            <w:rStyle w:val="Hyperlink"/>
            <w:i/>
            <w:iCs/>
          </w:rPr>
          <w:t xml:space="preserve">https://www.sciencedirect.com/journal/journal-of-pediatric-and-adolescent-gynecology</w:t>
        </w:r>
      </w:hyperlink>
      <w:r>
        <w:rPr>
          <w:i/>
          <w:iCs/>
        </w:rPr>
        <w:t xml:space="preserve">;</w:t>
      </w:r>
      <w:r>
        <w:rPr>
          <w:i/>
          <w:iCs/>
        </w:rPr>
        <w:t xml:space="preserve"> </w:t>
      </w:r>
      <w:hyperlink r:id="rId101">
        <w:r>
          <w:rPr>
            <w:rStyle w:val="Hyperlink"/>
            <w:i/>
            <w:iCs/>
          </w:rPr>
          <w:t xml:space="preserve">https://www.naspag.org/acrm-future-and-past</w:t>
        </w:r>
      </w:hyperlink>
    </w:p>
    <w:p>
      <w:r>
        <w:pict>
          <v:rect style="width:0;height:1.5pt" o:hralign="center" o:hrstd="t" o:hr="t"/>
        </w:pict>
      </w:r>
    </w:p>
    <w:bookmarkEnd w:id="102"/>
    <w:bookmarkStart w:id="103" w:name="Xd595ffef2965248d70e8ae14a73e011624ff54c"/>
    <w:p>
      <w:pPr>
        <w:pStyle w:val="Heading3"/>
      </w:pPr>
      <w:r>
        <w:t xml:space="preserve">A11.14 Metadata Fields Available in Each Society’s Published Abstracts</w:t>
      </w:r>
    </w:p>
    <w:p>
      <w:pPr>
        <w:pStyle w:val="FirstParagraph"/>
      </w:pPr>
      <w:r>
        <w:t xml:space="preserve">A critical determinant of pipeline performance is the author and affiliation metadata embedded in the published abstract. Richer metadata enables more precise PubMed matching (via full first names), better ORCID disambiguation (via affiliation strings), and more complete author-characteristic enrichment (gender, career stage, subspecialty). The table below summarizes what is consistently available for each society.</w:t>
      </w:r>
    </w:p>
    <w:tbl>
      <w:tblPr>
        <w:tblStyle w:val="Table"/>
        <w:tblW w:type="pct" w:w="5000"/>
        <w:tblLayout w:type="fixed"/>
        <w:tblLook w:firstRow="1" w:lastRow="0" w:firstColumn="0" w:lastColumn="0" w:noHBand="0" w:noVBand="0" w:val="0020"/>
      </w:tblPr>
      <w:tblGrid>
        <w:gridCol w:w="538"/>
        <w:gridCol w:w="999"/>
        <w:gridCol w:w="999"/>
        <w:gridCol w:w="922"/>
        <w:gridCol w:w="1691"/>
        <w:gridCol w:w="1614"/>
        <w:gridCol w:w="1153"/>
      </w:tblGrid>
      <w:tr>
        <w:trPr>
          <w:tblHeader w:val="on"/>
        </w:trPr>
        <w:tc>
          <w:tcPr/>
          <w:p>
            <w:pPr>
              <w:pStyle w:val="Compact"/>
            </w:pPr>
            <w:r>
              <w:t xml:space="preserve">Field</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c>
          <w:tcPr/>
          <w:p>
            <w:pPr>
              <w:pStyle w:val="Compact"/>
            </w:pPr>
            <w:r>
              <w:t xml:space="preserve">NASPAG (JPAG)</w:t>
            </w:r>
          </w:p>
        </w:tc>
      </w:tr>
      <w:tr>
        <w:tc>
          <w:tcPr/>
          <w:p>
            <w:pPr>
              <w:pStyle w:val="Compact"/>
            </w:pPr>
            <w:r>
              <w:rPr>
                <w:b/>
                <w:bCs/>
              </w:rPr>
              <w:t xml:space="preserve">Abstract title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Abstract text</w:t>
            </w:r>
          </w:p>
        </w:tc>
        <w:tc>
          <w:tcPr/>
          <w:p>
            <w:pPr>
              <w:pStyle w:val="Compact"/>
            </w:pPr>
            <w:r>
              <w:t xml:space="preserve">Partial (2012–2018 paywalled)</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full first name</w:t>
            </w:r>
          </w:p>
        </w:tc>
        <w:tc>
          <w:tcPr/>
          <w:p>
            <w:pPr>
              <w:pStyle w:val="Compact"/>
            </w:pPr>
            <w:r>
              <w:rPr>
                <w:b/>
                <w:bCs/>
              </w:rPr>
              <w:t xml:space="preserve">No — 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full names</w:t>
            </w:r>
          </w:p>
        </w:tc>
        <w:tc>
          <w:tcPr/>
          <w:p>
            <w:pPr>
              <w:pStyle w:val="Compact"/>
            </w:pPr>
            <w:r>
              <w:t xml:space="preserve">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Author count</w:t>
            </w:r>
          </w:p>
        </w:tc>
        <w:tc>
          <w:tcPr/>
          <w:p>
            <w:pPr>
              <w:pStyle w:val="Compact"/>
            </w:pPr>
            <w:r>
              <w:t xml:space="preserve">Yes (parseable)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affiliation</w:t>
            </w:r>
          </w:p>
        </w:tc>
        <w:tc>
          <w:tcPr/>
          <w:p>
            <w:pPr>
              <w:pStyle w:val="Compact"/>
            </w:pPr>
            <w:r>
              <w:t xml:space="preserve">Partial (52.7% via backfill)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affiliations</w:t>
            </w:r>
          </w:p>
        </w:tc>
        <w:tc>
          <w:tcPr/>
          <w:p>
            <w:pPr>
              <w:pStyle w:val="Compact"/>
            </w:pPr>
            <w:r>
              <w:t xml:space="preserve">Partial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Corresponding author email</w:t>
            </w:r>
          </w:p>
        </w:tc>
        <w:tc>
          <w:tcPr/>
          <w:p>
            <w:pPr>
              <w:pStyle w:val="Compact"/>
            </w:pPr>
            <w:r>
              <w:t xml:space="preserve">No</w:t>
            </w:r>
          </w:p>
        </w:tc>
        <w:tc>
          <w:tcPr/>
          <w:p>
            <w:pPr>
              <w:pStyle w:val="Compact"/>
            </w:pPr>
            <w:r>
              <w:t xml:space="preserve">Rarely</w:t>
            </w:r>
          </w:p>
        </w:tc>
        <w:tc>
          <w:tcPr/>
          <w:p>
            <w:pPr>
              <w:pStyle w:val="Compact"/>
            </w:pPr>
            <w:r>
              <w:t xml:space="preserve">Rarely</w:t>
            </w:r>
          </w:p>
        </w:tc>
        <w:tc>
          <w:tcPr/>
          <w:p>
            <w:pPr>
              <w:pStyle w:val="Compact"/>
            </w:pPr>
            <w:r>
              <w:t xml:space="preserve">Sometimes</w:t>
            </w:r>
          </w:p>
        </w:tc>
        <w:tc>
          <w:tcPr/>
          <w:p>
            <w:pPr>
              <w:pStyle w:val="Compact"/>
            </w:pPr>
            <w:r>
              <w:t xml:space="preserve">Sometimes</w:t>
            </w:r>
          </w:p>
        </w:tc>
        <w:tc>
          <w:tcPr/>
          <w:p>
            <w:pPr>
              <w:pStyle w:val="Compact"/>
            </w:pPr>
            <w:r>
              <w:t xml:space="preserve">Rarely</w:t>
            </w:r>
          </w:p>
        </w:tc>
      </w:tr>
      <w:tr>
        <w:tc>
          <w:tcPr/>
          <w:p>
            <w:pPr>
              <w:pStyle w:val="Compact"/>
            </w:pPr>
            <w:r>
              <w:rPr>
                <w:b/>
                <w:bCs/>
              </w:rPr>
              <w:t xml:space="preserve">Individual abstract DOI</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No</w:t>
            </w:r>
          </w:p>
        </w:tc>
        <w:tc>
          <w:tcPr/>
          <w:p>
            <w:pPr>
              <w:pStyle w:val="Compact"/>
            </w:pPr>
            <w:r>
              <w:rPr>
                <w:b/>
                <w:bCs/>
              </w:rPr>
              <w:t xml:space="preserve">No</w:t>
            </w:r>
          </w:p>
        </w:tc>
        <w:tc>
          <w:tcPr/>
          <w:p>
            <w:pPr>
              <w:pStyle w:val="Compact"/>
            </w:pPr>
            <w:r>
              <w:t xml:space="preserve">Yes</w:t>
            </w:r>
          </w:p>
        </w:tc>
      </w:tr>
      <w:tr>
        <w:tc>
          <w:tcPr/>
          <w:p>
            <w:pPr>
              <w:pStyle w:val="Compact"/>
            </w:pPr>
            <w:r>
              <w:rPr>
                <w:b/>
                <w:bCs/>
              </w:rPr>
              <w:t xml:space="preserve">Platform</w:t>
            </w:r>
          </w:p>
        </w:tc>
        <w:tc>
          <w:tcPr/>
          <w:p>
            <w:pPr>
              <w:pStyle w:val="Compact"/>
            </w:pPr>
            <w:r>
              <w:t xml:space="preserve">ScienceDirect</w:t>
            </w:r>
          </w:p>
        </w:tc>
        <w:tc>
          <w:tcPr/>
          <w:p>
            <w:pPr>
              <w:pStyle w:val="Compact"/>
            </w:pPr>
            <w:r>
              <w:t xml:space="preserve">ScienceDirect</w:t>
            </w:r>
          </w:p>
        </w:tc>
        <w:tc>
          <w:tcPr/>
          <w:p>
            <w:pPr>
              <w:pStyle w:val="Compact"/>
            </w:pPr>
            <w:r>
              <w:t xml:space="preserve">ScienceDirect</w:t>
            </w:r>
          </w:p>
        </w:tc>
        <w:tc>
          <w:tcPr/>
          <w:p>
            <w:pPr>
              <w:pStyle w:val="Compact"/>
            </w:pPr>
            <w:r>
              <w:t xml:space="preserve">LWW</w:t>
            </w:r>
          </w:p>
        </w:tc>
        <w:tc>
          <w:tcPr/>
          <w:p>
            <w:pPr>
              <w:pStyle w:val="Compact"/>
            </w:pPr>
            <w:r>
              <w:t xml:space="preserve">ScienceDirect</w:t>
            </w:r>
          </w:p>
        </w:tc>
        <w:tc>
          <w:tcPr/>
          <w:p>
            <w:pPr>
              <w:pStyle w:val="Compact"/>
            </w:pPr>
            <w:r>
              <w:t xml:space="preserve">ScienceDirect</w:t>
            </w:r>
          </w:p>
        </w:tc>
      </w:tr>
      <w:tr>
        <w:tc>
          <w:tcPr/>
          <w:p>
            <w:pPr>
              <w:pStyle w:val="Compact"/>
            </w:pPr>
            <w:r>
              <w:rPr>
                <w:b/>
                <w:bCs/>
              </w:rPr>
              <w:t xml:space="preserve">Auth required to access</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rPr>
                <w:b/>
                <w:bCs/>
              </w:rP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c>
          <w:tcPr/>
          <w:p>
            <w:pPr>
              <w:pStyle w:val="Compact"/>
            </w:pPr>
            <w:r>
              <w:t xml:space="preserve">~35</w:t>
            </w:r>
          </w:p>
        </w:tc>
      </w:tr>
      <w:tr>
        <w:tc>
          <w:tcPr/>
          <w:p>
            <w:pPr>
              <w:pStyle w:val="Compact"/>
            </w:pPr>
            <w:r>
              <w:rPr>
                <w:b/>
                <w:bCs/>
              </w:rPr>
              <w:t xml:space="preserve">Years available</w:t>
            </w:r>
          </w:p>
        </w:tc>
        <w:tc>
          <w:tcPr/>
          <w:p>
            <w:pPr>
              <w:pStyle w:val="Compact"/>
            </w:pPr>
            <w:r>
              <w:t xml:space="preserve">2012–2023</w:t>
            </w:r>
          </w:p>
        </w:tc>
        <w:tc>
          <w:tcPr/>
          <w:p>
            <w:pPr>
              <w:pStyle w:val="Compact"/>
            </w:pPr>
            <w:r>
              <w:t xml:space="preserve">2013–2023</w:t>
            </w:r>
          </w:p>
        </w:tc>
        <w:tc>
          <w:tcPr/>
          <w:p>
            <w:pPr>
              <w:pStyle w:val="Compact"/>
            </w:pPr>
            <w:r>
              <w:t xml:space="preserve">2013–2023</w:t>
            </w:r>
          </w:p>
        </w:tc>
        <w:tc>
          <w:tcPr/>
          <w:p>
            <w:pPr>
              <w:pStyle w:val="Compact"/>
            </w:pPr>
            <w:r>
              <w:t xml:space="preserve">2013–2023</w:t>
            </w:r>
          </w:p>
        </w:tc>
        <w:tc>
          <w:tcPr/>
          <w:p>
            <w:pPr>
              <w:pStyle w:val="Compact"/>
            </w:pPr>
            <w:r>
              <w:t xml:space="preserve">2015–2023</w:t>
            </w:r>
          </w:p>
        </w:tc>
        <w:tc>
          <w:tcPr/>
          <w:p>
            <w:pPr>
              <w:pStyle w:val="Compact"/>
            </w:pPr>
            <w:r>
              <w:t xml:space="preserve">2013–2023</w:t>
            </w:r>
          </w:p>
        </w:tc>
      </w:tr>
    </w:tbl>
    <w:p>
      <w:pPr>
        <w:pStyle w:val="BodyText"/>
      </w:pPr>
      <w:r>
        <w:rPr>
          <w:b/>
          <w:bCs/>
        </w:rPr>
        <w:t xml:space="preserve">Key finding — AAGL’s initials-only limitation:</w:t>
      </w:r>
      <w:r>
        <w:t xml:space="preserve"> </w:t>
      </w:r>
      <w:r>
        <w:t xml:space="preserve">AAGL/JMIG is the only society where first author names are published as initials only (e.g.,</w:t>
      </w:r>
      <w:r>
        <w:t xml:space="preserve"> </w:t>
      </w:r>
      <w:r>
        <w:t xml:space="preserve">“R.S. Guido”</w:t>
      </w:r>
      <w:r>
        <w:t xml:space="preserve"> </w:t>
      </w:r>
      <w:r>
        <w:t xml:space="preserve">rather than</w:t>
      </w:r>
      <w:r>
        <w:t xml:space="preserve"> </w:t>
      </w:r>
      <w:r>
        <w:t xml:space="preserve">“Robert S. Guido”</w:t>
      </w:r>
      <w:r>
        <w:t xml:space="preserve">). This is the single most consequential metadata gap in the current pipeline, directly limiting: (1) ORCID hit rate (15.8% with full initials vs. a projected &gt;60% with full names); (2) gender inference accuracy (genderize.io requires full first names); and (3) NPI matching (exact first-name matching is disabled for 84% of US authors). All five comparison societies publish full author first names, making them substantially easier to enrich. Any multi-society expansion should treat AAGL’s initials-only format as a known limitation requiring manual resolution or supplementation from the published full paper’s author list.</w:t>
      </w:r>
    </w:p>
    <w:bookmarkEnd w:id="103"/>
    <w:bookmarkStart w:id="113" w:name="Xd2ecc76ec09a610a0ce68bf04e13a58ad614296"/>
    <w:p>
      <w:pPr>
        <w:pStyle w:val="Heading3"/>
      </w:pPr>
      <w:r>
        <w:t xml:space="preserve">A11.15 SASGOG Abstracts (2013–2023) — No Journal Publication</w:t>
      </w:r>
    </w:p>
    <w:p>
      <w:pPr>
        <w:pStyle w:val="FirstParagraph"/>
      </w:pPr>
      <w:r>
        <w:t xml:space="preserve">SASGOG (Society for Academic Specialists in General Obstetrics and Gynecology) was founded in 2012 and does</w:t>
      </w:r>
      <w:r>
        <w:t xml:space="preserve"> </w:t>
      </w:r>
      <w:r>
        <w:rPr>
          <w:b/>
          <w:bCs/>
        </w:rPr>
        <w:t xml:space="preserve">not</w:t>
      </w:r>
      <w:r>
        <w:t xml:space="preserve"> </w:t>
      </w:r>
      <w:r>
        <w:t xml:space="preserve">publish its meeting abstracts in a peer-reviewed journal. Unlike every other society in this comparison, SASGOG abstracts are posted only on the society website (sasgog.org), are not indexed in PubMed, ScienceDirect, or CrossRef, and receive no DOIs. Abstracts are limited to 300 words and undergo peer review, but formal journal publication is not part of the submission process. SASGOG does offer a</w:t>
      </w:r>
      <w:r>
        <w:t xml:space="preserve"> </w:t>
      </w:r>
      <w:r>
        <w:t xml:space="preserve">“Best Manuscript from a SASGOG Abstract Award”</w:t>
      </w:r>
      <w:r>
        <w:t xml:space="preserve"> </w:t>
      </w:r>
      <w:r>
        <w:t xml:space="preserve">to encourage conversion to full manuscripts, but the abstracts themselves are not citable with DOIs.</w:t>
      </w:r>
    </w:p>
    <w:p>
      <w:pPr>
        <w:pStyle w:val="BodyText"/>
      </w:pPr>
      <w:r>
        <w:rPr>
          <w:b/>
          <w:bCs/>
        </w:rPr>
        <w:t xml:space="preserve">Pipeline implication:</w:t>
      </w:r>
      <w:r>
        <w:t xml:space="preserve"> </w:t>
      </w:r>
      <w:r>
        <w:t xml:space="preserve">Because SASGOG abstracts lack DOIs, PubMed indexing, and structured metadata, the current pipeline cannot be applied without first scraping the society website directly to extract abstract text and author information. Matching would rely entirely on title/author string search against PubMed — the weakest of the three search strategies. For years 2013–2018, website URLs are unknown or may not exist, creating a data recovery problem analogous to the AAGL 2017 CORS-blocking issue.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URL</w:t>
            </w:r>
          </w:p>
        </w:tc>
        <w:tc>
          <w:tcPr/>
          <w:p>
            <w:pPr>
              <w:pStyle w:val="Compact"/>
            </w:pPr>
            <w:r>
              <w:t xml:space="preserve">DOIs?</w:t>
            </w:r>
          </w:p>
        </w:tc>
        <w:tc>
          <w:tcPr/>
          <w:p>
            <w:pPr>
              <w:pStyle w:val="Compact"/>
            </w:pPr>
            <w:r>
              <w:t xml:space="preserve">PubMed Indexed?</w:t>
            </w:r>
          </w:p>
        </w:tc>
      </w:tr>
      <w:tr>
        <w:tc>
          <w:tcPr/>
          <w:p>
            <w:pPr>
              <w:pStyle w:val="Compact"/>
            </w:pPr>
            <w:r>
              <w:t xml:space="preserve">2023</w:t>
            </w:r>
          </w:p>
        </w:tc>
        <w:tc>
          <w:tcPr/>
          <w:p>
            <w:pPr>
              <w:pStyle w:val="Compact"/>
            </w:pPr>
            <w:r>
              <w:t xml:space="preserve">11th</w:t>
            </w:r>
          </w:p>
        </w:tc>
        <w:tc>
          <w:tcPr/>
          <w:p>
            <w:pPr>
              <w:pStyle w:val="Compact"/>
            </w:pPr>
            <w:hyperlink r:id="rId104">
              <w:r>
                <w:rPr>
                  <w:rStyle w:val="Hyperlink"/>
                </w:rPr>
                <w:t xml:space="preserve">https://sasgog.org/2023-abstracts/</w:t>
              </w:r>
            </w:hyperlink>
          </w:p>
        </w:tc>
        <w:tc>
          <w:tcPr/>
          <w:p>
            <w:pPr>
              <w:pStyle w:val="Compact"/>
            </w:pPr>
            <w:r>
              <w:t xml:space="preserve">No</w:t>
            </w:r>
          </w:p>
        </w:tc>
        <w:tc>
          <w:tcPr/>
          <w:p>
            <w:pPr>
              <w:pStyle w:val="Compact"/>
            </w:pPr>
            <w:r>
              <w:t xml:space="preserve">No</w:t>
            </w:r>
          </w:p>
        </w:tc>
      </w:tr>
      <w:tr>
        <w:tc>
          <w:tcPr/>
          <w:p>
            <w:pPr>
              <w:pStyle w:val="Compact"/>
            </w:pPr>
            <w:r>
              <w:t xml:space="preserve">2022</w:t>
            </w:r>
          </w:p>
        </w:tc>
        <w:tc>
          <w:tcPr/>
          <w:p>
            <w:pPr>
              <w:pStyle w:val="Compact"/>
            </w:pPr>
            <w:r>
              <w:t xml:space="preserve">10th</w:t>
            </w:r>
          </w:p>
        </w:tc>
        <w:tc>
          <w:tcPr/>
          <w:p>
            <w:pPr>
              <w:pStyle w:val="Compact"/>
            </w:pPr>
            <w:hyperlink r:id="rId105">
              <w:r>
                <w:rPr>
                  <w:rStyle w:val="Hyperlink"/>
                </w:rPr>
                <w:t xml:space="preserve">https://sasgog.org/2022-abstracts/</w:t>
              </w:r>
            </w:hyperlink>
          </w:p>
        </w:tc>
        <w:tc>
          <w:tcPr/>
          <w:p>
            <w:pPr>
              <w:pStyle w:val="Compact"/>
            </w:pPr>
            <w:r>
              <w:t xml:space="preserve">No</w:t>
            </w:r>
          </w:p>
        </w:tc>
        <w:tc>
          <w:tcPr/>
          <w:p>
            <w:pPr>
              <w:pStyle w:val="Compact"/>
            </w:pPr>
            <w:r>
              <w:t xml:space="preserve">No</w:t>
            </w:r>
          </w:p>
        </w:tc>
      </w:tr>
      <w:tr>
        <w:tc>
          <w:tcPr/>
          <w:p>
            <w:pPr>
              <w:pStyle w:val="Compact"/>
            </w:pPr>
            <w:r>
              <w:t xml:space="preserve">2021</w:t>
            </w:r>
          </w:p>
        </w:tc>
        <w:tc>
          <w:tcPr/>
          <w:p>
            <w:pPr>
              <w:pStyle w:val="Compact"/>
            </w:pPr>
            <w:r>
              <w:t xml:space="preserve">9th (Virtual)</w:t>
            </w:r>
          </w:p>
        </w:tc>
        <w:tc>
          <w:tcPr/>
          <w:p>
            <w:pPr>
              <w:pStyle w:val="Compact"/>
            </w:pPr>
            <w:hyperlink r:id="rId106">
              <w:r>
                <w:rPr>
                  <w:rStyle w:val="Hyperlink"/>
                </w:rPr>
                <w:t xml:space="preserve">https://sasgog.org/2021-abstracts/</w:t>
              </w:r>
            </w:hyperlink>
          </w:p>
        </w:tc>
        <w:tc>
          <w:tcPr/>
          <w:p>
            <w:pPr>
              <w:pStyle w:val="Compact"/>
            </w:pPr>
            <w:r>
              <w:t xml:space="preserve">No</w:t>
            </w:r>
          </w:p>
        </w:tc>
        <w:tc>
          <w:tcPr/>
          <w:p>
            <w:pPr>
              <w:pStyle w:val="Compact"/>
            </w:pPr>
            <w:r>
              <w:t xml:space="preserve">No</w:t>
            </w:r>
          </w:p>
        </w:tc>
      </w:tr>
      <w:tr>
        <w:tc>
          <w:tcPr/>
          <w:p>
            <w:pPr>
              <w:pStyle w:val="Compact"/>
            </w:pPr>
            <w:r>
              <w:t xml:space="preserve">2020</w:t>
            </w:r>
          </w:p>
        </w:tc>
        <w:tc>
          <w:tcPr/>
          <w:p>
            <w:pPr>
              <w:pStyle w:val="Compact"/>
            </w:pPr>
            <w:r>
              <w:t xml:space="preserve">8th (Virtual)</w:t>
            </w:r>
          </w:p>
        </w:tc>
        <w:tc>
          <w:tcPr/>
          <w:p>
            <w:pPr>
              <w:pStyle w:val="Compact"/>
            </w:pPr>
            <w:hyperlink r:id="rId107">
              <w:r>
                <w:rPr>
                  <w:rStyle w:val="Hyperlink"/>
                </w:rPr>
                <w:t xml:space="preserve">https://sasgog.org/2020-abstracts/</w:t>
              </w:r>
            </w:hyperlink>
          </w:p>
        </w:tc>
        <w:tc>
          <w:tcPr/>
          <w:p>
            <w:pPr>
              <w:pStyle w:val="Compact"/>
            </w:pPr>
            <w:r>
              <w:t xml:space="preserve">No</w:t>
            </w:r>
          </w:p>
        </w:tc>
        <w:tc>
          <w:tcPr/>
          <w:p>
            <w:pPr>
              <w:pStyle w:val="Compact"/>
            </w:pPr>
            <w:r>
              <w:t xml:space="preserve">No</w:t>
            </w:r>
          </w:p>
        </w:tc>
      </w:tr>
      <w:tr>
        <w:tc>
          <w:tcPr/>
          <w:p>
            <w:pPr>
              <w:pStyle w:val="Compact"/>
            </w:pPr>
            <w:r>
              <w:t xml:space="preserve">2019</w:t>
            </w:r>
          </w:p>
        </w:tc>
        <w:tc>
          <w:tcPr/>
          <w:p>
            <w:pPr>
              <w:pStyle w:val="Compact"/>
            </w:pPr>
            <w:r>
              <w:t xml:space="preserve">7th</w:t>
            </w:r>
          </w:p>
        </w:tc>
        <w:tc>
          <w:tcPr/>
          <w:p>
            <w:pPr>
              <w:pStyle w:val="Compact"/>
            </w:pPr>
            <w:hyperlink r:id="rId108">
              <w:r>
                <w:rPr>
                  <w:rStyle w:val="Hyperlink"/>
                </w:rPr>
                <w:t xml:space="preserve">https://sasgog.org/2019-abstracts/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2018</w:t>
            </w:r>
          </w:p>
        </w:tc>
        <w:tc>
          <w:tcPr/>
          <w:p>
            <w:pPr>
              <w:pStyle w:val="Compact"/>
            </w:pPr>
            <w:r>
              <w:t xml:space="preserve">6th</w:t>
            </w:r>
          </w:p>
        </w:tc>
        <w:tc>
          <w:tcPr/>
          <w:p>
            <w:pPr>
              <w:pStyle w:val="Compact"/>
            </w:pPr>
            <w:hyperlink r:id="rId109">
              <w:r>
                <w:rPr>
                  <w:rStyle w:val="Hyperlink"/>
                </w:rPr>
                <w:t xml:space="preserve">https://sasgog.org/2018-abstracts/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2017</w:t>
            </w:r>
          </w:p>
        </w:tc>
        <w:tc>
          <w:tcPr/>
          <w:p>
            <w:pPr>
              <w:pStyle w:val="Compact"/>
            </w:pPr>
            <w:r>
              <w:t xml:space="preserve">5th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2016</w:t>
            </w:r>
          </w:p>
        </w:tc>
        <w:tc>
          <w:tcPr/>
          <w:p>
            <w:pPr>
              <w:pStyle w:val="Compact"/>
            </w:pPr>
            <w:r>
              <w:t xml:space="preserve">4th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2015</w:t>
            </w:r>
          </w:p>
        </w:tc>
        <w:tc>
          <w:tcPr/>
          <w:p>
            <w:pPr>
              <w:pStyle w:val="Compact"/>
            </w:pPr>
            <w:r>
              <w:t xml:space="preserve">3rd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2014</w:t>
            </w:r>
          </w:p>
        </w:tc>
        <w:tc>
          <w:tcPr/>
          <w:p>
            <w:pPr>
              <w:pStyle w:val="Compact"/>
            </w:pPr>
            <w:r>
              <w:t xml:space="preserve">2nd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2013</w:t>
            </w:r>
          </w:p>
        </w:tc>
        <w:tc>
          <w:tcPr/>
          <w:p>
            <w:pPr>
              <w:pStyle w:val="Compact"/>
            </w:pPr>
            <w:r>
              <w:t xml:space="preserve">1st</w:t>
            </w:r>
          </w:p>
        </w:tc>
        <w:tc>
          <w:tcPr/>
          <w:p>
            <w:pPr>
              <w:pStyle w:val="Compact"/>
            </w:pPr>
            <w:r>
              <w:t xml:space="preserve">May not exist (society founded 2012)</w:t>
            </w:r>
          </w:p>
        </w:tc>
        <w:tc>
          <w:tcPr/>
          <w:p>
            <w:pPr>
              <w:pStyle w:val="Compact"/>
            </w:pPr>
            <w:r>
              <w:t xml:space="preserve">No</w:t>
            </w:r>
          </w:p>
        </w:tc>
        <w:tc>
          <w:tcPr/>
          <w:p>
            <w:pPr>
              <w:pStyle w:val="Compact"/>
            </w:pPr>
            <w:r>
              <w:t xml:space="preserve">No</w:t>
            </w:r>
          </w:p>
        </w:tc>
      </w:tr>
    </w:tbl>
    <w:p>
      <w:pPr>
        <w:pStyle w:val="BodyText"/>
      </w:pPr>
      <w:r>
        <w:rPr>
          <w:i/>
          <w:iCs/>
        </w:rPr>
        <w:t xml:space="preserve">Sources:</w:t>
      </w:r>
      <w:r>
        <w:rPr>
          <w:i/>
          <w:iCs/>
        </w:rPr>
        <w:t xml:space="preserve"> </w:t>
      </w:r>
      <w:hyperlink r:id="rId110">
        <w:r>
          <w:rPr>
            <w:rStyle w:val="Hyperlink"/>
            <w:i/>
            <w:iCs/>
          </w:rPr>
          <w:t xml:space="preserve">https://sasgog.org/abstracts/</w:t>
        </w:r>
      </w:hyperlink>
      <w:r>
        <w:rPr>
          <w:i/>
          <w:iCs/>
        </w:rPr>
        <w:t xml:space="preserve">;</w:t>
      </w:r>
      <w:r>
        <w:rPr>
          <w:i/>
          <w:iCs/>
        </w:rPr>
        <w:t xml:space="preserve"> </w:t>
      </w:r>
      <w:hyperlink r:id="rId111">
        <w:r>
          <w:rPr>
            <w:rStyle w:val="Hyperlink"/>
            <w:i/>
            <w:iCs/>
          </w:rPr>
          <w:t xml:space="preserve">https://sasgog.org/about/</w:t>
        </w:r>
      </w:hyperlink>
      <w:r>
        <w:rPr>
          <w:i/>
          <w:iCs/>
        </w:rPr>
        <w:t xml:space="preserve">;</w:t>
      </w:r>
      <w:r>
        <w:rPr>
          <w:i/>
          <w:iCs/>
        </w:rPr>
        <w:t xml:space="preserve"> </w:t>
      </w:r>
      <w:hyperlink r:id="rId112">
        <w:r>
          <w:rPr>
            <w:rStyle w:val="Hyperlink"/>
            <w:i/>
            <w:iCs/>
          </w:rPr>
          <w:t xml:space="preserve">https://sasgog.org/annual-meeting/</w:t>
        </w:r>
      </w:hyperlink>
    </w:p>
    <w:p>
      <w:r>
        <w:pict>
          <v:rect style="width:0;height:1.5pt" o:hralign="center" o:hrstd="t" o:hr="t"/>
        </w:pict>
      </w:r>
    </w:p>
    <w:bookmarkEnd w:id="113"/>
    <w:bookmarkStart w:id="114" w:name="X7b18389947ade32de4525295c441a70d797cd2a"/>
    <w:p>
      <w:pPr>
        <w:pStyle w:val="Heading3"/>
      </w:pPr>
      <w:r>
        <w:t xml:space="preserve">A11.16 Complete Society Comparison — Abstract Accessibility and Pipeline Feasibility</w:t>
      </w:r>
    </w:p>
    <w:p>
      <w:pPr>
        <w:pStyle w:val="FirstParagraph"/>
      </w:pPr>
      <w:r>
        <w:t xml:space="preserve">The table below summarizes all seven societies assessed for pipeline expansion, ranked by pipeline feasibility.</w:t>
      </w:r>
    </w:p>
    <w:tbl>
      <w:tblPr>
        <w:tblStyle w:val="Table"/>
        <w:tblW w:type="pct" w:w="5000"/>
        <w:tblLayout w:type="fixed"/>
        <w:tblLook w:firstRow="1" w:lastRow="0" w:firstColumn="0" w:lastColumn="0" w:noHBand="0" w:noVBand="0" w:val="0020"/>
      </w:tblPr>
      <w:tblGrid>
        <w:gridCol w:w="619"/>
        <w:gridCol w:w="619"/>
        <w:gridCol w:w="688"/>
        <w:gridCol w:w="1101"/>
        <w:gridCol w:w="1101"/>
        <w:gridCol w:w="1033"/>
        <w:gridCol w:w="1308"/>
        <w:gridCol w:w="1446"/>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Pipeline 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Feasibility criteria:</w:t>
      </w:r>
      <w:r>
        <w:t xml:space="preserve"> </w:t>
      </w:r>
      <w:r>
        <w:t xml:space="preserve">High = individual DOIs + Elsevier/ScienceDirect + no auth; Medium = collection-level DOIs or non-Elsevier platform requiring new scraper; Low = no journal publication, no DOIs, no PubMed indexing.</w:t>
      </w:r>
    </w:p>
    <w:bookmarkEnd w:id="114"/>
    <w:bookmarkStart w:id="115" w:name="X61b833992d9025087d2a690a5fd5e57ff4747fa"/>
    <w:p>
      <w:pPr>
        <w:pStyle w:val="Heading3"/>
      </w:pPr>
      <w:r>
        <w:t xml:space="preserve">A11.17 SGO Annual Meeting Abstracts (2013–2023)</w:t>
      </w:r>
    </w:p>
    <w:p>
      <w:pPr>
        <w:pStyle w:val="FirstParagraph"/>
      </w:pPr>
      <w:r>
        <w:t xml:space="preserve">SGO (Society of Gynecologic Oncology) annual meeting abstracts are published as supplement issues of</w:t>
      </w:r>
      <w:r>
        <w:t xml:space="preserve"> </w:t>
      </w:r>
      <w:r>
        <w:rPr>
          <w:i/>
          <w:iCs/>
        </w:rPr>
        <w:t xml:space="preserve">Gynecologic Oncology</w:t>
      </w:r>
      <w:r>
        <w:t xml:space="preserve"> </w:t>
      </w:r>
      <w:r>
        <w:t xml:space="preserve">(ISSN 0090-8258, Elsevier/ScienceDirect). Every abstract receives a unique DOI — guaranteed by CrossRef registration enforcement, Elsevier’s PII system (algorithmically unique within the journal namespace), and sequential article numbering (monotonically increasing NNN counter per calendar month). Individual abstract DOIs resolve publicly via</w:t>
      </w:r>
      <w:r>
        <w:t xml:space="preserve"> </w:t>
      </w:r>
      <w:r>
        <w:rPr>
          <w:rStyle w:val="VerbatimChar"/>
        </w:rPr>
        <w:t xml:space="preserve">https://doi.org/10.1016/j.ygyno.YYYY.MM.NNN</w:t>
      </w:r>
      <w:r>
        <w:t xml:space="preserve">; full supplement browsing requires institutional ScienceDirect access.</w:t>
      </w:r>
    </w:p>
    <w:p>
      <w:pPr>
        <w:pStyle w:val="BodyText"/>
      </w:pPr>
      <w:r>
        <w:rPr>
          <w:b/>
          <w:bCs/>
        </w:rPr>
        <w:t xml:space="preserve">2013 note:</w:t>
      </w:r>
      <w:r>
        <w:t xml:space="preserve"> </w:t>
      </w:r>
      <w:r>
        <w:t xml:space="preserve">No dedicated SGO abstract supplement exists for 2013. Volume 129 Suppl S1 is an unrelated genomics supplement. The closest published record is a</w:t>
      </w:r>
      <w:r>
        <w:t xml:space="preserve"> </w:t>
      </w:r>
      <w:r>
        <w:t xml:space="preserve">“Summary of the 44th Annual Meeting on Women’s Cancers”</w:t>
      </w:r>
      <w:r>
        <w:t xml:space="preserve"> </w:t>
      </w:r>
      <w:r>
        <w:t xml:space="preserve">(DOI 10.1016/j.ygyno.2013.03.028, Vol 129 Issue 2). Dedicated SGO supplement issues began consistently in 2014.</w:t>
      </w:r>
    </w:p>
    <w:p>
      <w:pPr>
        <w:pStyle w:val="BodyText"/>
      </w:pPr>
      <w:r>
        <w:rPr>
          <w:b/>
          <w:bCs/>
        </w:rPr>
        <w:t xml:space="preserve">2020 note:</w:t>
      </w:r>
      <w:r>
        <w:t xml:space="preserve"> </w:t>
      </w:r>
      <w:r>
        <w:t xml:space="preserve">The in-person meeting was cancelled due to COVID-19 — SGO’s first cancellation in history. All 757 selected abstracts (49 plenary + 59 featured poster + 635 poster + 14 late-breaking) were still published in the October 2020 supplement, and SGO held free webinars to present the science.</w:t>
      </w:r>
    </w:p>
    <w:tbl>
      <w:tblPr>
        <w:tblStyle w:val="Table"/>
        <w:tblW w:type="pct" w:w="5000"/>
        <w:tblLayout w:type="fixed"/>
        <w:tblLook w:firstRow="1" w:lastRow="0" w:firstColumn="0" w:lastColumn="0" w:noHBand="0" w:noVBand="0" w:val="0020"/>
      </w:tblPr>
      <w:tblGrid>
        <w:gridCol w:w="617"/>
        <w:gridCol w:w="1234"/>
        <w:gridCol w:w="822"/>
        <w:gridCol w:w="1954"/>
        <w:gridCol w:w="1337"/>
        <w:gridCol w:w="1954"/>
      </w:tblGrid>
      <w:tr>
        <w:trPr>
          <w:tblHeader w:val="on"/>
        </w:trPr>
        <w:tc>
          <w:tcPr/>
          <w:p>
            <w:pPr>
              <w:pStyle w:val="Compact"/>
            </w:pPr>
            <w:r>
              <w:t xml:space="preserve">Year</w:t>
            </w:r>
          </w:p>
        </w:tc>
        <w:tc>
          <w:tcPr/>
          <w:p>
            <w:pPr>
              <w:pStyle w:val="Compact"/>
            </w:pPr>
            <w:r>
              <w:t xml:space="preserve">SGO Meeting</w:t>
            </w:r>
          </w:p>
        </w:tc>
        <w:tc>
          <w:tcPr/>
          <w:p>
            <w:pPr>
              <w:pStyle w:val="Compact"/>
            </w:pPr>
            <w:r>
              <w:t xml:space="preserve">Volume</w:t>
            </w:r>
          </w:p>
        </w:tc>
        <w:tc>
          <w:tcPr/>
          <w:p>
            <w:pPr>
              <w:pStyle w:val="Compact"/>
            </w:pPr>
            <w:r>
              <w:t xml:space="preserve">ScienceDirect URL</w:t>
            </w:r>
          </w:p>
        </w:tc>
        <w:tc>
          <w:tcPr/>
          <w:p>
            <w:pPr>
              <w:pStyle w:val="Compact"/>
            </w:pPr>
            <w:r>
              <w:t xml:space="preserve">DOI Pattern</w:t>
            </w:r>
          </w:p>
        </w:tc>
        <w:tc>
          <w:tcPr/>
          <w:p>
            <w:pPr>
              <w:pStyle w:val="Compact"/>
            </w:pPr>
            <w:r>
              <w:t xml:space="preserve">Approx. Abstracts</w:t>
            </w:r>
          </w:p>
        </w:tc>
      </w:tr>
      <w:tr>
        <w:tc>
          <w:tcPr/>
          <w:p>
            <w:pPr>
              <w:pStyle w:val="Compact"/>
            </w:pPr>
            <w:r>
              <w:t xml:space="preserve">2023</w:t>
            </w:r>
          </w:p>
        </w:tc>
        <w:tc>
          <w:tcPr/>
          <w:p>
            <w:pPr>
              <w:pStyle w:val="Compact"/>
            </w:pPr>
            <w:r>
              <w:t xml:space="preserve">54th Annual</w:t>
            </w:r>
          </w:p>
        </w:tc>
        <w:tc>
          <w:tcPr/>
          <w:p>
            <w:pPr>
              <w:pStyle w:val="Compact"/>
            </w:pPr>
            <w:r>
              <w:t xml:space="preserve">176, Suppl S1</w:t>
            </w:r>
          </w:p>
        </w:tc>
        <w:tc>
          <w:tcPr/>
          <w:p>
            <w:pPr>
              <w:pStyle w:val="Compact"/>
            </w:pPr>
            <w:r>
              <w:t xml:space="preserve">sciencedirect.com/…/vol/176/suppl/S1</w:t>
            </w:r>
          </w:p>
        </w:tc>
        <w:tc>
          <w:tcPr/>
          <w:p>
            <w:pPr>
              <w:pStyle w:val="Compact"/>
            </w:pPr>
            <w:r>
              <w:t xml:space="preserve">10.1016/j.ygyno.2023.06.NNN</w:t>
            </w:r>
          </w:p>
        </w:tc>
        <w:tc>
          <w:tcPr/>
          <w:p>
            <w:pPr>
              <w:pStyle w:val="Compact"/>
            </w:pPr>
            <w:r>
              <w:t xml:space="preserve">~600</w:t>
            </w:r>
          </w:p>
        </w:tc>
      </w:tr>
      <w:tr>
        <w:tc>
          <w:tcPr/>
          <w:p>
            <w:pPr>
              <w:pStyle w:val="Compact"/>
            </w:pPr>
            <w:r>
              <w:t xml:space="preserve">2022</w:t>
            </w:r>
          </w:p>
        </w:tc>
        <w:tc>
          <w:tcPr/>
          <w:p>
            <w:pPr>
              <w:pStyle w:val="Compact"/>
            </w:pPr>
            <w:r>
              <w:t xml:space="preserve">53rd Annual (Phoenix, AZ, Mar 18–21)</w:t>
            </w:r>
          </w:p>
        </w:tc>
        <w:tc>
          <w:tcPr/>
          <w:p>
            <w:pPr>
              <w:pStyle w:val="Compact"/>
            </w:pPr>
            <w:r>
              <w:t xml:space="preserve">166, Suppl S1</w:t>
            </w:r>
          </w:p>
        </w:tc>
        <w:tc>
          <w:tcPr/>
          <w:p>
            <w:pPr>
              <w:pStyle w:val="Compact"/>
            </w:pPr>
            <w:r>
              <w:t xml:space="preserve">sciencedirect.com/…/vol/166/suppl/S1</w:t>
            </w:r>
          </w:p>
        </w:tc>
        <w:tc>
          <w:tcPr/>
          <w:p>
            <w:pPr>
              <w:pStyle w:val="Compact"/>
            </w:pPr>
            <w:r>
              <w:t xml:space="preserve">10.1016/S0090-8258(22)XXXXX-X</w:t>
            </w:r>
          </w:p>
        </w:tc>
        <w:tc>
          <w:tcPr/>
          <w:p>
            <w:pPr>
              <w:pStyle w:val="Compact"/>
            </w:pPr>
            <w:r>
              <w:t xml:space="preserve">~580</w:t>
            </w:r>
          </w:p>
        </w:tc>
      </w:tr>
      <w:tr>
        <w:tc>
          <w:tcPr/>
          <w:p>
            <w:pPr>
              <w:pStyle w:val="Compact"/>
            </w:pPr>
            <w:r>
              <w:t xml:space="preserve">2021</w:t>
            </w:r>
          </w:p>
        </w:tc>
        <w:tc>
          <w:tcPr/>
          <w:p>
            <w:pPr>
              <w:pStyle w:val="Compact"/>
            </w:pPr>
            <w:r>
              <w:t xml:space="preserve">52nd Annual</w:t>
            </w:r>
          </w:p>
        </w:tc>
        <w:tc>
          <w:tcPr/>
          <w:p>
            <w:pPr>
              <w:pStyle w:val="Compact"/>
            </w:pPr>
            <w:r>
              <w:t xml:space="preserve">162, Suppl S1</w:t>
            </w:r>
          </w:p>
        </w:tc>
        <w:tc>
          <w:tcPr/>
          <w:p>
            <w:pPr>
              <w:pStyle w:val="Compact"/>
            </w:pPr>
            <w:r>
              <w:t xml:space="preserve">sciencedirect.com/…/vol/162/suppl/S1</w:t>
            </w:r>
          </w:p>
        </w:tc>
        <w:tc>
          <w:tcPr/>
          <w:p>
            <w:pPr>
              <w:pStyle w:val="Compact"/>
            </w:pPr>
            <w:r>
              <w:t xml:space="preserve">10.1016/S0090-8258(21)XXXXX-X</w:t>
            </w:r>
          </w:p>
        </w:tc>
        <w:tc>
          <w:tcPr/>
          <w:p>
            <w:pPr>
              <w:pStyle w:val="Compact"/>
            </w:pPr>
            <w:r>
              <w:t xml:space="preserve">~700</w:t>
            </w:r>
          </w:p>
        </w:tc>
      </w:tr>
      <w:tr>
        <w:tc>
          <w:tcPr/>
          <w:p>
            <w:pPr>
              <w:pStyle w:val="Compact"/>
            </w:pPr>
            <w:r>
              <w:t xml:space="preserve">2020</w:t>
            </w:r>
          </w:p>
        </w:tc>
        <w:tc>
          <w:tcPr/>
          <w:p>
            <w:pPr>
              <w:pStyle w:val="Compact"/>
            </w:pPr>
            <w:r>
              <w:t xml:space="preserve">51st Annual (cancelled — COVID-19)</w:t>
            </w:r>
          </w:p>
        </w:tc>
        <w:tc>
          <w:tcPr/>
          <w:p>
            <w:pPr>
              <w:pStyle w:val="Compact"/>
            </w:pPr>
            <w:r>
              <w:t xml:space="preserve">159, Suppl S1</w:t>
            </w:r>
          </w:p>
        </w:tc>
        <w:tc>
          <w:tcPr/>
          <w:p>
            <w:pPr>
              <w:pStyle w:val="Compact"/>
            </w:pPr>
            <w:r>
              <w:t xml:space="preserve">sciencedirect.com/…/vol/159/suppl/S1</w:t>
            </w:r>
          </w:p>
        </w:tc>
        <w:tc>
          <w:tcPr/>
          <w:p>
            <w:pPr>
              <w:pStyle w:val="Compact"/>
            </w:pPr>
            <w:r>
              <w:t xml:space="preserve">10.1016/j.ygyno.2020.06.NNN</w:t>
            </w:r>
          </w:p>
        </w:tc>
        <w:tc>
          <w:tcPr/>
          <w:p>
            <w:pPr>
              <w:pStyle w:val="Compact"/>
            </w:pPr>
            <w:r>
              <w:t xml:space="preserve">757</w:t>
            </w:r>
          </w:p>
        </w:tc>
      </w:tr>
      <w:tr>
        <w:tc>
          <w:tcPr/>
          <w:p>
            <w:pPr>
              <w:pStyle w:val="Compact"/>
            </w:pPr>
            <w:r>
              <w:t xml:space="preserve">2019</w:t>
            </w:r>
          </w:p>
        </w:tc>
        <w:tc>
          <w:tcPr/>
          <w:p>
            <w:pPr>
              <w:pStyle w:val="Compact"/>
            </w:pPr>
            <w:r>
              <w:t xml:space="preserve">50th Annual (Honolulu, HI, Mar 16–19)</w:t>
            </w:r>
          </w:p>
        </w:tc>
        <w:tc>
          <w:tcPr/>
          <w:p>
            <w:pPr>
              <w:pStyle w:val="Compact"/>
            </w:pPr>
            <w:r>
              <w:t xml:space="preserve">154, Suppl S1</w:t>
            </w:r>
          </w:p>
        </w:tc>
        <w:tc>
          <w:tcPr/>
          <w:p>
            <w:pPr>
              <w:pStyle w:val="Compact"/>
            </w:pPr>
            <w:r>
              <w:t xml:space="preserve">sciencedirect.com/…/vol/154/suppl/S1</w:t>
            </w:r>
          </w:p>
        </w:tc>
        <w:tc>
          <w:tcPr/>
          <w:p>
            <w:pPr>
              <w:pStyle w:val="Compact"/>
            </w:pPr>
            <w:r>
              <w:t xml:space="preserve">10.1016/j.ygyno.2019.04.NNN</w:t>
            </w:r>
          </w:p>
        </w:tc>
        <w:tc>
          <w:tcPr/>
          <w:p>
            <w:pPr>
              <w:pStyle w:val="Compact"/>
            </w:pPr>
            <w:r>
              <w:t xml:space="preserve">~500</w:t>
            </w:r>
          </w:p>
        </w:tc>
      </w:tr>
      <w:tr>
        <w:tc>
          <w:tcPr/>
          <w:p>
            <w:pPr>
              <w:pStyle w:val="Compact"/>
            </w:pPr>
            <w:r>
              <w:t xml:space="preserve">2018</w:t>
            </w:r>
          </w:p>
        </w:tc>
        <w:tc>
          <w:tcPr/>
          <w:p>
            <w:pPr>
              <w:pStyle w:val="Compact"/>
            </w:pPr>
            <w:r>
              <w:t xml:space="preserve">49th Annual (New Orleans, LA, Mar 24–27)</w:t>
            </w:r>
          </w:p>
        </w:tc>
        <w:tc>
          <w:tcPr/>
          <w:p>
            <w:pPr>
              <w:pStyle w:val="Compact"/>
            </w:pPr>
            <w:r>
              <w:t xml:space="preserve">149, Suppl S1</w:t>
            </w:r>
          </w:p>
        </w:tc>
        <w:tc>
          <w:tcPr/>
          <w:p>
            <w:pPr>
              <w:pStyle w:val="Compact"/>
            </w:pPr>
            <w:r>
              <w:t xml:space="preserve">sciencedirect.com/…/vol/149/suppl/S1</w:t>
            </w:r>
          </w:p>
        </w:tc>
        <w:tc>
          <w:tcPr/>
          <w:p>
            <w:pPr>
              <w:pStyle w:val="Compact"/>
            </w:pPr>
            <w:r>
              <w:t xml:space="preserve">10.1016/j.ygyno.2018.04.NNN</w:t>
            </w:r>
          </w:p>
        </w:tc>
        <w:tc>
          <w:tcPr/>
          <w:p>
            <w:pPr>
              <w:pStyle w:val="Compact"/>
            </w:pPr>
            <w:r>
              <w:t xml:space="preserve">~450</w:t>
            </w:r>
          </w:p>
        </w:tc>
      </w:tr>
      <w:tr>
        <w:tc>
          <w:tcPr/>
          <w:p>
            <w:pPr>
              <w:pStyle w:val="Compact"/>
            </w:pPr>
            <w:r>
              <w:t xml:space="preserve">2017</w:t>
            </w:r>
          </w:p>
        </w:tc>
        <w:tc>
          <w:tcPr/>
          <w:p>
            <w:pPr>
              <w:pStyle w:val="Compact"/>
            </w:pPr>
            <w:r>
              <w:t xml:space="preserve">48th Annual (National Harbor, MD, Mar 12–15)</w:t>
            </w:r>
          </w:p>
        </w:tc>
        <w:tc>
          <w:tcPr/>
          <w:p>
            <w:pPr>
              <w:pStyle w:val="Compact"/>
            </w:pPr>
            <w:r>
              <w:t xml:space="preserve">145, Suppl S1</w:t>
            </w:r>
          </w:p>
        </w:tc>
        <w:tc>
          <w:tcPr/>
          <w:p>
            <w:pPr>
              <w:pStyle w:val="Compact"/>
            </w:pPr>
            <w:r>
              <w:t xml:space="preserve">sciencedirect.com/…/vol/145/suppl/S1</w:t>
            </w:r>
          </w:p>
        </w:tc>
        <w:tc>
          <w:tcPr/>
          <w:p>
            <w:pPr>
              <w:pStyle w:val="Compact"/>
            </w:pPr>
            <w:r>
              <w:t xml:space="preserve">10.1016/j.ygyno.2017.03.NNN</w:t>
            </w:r>
          </w:p>
        </w:tc>
        <w:tc>
          <w:tcPr/>
          <w:p>
            <w:pPr>
              <w:pStyle w:val="Compact"/>
            </w:pPr>
            <w:r>
              <w:t xml:space="preserve">~500</w:t>
            </w:r>
          </w:p>
        </w:tc>
      </w:tr>
      <w:tr>
        <w:tc>
          <w:tcPr/>
          <w:p>
            <w:pPr>
              <w:pStyle w:val="Compact"/>
            </w:pPr>
            <w:r>
              <w:t xml:space="preserve">2016</w:t>
            </w:r>
          </w:p>
        </w:tc>
        <w:tc>
          <w:tcPr/>
          <w:p>
            <w:pPr>
              <w:pStyle w:val="Compact"/>
            </w:pPr>
            <w:r>
              <w:t xml:space="preserve">47th Annual (San Diego, CA, Mar 19–22)</w:t>
            </w:r>
          </w:p>
        </w:tc>
        <w:tc>
          <w:tcPr/>
          <w:p>
            <w:pPr>
              <w:pStyle w:val="Compact"/>
            </w:pPr>
            <w:r>
              <w:t xml:space="preserve">141, Suppl S1</w:t>
            </w:r>
          </w:p>
        </w:tc>
        <w:tc>
          <w:tcPr/>
          <w:p>
            <w:pPr>
              <w:pStyle w:val="Compact"/>
            </w:pPr>
            <w:r>
              <w:t xml:space="preserve">sciencedirect.com/…/vol/141/suppl/S1</w:t>
            </w:r>
          </w:p>
        </w:tc>
        <w:tc>
          <w:tcPr/>
          <w:p>
            <w:pPr>
              <w:pStyle w:val="Compact"/>
            </w:pPr>
            <w:r>
              <w:t xml:space="preserve">10.1016/j.ygyno.2016.04.NNN</w:t>
            </w:r>
          </w:p>
        </w:tc>
        <w:tc>
          <w:tcPr/>
          <w:p>
            <w:pPr>
              <w:pStyle w:val="Compact"/>
            </w:pPr>
            <w:r>
              <w:t xml:space="preserve">~600</w:t>
            </w:r>
          </w:p>
        </w:tc>
      </w:tr>
      <w:tr>
        <w:tc>
          <w:tcPr/>
          <w:p>
            <w:pPr>
              <w:pStyle w:val="Compact"/>
            </w:pPr>
            <w:r>
              <w:t xml:space="preserve">2015</w:t>
            </w:r>
          </w:p>
        </w:tc>
        <w:tc>
          <w:tcPr/>
          <w:p>
            <w:pPr>
              <w:pStyle w:val="Compact"/>
            </w:pPr>
            <w:r>
              <w:t xml:space="preserve">46th Annual (Chicago, IL, Mar 28–31)</w:t>
            </w:r>
          </w:p>
        </w:tc>
        <w:tc>
          <w:tcPr/>
          <w:p>
            <w:pPr>
              <w:pStyle w:val="Compact"/>
            </w:pPr>
            <w:r>
              <w:t xml:space="preserve">137, Suppl S1</w:t>
            </w:r>
          </w:p>
        </w:tc>
        <w:tc>
          <w:tcPr/>
          <w:p>
            <w:pPr>
              <w:pStyle w:val="Compact"/>
            </w:pPr>
            <w:r>
              <w:t xml:space="preserve">sciencedirect.com/…/vol/137/suppl/S1</w:t>
            </w:r>
          </w:p>
        </w:tc>
        <w:tc>
          <w:tcPr/>
          <w:p>
            <w:pPr>
              <w:pStyle w:val="Compact"/>
            </w:pPr>
            <w:r>
              <w:t xml:space="preserve">10.1016/j.ygyno.2015.01.NNN</w:t>
            </w:r>
          </w:p>
        </w:tc>
        <w:tc>
          <w:tcPr/>
          <w:p>
            <w:pPr>
              <w:pStyle w:val="Compact"/>
            </w:pPr>
            <w:r>
              <w:t xml:space="preserve">~600</w:t>
            </w:r>
          </w:p>
        </w:tc>
      </w:tr>
      <w:tr>
        <w:tc>
          <w:tcPr/>
          <w:p>
            <w:pPr>
              <w:pStyle w:val="Compact"/>
            </w:pPr>
            <w:r>
              <w:t xml:space="preserve">2014</w:t>
            </w:r>
          </w:p>
        </w:tc>
        <w:tc>
          <w:tcPr/>
          <w:p>
            <w:pPr>
              <w:pStyle w:val="Compact"/>
            </w:pPr>
            <w:r>
              <w:t xml:space="preserve">45th Annual</w:t>
            </w:r>
          </w:p>
        </w:tc>
        <w:tc>
          <w:tcPr/>
          <w:p>
            <w:pPr>
              <w:pStyle w:val="Compact"/>
            </w:pPr>
            <w:r>
              <w:t xml:space="preserve">133, Suppl S1</w:t>
            </w:r>
          </w:p>
        </w:tc>
        <w:tc>
          <w:tcPr/>
          <w:p>
            <w:pPr>
              <w:pStyle w:val="Compact"/>
            </w:pPr>
            <w:r>
              <w:t xml:space="preserve">sciencedirect.com/…/vol/133/suppl/S1</w:t>
            </w:r>
          </w:p>
        </w:tc>
        <w:tc>
          <w:tcPr/>
          <w:p>
            <w:pPr>
              <w:pStyle w:val="Compact"/>
            </w:pPr>
            <w:r>
              <w:t xml:space="preserve">10.1016/j.ygyno.2014.03.NNN</w:t>
            </w:r>
          </w:p>
        </w:tc>
        <w:tc>
          <w:tcPr/>
          <w:p>
            <w:pPr>
              <w:pStyle w:val="Compact"/>
            </w:pPr>
            <w:r>
              <w:t xml:space="preserve">~600</w:t>
            </w:r>
          </w:p>
        </w:tc>
      </w:tr>
      <w:tr>
        <w:tc>
          <w:tcPr/>
          <w:p>
            <w:pPr>
              <w:pStyle w:val="Compact"/>
            </w:pPr>
            <w:r>
              <w:t xml:space="preserve">2013</w:t>
            </w:r>
          </w:p>
        </w:tc>
        <w:tc>
          <w:tcPr/>
          <w:p>
            <w:pPr>
              <w:pStyle w:val="Compact"/>
            </w:pPr>
            <w:r>
              <w:t xml:space="preserve">44th Annual (Los Angeles, CA)</w:t>
            </w:r>
          </w:p>
        </w:tc>
        <w:tc>
          <w:tcPr/>
          <w:p>
            <w:pPr>
              <w:pStyle w:val="Compact"/>
            </w:pPr>
            <w:r>
              <w:t xml:space="preserve">129, Issue 2 (no Suppl S1)</w:t>
            </w:r>
          </w:p>
        </w:tc>
        <w:tc>
          <w:tcPr/>
          <w:p>
            <w:pPr>
              <w:pStyle w:val="Compact"/>
            </w:pPr>
            <w:r>
              <w:t xml:space="preserve">—</w:t>
            </w:r>
          </w:p>
        </w:tc>
        <w:tc>
          <w:tcPr/>
          <w:p>
            <w:pPr>
              <w:pStyle w:val="Compact"/>
            </w:pPr>
            <w:r>
              <w:t xml:space="preserve">10.1016/j.ygyno.2013.03.028 (meeting summary only)</w:t>
            </w:r>
          </w:p>
        </w:tc>
        <w:tc>
          <w:tcPr/>
          <w:p>
            <w:pPr>
              <w:pStyle w:val="Compact"/>
            </w:pPr>
            <w:r>
              <w:t xml:space="preserve">N/A</w:t>
            </w:r>
          </w:p>
        </w:tc>
      </w:tr>
    </w:tbl>
    <w:p>
      <w:pPr>
        <w:pStyle w:val="BodyText"/>
      </w:pPr>
      <w:r>
        <w:rPr>
          <w:i/>
          <w:iCs/>
        </w:rPr>
        <w:t xml:space="preserve">Sources: SGO Annual Meeting Abstracts; SGO 2023 Supplement (ScienceDirect); 51st Annual Meeting 2020 (PMC); gynecologiconcology-online.net</w:t>
      </w:r>
    </w:p>
    <w:p>
      <w:r>
        <w:pict>
          <v:rect style="width:0;height:1.5pt" o:hralign="center" o:hrstd="t" o:hr="t"/>
        </w:pict>
      </w:r>
    </w:p>
    <w:bookmarkEnd w:id="115"/>
    <w:bookmarkStart w:id="116" w:name="Xfcc83463072fc9a6dc445532149eed5af87964b"/>
    <w:p>
      <w:pPr>
        <w:pStyle w:val="Heading3"/>
      </w:pPr>
      <w:r>
        <w:t xml:space="preserve">A11.18 Updated Complete Society Comparison</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16"/>
    <w:bookmarkStart w:id="129" w:name="X337ca50627aeb481423609453cc33f0ff76e301"/>
    <w:p>
      <w:pPr>
        <w:pStyle w:val="Heading3"/>
      </w:pPr>
      <w:r>
        <w:t xml:space="preserve">A11.19 CREOG &amp; APGO Annual Meeting Abstracts (2013–2023)</w:t>
      </w:r>
    </w:p>
    <w:p>
      <w:pPr>
        <w:pStyle w:val="FirstParagraph"/>
      </w:pPr>
      <w:r>
        <w:t xml:space="preserve">CREOG &amp; APGO (Council on Resident Education in Obstetrics and Gynecology &amp; Association of Professors of Gynecology and Obstetrics) annual meeting abstracts have a two-phase publication history:</w:t>
      </w:r>
    </w:p>
    <w:p>
      <w:pPr>
        <w:pStyle w:val="Compact"/>
        <w:numPr>
          <w:ilvl w:val="0"/>
          <w:numId w:val="1008"/>
        </w:numPr>
      </w:pPr>
      <w:r>
        <w:rPr>
          <w:b/>
          <w:bCs/>
        </w:rPr>
        <w:t xml:space="preserve">2013–2014:</w:t>
      </w:r>
      <w:r>
        <w:t xml:space="preserve"> </w:t>
      </w:r>
      <w:r>
        <w:t xml:space="preserve">Published as a single proceedings article in</w:t>
      </w:r>
      <w:r>
        <w:t xml:space="preserve"> </w:t>
      </w:r>
      <w:r>
        <w:rPr>
          <w:i/>
          <w:iCs/>
        </w:rPr>
        <w:t xml:space="preserve">Teaching and Learning in Medicine</w:t>
      </w:r>
      <w:r>
        <w:t xml:space="preserve"> </w:t>
      </w:r>
      <w:r>
        <w:t xml:space="preserve">(Taylor &amp; Francis) — one DOI per year,</w:t>
      </w:r>
      <w:r>
        <w:t xml:space="preserve"> </w:t>
      </w:r>
      <w:r>
        <w:rPr>
          <w:b/>
          <w:bCs/>
        </w:rPr>
        <w:t xml:space="preserve">not</w:t>
      </w:r>
      <w:r>
        <w:t xml:space="preserve"> </w:t>
      </w:r>
      <w:r>
        <w:t xml:space="preserve">individual DOIs per abstract.</w:t>
      </w:r>
    </w:p>
    <w:p>
      <w:pPr>
        <w:pStyle w:val="Compact"/>
        <w:numPr>
          <w:ilvl w:val="0"/>
          <w:numId w:val="1008"/>
        </w:numPr>
      </w:pPr>
      <w:r>
        <w:rPr>
          <w:b/>
          <w:bCs/>
        </w:rPr>
        <w:t xml:space="preserve">2015–present:</w:t>
      </w:r>
      <w:r>
        <w:t xml:space="preserve"> </w:t>
      </w:r>
      <w:r>
        <w:t xml:space="preserve">Moved to</w:t>
      </w:r>
      <w:r>
        <w:t xml:space="preserve"> </w:t>
      </w:r>
      <w:r>
        <w:rPr>
          <w:i/>
          <w:iCs/>
        </w:rPr>
        <w:t xml:space="preserve">Obstetrics &amp; Gynecology</w:t>
      </w:r>
      <w:r>
        <w:t xml:space="preserve"> </w:t>
      </w:r>
      <w:r>
        <w:t xml:space="preserve">(the Green Journal, Wolters Kluwer/LWW) as an October Supplement (Issue 10001). Each abstract receives a unique DOI with the prefix</w:t>
      </w:r>
      <w:r>
        <w:t xml:space="preserve"> </w:t>
      </w:r>
      <w:r>
        <w:rPr>
          <w:rStyle w:val="VerbatimChar"/>
        </w:rPr>
        <w:t xml:space="preserve">10.1097/01.AOG.</w:t>
      </w:r>
      <w:r>
        <w:t xml:space="preserve"> </w:t>
      </w:r>
      <w:r>
        <w:t xml:space="preserve">followed by a unique hash per abstract (e.g.,</w:t>
      </w:r>
      <w:r>
        <w:t xml:space="preserve"> </w:t>
      </w:r>
      <w:r>
        <w:rPr>
          <w:rStyle w:val="VerbatimChar"/>
        </w:rPr>
        <w:t xml:space="preserve">10.1097/01.AOG.0000585640.43634.ce</w:t>
      </w:r>
      <w:r>
        <w:t xml:space="preserve">). Confirmed by spot-check.</w:t>
      </w:r>
    </w:p>
    <w:p>
      <w:pPr>
        <w:pStyle w:val="FirstParagraph"/>
      </w:pPr>
      <w:r>
        <w:t xml:space="preserve">Volume numbers increase by 2 per year (Vol 126 in 2015 → Vol 142 in 2023). Abstracts are also cataloged without DOIs at</w:t>
      </w:r>
      <w:r>
        <w:t xml:space="preserve"> </w:t>
      </w:r>
      <w:hyperlink r:id="rId117">
        <w:r>
          <w:rPr>
            <w:rStyle w:val="Hyperlink"/>
          </w:rPr>
          <w:t xml:space="preserve">https://tools.apgo.org/abstract-catalog/</w:t>
        </w:r>
      </w:hyperlink>
      <w:r>
        <w:t xml:space="preserve"> </w:t>
      </w:r>
      <w:r>
        <w:t xml:space="preserve">covering 2012–2025.</w:t>
      </w:r>
    </w:p>
    <w:p>
      <w:pPr>
        <w:pStyle w:val="BodyText"/>
      </w:pPr>
      <w:r>
        <w:rPr>
          <w:b/>
          <w:bCs/>
        </w:rPr>
        <w:t xml:space="preserve">Platform note:</w:t>
      </w:r>
      <w:r>
        <w:t xml:space="preserve"> </w:t>
      </w:r>
      <w:r>
        <w:t xml:space="preserve">The Green Journal is hosted on LWW (journals.lww.com), not ScienceDirect — the same platform as AUGS/Urogynecology. The LWW-specific scraper developed for AUGS would apply here as well.</w:t>
      </w:r>
    </w:p>
    <w:p>
      <w:pPr>
        <w:pStyle w:val="BodyText"/>
      </w:pPr>
      <w:r>
        <w:rPr>
          <w:b/>
          <w:bCs/>
        </w:rPr>
        <w:t xml:space="preserve">Published in Obstetrics &amp; Gynecology — October Supplements (2015–2023):</w:t>
      </w:r>
    </w:p>
    <w:tbl>
      <w:tblPr>
        <w:tblStyle w:val="Table"/>
        <w:tblW w:type="pct" w:w="5000"/>
        <w:tblLayout w:type="fixed"/>
        <w:tblLook w:firstRow="1" w:lastRow="0" w:firstColumn="0" w:lastColumn="0" w:noHBand="0" w:noVBand="0" w:val="0020"/>
      </w:tblPr>
      <w:tblGrid>
        <w:gridCol w:w="896"/>
        <w:gridCol w:w="1344"/>
        <w:gridCol w:w="1344"/>
        <w:gridCol w:w="1046"/>
        <w:gridCol w:w="1344"/>
        <w:gridCol w:w="1942"/>
      </w:tblGrid>
      <w:tr>
        <w:trPr>
          <w:tblHeader w:val="on"/>
        </w:trPr>
        <w:tc>
          <w:tcPr/>
          <w:p>
            <w:pPr>
              <w:pStyle w:val="Compact"/>
            </w:pPr>
            <w:r>
              <w:t xml:space="preserve">Year</w:t>
            </w:r>
          </w:p>
        </w:tc>
        <w:tc>
          <w:tcPr/>
          <w:p>
            <w:pPr>
              <w:pStyle w:val="Compact"/>
            </w:pPr>
            <w:r>
              <w:t xml:space="preserve">Meeting</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Pattern</w:t>
            </w:r>
          </w:p>
        </w:tc>
      </w:tr>
      <w:tr>
        <w:tc>
          <w:tcPr/>
          <w:p>
            <w:pPr>
              <w:pStyle w:val="Compact"/>
            </w:pPr>
            <w:r>
              <w:t xml:space="preserve">2023</w:t>
            </w:r>
          </w:p>
        </w:tc>
        <w:tc>
          <w:tcPr/>
          <w:p>
            <w:pPr>
              <w:pStyle w:val="Compact"/>
            </w:pPr>
            <w:r>
              <w:t xml:space="preserve">CREOG &amp; APGO</w:t>
            </w:r>
          </w:p>
        </w:tc>
        <w:tc>
          <w:tcPr/>
          <w:p>
            <w:pPr>
              <w:pStyle w:val="Compact"/>
            </w:pPr>
            <w:r>
              <w:t xml:space="preserve">142</w:t>
            </w:r>
          </w:p>
        </w:tc>
        <w:tc>
          <w:tcPr/>
          <w:p>
            <w:pPr>
              <w:pStyle w:val="Compact"/>
            </w:pPr>
            <w:r>
              <w:t xml:space="preserve">10001</w:t>
            </w:r>
          </w:p>
        </w:tc>
        <w:tc>
          <w:tcPr/>
          <w:p>
            <w:pPr>
              <w:pStyle w:val="Compact"/>
            </w:pPr>
            <w:hyperlink r:id="rId118">
              <w:r>
                <w:rPr>
                  <w:rStyle w:val="Hyperlink"/>
                </w:rPr>
                <w:t xml:space="preserve">https://journals.lww.com/greenjournal/toc/2023/10001</w:t>
              </w:r>
            </w:hyperlink>
          </w:p>
        </w:tc>
        <w:tc>
          <w:tcPr/>
          <w:p>
            <w:pPr>
              <w:pStyle w:val="Compact"/>
            </w:pPr>
            <w:r>
              <w:t xml:space="preserve">10.1097/01.AOG.xxx</w:t>
            </w:r>
          </w:p>
        </w:tc>
      </w:tr>
      <w:tr>
        <w:tc>
          <w:tcPr/>
          <w:p>
            <w:pPr>
              <w:pStyle w:val="Compact"/>
            </w:pPr>
            <w:r>
              <w:t xml:space="preserve">2022</w:t>
            </w:r>
          </w:p>
        </w:tc>
        <w:tc>
          <w:tcPr/>
          <w:p>
            <w:pPr>
              <w:pStyle w:val="Compact"/>
            </w:pPr>
            <w:r>
              <w:t xml:space="preserve">CREOG &amp; APGO</w:t>
            </w:r>
          </w:p>
        </w:tc>
        <w:tc>
          <w:tcPr/>
          <w:p>
            <w:pPr>
              <w:pStyle w:val="Compact"/>
            </w:pPr>
            <w:r>
              <w:t xml:space="preserve">140</w:t>
            </w:r>
          </w:p>
        </w:tc>
        <w:tc>
          <w:tcPr/>
          <w:p>
            <w:pPr>
              <w:pStyle w:val="Compact"/>
            </w:pPr>
            <w:r>
              <w:t xml:space="preserve">10001</w:t>
            </w:r>
          </w:p>
        </w:tc>
        <w:tc>
          <w:tcPr/>
          <w:p>
            <w:pPr>
              <w:pStyle w:val="Compact"/>
            </w:pPr>
            <w:hyperlink r:id="rId119">
              <w:r>
                <w:rPr>
                  <w:rStyle w:val="Hyperlink"/>
                </w:rPr>
                <w:t xml:space="preserve">https://journals.lww.com/greenjournal/toc/2022/10001</w:t>
              </w:r>
            </w:hyperlink>
          </w:p>
        </w:tc>
        <w:tc>
          <w:tcPr/>
          <w:p>
            <w:pPr>
              <w:pStyle w:val="Compact"/>
            </w:pPr>
            <w:r>
              <w:t xml:space="preserve">10.1097/01.AOG.xxx</w:t>
            </w:r>
          </w:p>
        </w:tc>
      </w:tr>
      <w:tr>
        <w:tc>
          <w:tcPr/>
          <w:p>
            <w:pPr>
              <w:pStyle w:val="Compact"/>
            </w:pPr>
            <w:r>
              <w:t xml:space="preserve">2021</w:t>
            </w:r>
          </w:p>
        </w:tc>
        <w:tc>
          <w:tcPr/>
          <w:p>
            <w:pPr>
              <w:pStyle w:val="Compact"/>
            </w:pPr>
            <w:r>
              <w:t xml:space="preserve">CREOG &amp; APGO</w:t>
            </w:r>
          </w:p>
        </w:tc>
        <w:tc>
          <w:tcPr/>
          <w:p>
            <w:pPr>
              <w:pStyle w:val="Compact"/>
            </w:pPr>
            <w:r>
              <w:t xml:space="preserve">138</w:t>
            </w:r>
          </w:p>
        </w:tc>
        <w:tc>
          <w:tcPr/>
          <w:p>
            <w:pPr>
              <w:pStyle w:val="Compact"/>
            </w:pPr>
            <w:r>
              <w:t xml:space="preserve">10001</w:t>
            </w:r>
          </w:p>
        </w:tc>
        <w:tc>
          <w:tcPr/>
          <w:p>
            <w:pPr>
              <w:pStyle w:val="Compact"/>
            </w:pPr>
            <w:hyperlink r:id="rId120">
              <w:r>
                <w:rPr>
                  <w:rStyle w:val="Hyperlink"/>
                </w:rPr>
                <w:t xml:space="preserve">https://journals.lww.com/greenjournal/toc/2021/10001</w:t>
              </w:r>
            </w:hyperlink>
          </w:p>
        </w:tc>
        <w:tc>
          <w:tcPr/>
          <w:p>
            <w:pPr>
              <w:pStyle w:val="Compact"/>
            </w:pPr>
            <w:r>
              <w:t xml:space="preserve">10.1097/01.AOG.xxx</w:t>
            </w:r>
          </w:p>
        </w:tc>
      </w:tr>
      <w:tr>
        <w:tc>
          <w:tcPr/>
          <w:p>
            <w:pPr>
              <w:pStyle w:val="Compact"/>
            </w:pPr>
            <w:r>
              <w:t xml:space="preserve">2020</w:t>
            </w:r>
          </w:p>
        </w:tc>
        <w:tc>
          <w:tcPr/>
          <w:p>
            <w:pPr>
              <w:pStyle w:val="Compact"/>
            </w:pPr>
            <w:r>
              <w:t xml:space="preserve">CREOG &amp; APGO (Orlando, FL)</w:t>
            </w:r>
          </w:p>
        </w:tc>
        <w:tc>
          <w:tcPr/>
          <w:p>
            <w:pPr>
              <w:pStyle w:val="Compact"/>
            </w:pPr>
            <w:r>
              <w:t xml:space="preserve">136</w:t>
            </w:r>
          </w:p>
        </w:tc>
        <w:tc>
          <w:tcPr/>
          <w:p>
            <w:pPr>
              <w:pStyle w:val="Compact"/>
            </w:pPr>
            <w:r>
              <w:t xml:space="preserve">10001</w:t>
            </w:r>
          </w:p>
        </w:tc>
        <w:tc>
          <w:tcPr/>
          <w:p>
            <w:pPr>
              <w:pStyle w:val="Compact"/>
            </w:pPr>
            <w:hyperlink r:id="rId121">
              <w:r>
                <w:rPr>
                  <w:rStyle w:val="Hyperlink"/>
                </w:rPr>
                <w:t xml:space="preserve">https://journals.lww.com/greenjournal/toc/2020/10001</w:t>
              </w:r>
            </w:hyperlink>
          </w:p>
        </w:tc>
        <w:tc>
          <w:tcPr/>
          <w:p>
            <w:pPr>
              <w:pStyle w:val="Compact"/>
            </w:pPr>
            <w:r>
              <w:t xml:space="preserve">10.1097/01.AOG.xxx</w:t>
            </w:r>
          </w:p>
        </w:tc>
      </w:tr>
      <w:tr>
        <w:tc>
          <w:tcPr/>
          <w:p>
            <w:pPr>
              <w:pStyle w:val="Compact"/>
            </w:pPr>
            <w:r>
              <w:t xml:space="preserve">2019</w:t>
            </w:r>
          </w:p>
        </w:tc>
        <w:tc>
          <w:tcPr/>
          <w:p>
            <w:pPr>
              <w:pStyle w:val="Compact"/>
            </w:pPr>
            <w:r>
              <w:t xml:space="preserve">CREOG &amp; APGO</w:t>
            </w:r>
          </w:p>
        </w:tc>
        <w:tc>
          <w:tcPr/>
          <w:p>
            <w:pPr>
              <w:pStyle w:val="Compact"/>
            </w:pPr>
            <w:r>
              <w:t xml:space="preserve">134</w:t>
            </w:r>
          </w:p>
        </w:tc>
        <w:tc>
          <w:tcPr/>
          <w:p>
            <w:pPr>
              <w:pStyle w:val="Compact"/>
            </w:pPr>
            <w:r>
              <w:t xml:space="preserve">10001</w:t>
            </w:r>
          </w:p>
        </w:tc>
        <w:tc>
          <w:tcPr/>
          <w:p>
            <w:pPr>
              <w:pStyle w:val="Compact"/>
            </w:pPr>
            <w:hyperlink r:id="rId122">
              <w:r>
                <w:rPr>
                  <w:rStyle w:val="Hyperlink"/>
                </w:rPr>
                <w:t xml:space="preserve">https://journals.lww.com/greenjournal/toc/2019/10001</w:t>
              </w:r>
            </w:hyperlink>
          </w:p>
        </w:tc>
        <w:tc>
          <w:tcPr/>
          <w:p>
            <w:pPr>
              <w:pStyle w:val="Compact"/>
            </w:pPr>
            <w:r>
              <w:t xml:space="preserve">10.1097/01.AOG.xxx</w:t>
            </w:r>
          </w:p>
        </w:tc>
      </w:tr>
      <w:tr>
        <w:tc>
          <w:tcPr/>
          <w:p>
            <w:pPr>
              <w:pStyle w:val="Compact"/>
            </w:pPr>
            <w:r>
              <w:t xml:space="preserve">2018</w:t>
            </w:r>
          </w:p>
        </w:tc>
        <w:tc>
          <w:tcPr/>
          <w:p>
            <w:pPr>
              <w:pStyle w:val="Compact"/>
            </w:pPr>
            <w:r>
              <w:t xml:space="preserve">CREOG &amp; APGO</w:t>
            </w:r>
          </w:p>
        </w:tc>
        <w:tc>
          <w:tcPr/>
          <w:p>
            <w:pPr>
              <w:pStyle w:val="Compact"/>
            </w:pPr>
            <w:r>
              <w:t xml:space="preserve">132</w:t>
            </w:r>
          </w:p>
        </w:tc>
        <w:tc>
          <w:tcPr/>
          <w:p>
            <w:pPr>
              <w:pStyle w:val="Compact"/>
            </w:pPr>
            <w:r>
              <w:t xml:space="preserve">10001</w:t>
            </w:r>
          </w:p>
        </w:tc>
        <w:tc>
          <w:tcPr/>
          <w:p>
            <w:pPr>
              <w:pStyle w:val="Compact"/>
            </w:pPr>
            <w:hyperlink r:id="rId123">
              <w:r>
                <w:rPr>
                  <w:rStyle w:val="Hyperlink"/>
                </w:rPr>
                <w:t xml:space="preserve">https://journals.lww.com/greenjournal/toc/2018/10001</w:t>
              </w:r>
            </w:hyperlink>
          </w:p>
        </w:tc>
        <w:tc>
          <w:tcPr/>
          <w:p>
            <w:pPr>
              <w:pStyle w:val="Compact"/>
            </w:pPr>
            <w:r>
              <w:t xml:space="preserve">10.1097/01.AOG.xxx</w:t>
            </w:r>
          </w:p>
        </w:tc>
      </w:tr>
      <w:tr>
        <w:tc>
          <w:tcPr/>
          <w:p>
            <w:pPr>
              <w:pStyle w:val="Compact"/>
            </w:pPr>
            <w:r>
              <w:t xml:space="preserve">2017</w:t>
            </w:r>
          </w:p>
        </w:tc>
        <w:tc>
          <w:tcPr/>
          <w:p>
            <w:pPr>
              <w:pStyle w:val="Compact"/>
            </w:pPr>
            <w:r>
              <w:t xml:space="preserve">CREOG &amp; APGO</w:t>
            </w:r>
          </w:p>
        </w:tc>
        <w:tc>
          <w:tcPr/>
          <w:p>
            <w:pPr>
              <w:pStyle w:val="Compact"/>
            </w:pPr>
            <w:r>
              <w:t xml:space="preserve">130</w:t>
            </w:r>
          </w:p>
        </w:tc>
        <w:tc>
          <w:tcPr/>
          <w:p>
            <w:pPr>
              <w:pStyle w:val="Compact"/>
            </w:pPr>
            <w:r>
              <w:t xml:space="preserve">10001</w:t>
            </w:r>
          </w:p>
        </w:tc>
        <w:tc>
          <w:tcPr/>
          <w:p>
            <w:pPr>
              <w:pStyle w:val="Compact"/>
            </w:pPr>
            <w:hyperlink r:id="rId124">
              <w:r>
                <w:rPr>
                  <w:rStyle w:val="Hyperlink"/>
                </w:rPr>
                <w:t xml:space="preserve">https://journals.lww.com/greenjournal/toc/2017/10001</w:t>
              </w:r>
            </w:hyperlink>
          </w:p>
        </w:tc>
        <w:tc>
          <w:tcPr/>
          <w:p>
            <w:pPr>
              <w:pStyle w:val="Compact"/>
            </w:pPr>
            <w:r>
              <w:t xml:space="preserve">10.1097/01.AOG.xxx</w:t>
            </w:r>
          </w:p>
        </w:tc>
      </w:tr>
      <w:tr>
        <w:tc>
          <w:tcPr/>
          <w:p>
            <w:pPr>
              <w:pStyle w:val="Compact"/>
            </w:pPr>
            <w:r>
              <w:t xml:space="preserve">2016</w:t>
            </w:r>
          </w:p>
        </w:tc>
        <w:tc>
          <w:tcPr/>
          <w:p>
            <w:pPr>
              <w:pStyle w:val="Compact"/>
            </w:pPr>
            <w:r>
              <w:t xml:space="preserve">CREOG &amp; APGO</w:t>
            </w:r>
          </w:p>
        </w:tc>
        <w:tc>
          <w:tcPr/>
          <w:p>
            <w:pPr>
              <w:pStyle w:val="Compact"/>
            </w:pPr>
            <w:r>
              <w:t xml:space="preserve">128</w:t>
            </w:r>
          </w:p>
        </w:tc>
        <w:tc>
          <w:tcPr/>
          <w:p>
            <w:pPr>
              <w:pStyle w:val="Compact"/>
            </w:pPr>
            <w:r>
              <w:t xml:space="preserve">10001</w:t>
            </w:r>
          </w:p>
        </w:tc>
        <w:tc>
          <w:tcPr/>
          <w:p>
            <w:pPr>
              <w:pStyle w:val="Compact"/>
            </w:pPr>
            <w:hyperlink r:id="rId125">
              <w:r>
                <w:rPr>
                  <w:rStyle w:val="Hyperlink"/>
                </w:rPr>
                <w:t xml:space="preserve">https://journals.lww.com/greenjournal/toc/2016/10001</w:t>
              </w:r>
            </w:hyperlink>
          </w:p>
        </w:tc>
        <w:tc>
          <w:tcPr/>
          <w:p>
            <w:pPr>
              <w:pStyle w:val="Compact"/>
            </w:pPr>
            <w:r>
              <w:t xml:space="preserve">10.1097/01.AOG.xxx</w:t>
            </w:r>
          </w:p>
        </w:tc>
      </w:tr>
      <w:tr>
        <w:tc>
          <w:tcPr/>
          <w:p>
            <w:pPr>
              <w:pStyle w:val="Compact"/>
            </w:pPr>
            <w:r>
              <w:t xml:space="preserve">2015</w:t>
            </w:r>
          </w:p>
        </w:tc>
        <w:tc>
          <w:tcPr/>
          <w:p>
            <w:pPr>
              <w:pStyle w:val="Compact"/>
            </w:pPr>
            <w:r>
              <w:t xml:space="preserve">CREOG &amp; APGO</w:t>
            </w:r>
          </w:p>
        </w:tc>
        <w:tc>
          <w:tcPr/>
          <w:p>
            <w:pPr>
              <w:pStyle w:val="Compact"/>
            </w:pPr>
            <w:r>
              <w:t xml:space="preserve">126</w:t>
            </w:r>
          </w:p>
        </w:tc>
        <w:tc>
          <w:tcPr/>
          <w:p>
            <w:pPr>
              <w:pStyle w:val="Compact"/>
            </w:pPr>
            <w:r>
              <w:t xml:space="preserve">10001</w:t>
            </w:r>
          </w:p>
        </w:tc>
        <w:tc>
          <w:tcPr/>
          <w:p>
            <w:pPr>
              <w:pStyle w:val="Compact"/>
            </w:pPr>
            <w:hyperlink r:id="rId126">
              <w:r>
                <w:rPr>
                  <w:rStyle w:val="Hyperlink"/>
                </w:rPr>
                <w:t xml:space="preserve">https://journals.lww.com/greenjournal/toc/2015/10001</w:t>
              </w:r>
            </w:hyperlink>
          </w:p>
        </w:tc>
        <w:tc>
          <w:tcPr/>
          <w:p>
            <w:pPr>
              <w:pStyle w:val="Compact"/>
            </w:pPr>
            <w:r>
              <w:t xml:space="preserve">10.1097/01.AOG.xxx</w:t>
            </w:r>
          </w:p>
        </w:tc>
      </w:tr>
    </w:tbl>
    <w:p>
      <w:pPr>
        <w:pStyle w:val="BodyText"/>
      </w:pPr>
      <w:r>
        <w:rPr>
          <w:b/>
          <w:bCs/>
        </w:rPr>
        <w:t xml:space="preserve">Published in Teaching and Learning in Medicine (2013–2014):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TLM Vol</w:t>
            </w:r>
          </w:p>
        </w:tc>
        <w:tc>
          <w:tcPr/>
          <w:p>
            <w:pPr>
              <w:pStyle w:val="Compact"/>
            </w:pPr>
            <w:r>
              <w:t xml:space="preserve">Issue</w:t>
            </w:r>
          </w:p>
        </w:tc>
        <w:tc>
          <w:tcPr/>
          <w:p>
            <w:pPr>
              <w:pStyle w:val="Compact"/>
            </w:pPr>
            <w:r>
              <w:t xml:space="preserve">DOI</w:t>
            </w:r>
          </w:p>
        </w:tc>
      </w:tr>
      <w:tr>
        <w:tc>
          <w:tcPr/>
          <w:p>
            <w:pPr>
              <w:pStyle w:val="Compact"/>
            </w:pPr>
            <w:r>
              <w:t xml:space="preserve">2014</w:t>
            </w:r>
          </w:p>
        </w:tc>
        <w:tc>
          <w:tcPr/>
          <w:p>
            <w:pPr>
              <w:pStyle w:val="Compact"/>
            </w:pPr>
            <w:r>
              <w:t xml:space="preserve">CREOG &amp; APGO</w:t>
            </w:r>
          </w:p>
        </w:tc>
        <w:tc>
          <w:tcPr/>
          <w:p>
            <w:pPr>
              <w:pStyle w:val="Compact"/>
            </w:pPr>
            <w:r>
              <w:t xml:space="preserve">28</w:t>
            </w:r>
          </w:p>
        </w:tc>
        <w:tc>
          <w:tcPr/>
          <w:p>
            <w:pPr>
              <w:pStyle w:val="Compact"/>
            </w:pPr>
            <w:r>
              <w:t xml:space="preserve">1</w:t>
            </w:r>
          </w:p>
        </w:tc>
        <w:tc>
          <w:tcPr/>
          <w:p>
            <w:pPr>
              <w:pStyle w:val="Compact"/>
            </w:pPr>
            <w:r>
              <w:t xml:space="preserve">10.1080/10401334.2015.1107492</w:t>
            </w:r>
          </w:p>
        </w:tc>
      </w:tr>
      <w:tr>
        <w:tc>
          <w:tcPr/>
          <w:p>
            <w:pPr>
              <w:pStyle w:val="Compact"/>
            </w:pPr>
            <w:r>
              <w:t xml:space="preserve">2013</w:t>
            </w:r>
          </w:p>
        </w:tc>
        <w:tc>
          <w:tcPr/>
          <w:p>
            <w:pPr>
              <w:pStyle w:val="Compact"/>
            </w:pPr>
            <w:r>
              <w:t xml:space="preserve">CREOG &amp; APGO</w:t>
            </w:r>
          </w:p>
        </w:tc>
        <w:tc>
          <w:tcPr/>
          <w:p>
            <w:pPr>
              <w:pStyle w:val="Compact"/>
            </w:pPr>
            <w:r>
              <w:t xml:space="preserve">26</w:t>
            </w:r>
          </w:p>
        </w:tc>
        <w:tc>
          <w:tcPr/>
          <w:p>
            <w:pPr>
              <w:pStyle w:val="Compact"/>
            </w:pPr>
            <w:r>
              <w:t xml:space="preserve">4</w:t>
            </w:r>
          </w:p>
        </w:tc>
        <w:tc>
          <w:tcPr/>
          <w:p>
            <w:pPr>
              <w:pStyle w:val="Compact"/>
            </w:pPr>
            <w:r>
              <w:t xml:space="preserve">10.1080/10401334.2014.945034</w:t>
            </w:r>
          </w:p>
        </w:tc>
      </w:tr>
    </w:tbl>
    <w:p>
      <w:pPr>
        <w:pStyle w:val="BodyText"/>
      </w:pPr>
      <w:r>
        <w:rPr>
          <w:i/>
          <w:iCs/>
        </w:rPr>
        <w:t xml:space="preserve">Note: 2013–2014 each have one DOI for the entire collection, not individual abstract DOIs. The 2020 meeting was held in-person in February 2020 (pre-COVID); supplement publication timing may have shifted. 2021 URL is inferred from volume pattern.</w:t>
      </w:r>
    </w:p>
    <w:p>
      <w:pPr>
        <w:pStyle w:val="BodyText"/>
      </w:pPr>
      <w:r>
        <w:rPr>
          <w:i/>
          <w:iCs/>
        </w:rPr>
        <w:t xml:space="preserve">Sources:</w:t>
      </w:r>
      <w:r>
        <w:rPr>
          <w:i/>
          <w:iCs/>
        </w:rPr>
        <w:t xml:space="preserve"> </w:t>
      </w:r>
      <w:hyperlink r:id="rId127">
        <w:r>
          <w:rPr>
            <w:rStyle w:val="Hyperlink"/>
            <w:i/>
            <w:iCs/>
          </w:rPr>
          <w:t xml:space="preserve">https://journals.lww.com/greenjournal/Pages/collectiondetails.aspx?TopicalCollectionId=129</w:t>
        </w:r>
      </w:hyperlink>
      <w:r>
        <w:rPr>
          <w:i/>
          <w:iCs/>
        </w:rPr>
        <w:t xml:space="preserve">;</w:t>
      </w:r>
      <w:r>
        <w:rPr>
          <w:i/>
          <w:iCs/>
        </w:rPr>
        <w:t xml:space="preserve"> </w:t>
      </w:r>
      <w:hyperlink r:id="rId117">
        <w:r>
          <w:rPr>
            <w:rStyle w:val="Hyperlink"/>
            <w:i/>
            <w:iCs/>
          </w:rPr>
          <w:t xml:space="preserve">https://tools.apgo.org/abstract-catalog/</w:t>
        </w:r>
      </w:hyperlink>
      <w:r>
        <w:rPr>
          <w:i/>
          <w:iCs/>
        </w:rPr>
        <w:t xml:space="preserve">;</w:t>
      </w:r>
      <w:r>
        <w:rPr>
          <w:i/>
          <w:iCs/>
        </w:rPr>
        <w:t xml:space="preserve"> </w:t>
      </w:r>
      <w:hyperlink r:id="rId128">
        <w:r>
          <w:rPr>
            <w:rStyle w:val="Hyperlink"/>
            <w:i/>
            <w:iCs/>
          </w:rPr>
          <w:t xml:space="preserve">https://www.tandfonline.com/doi/full/10.1080/10401334.2015.1107492</w:t>
        </w:r>
      </w:hyperlink>
    </w:p>
    <w:p>
      <w:r>
        <w:pict>
          <v:rect style="width:0;height:1.5pt" o:hralign="center" o:hrstd="t" o:hr="t"/>
        </w:pict>
      </w:r>
    </w:p>
    <w:bookmarkEnd w:id="129"/>
    <w:bookmarkStart w:id="130" w:name="X75bb174c79753db09394e2e5a6526c380565da5"/>
    <w:p>
      <w:pPr>
        <w:pStyle w:val="Heading3"/>
      </w:pPr>
      <w:r>
        <w:t xml:space="preserve">A11.20 Final Complete Society Comparison (All 9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30"/>
    <w:bookmarkStart w:id="144" w:name="X4c85c49bfcb8469018c76d59cdee95102235553"/>
    <w:p>
      <w:pPr>
        <w:pStyle w:val="Heading3"/>
      </w:pPr>
      <w:r>
        <w:t xml:space="preserve">A11.21 ACOG Annual Clinical &amp; Scientific Meeting Abstracts (2013–2023)</w:t>
      </w:r>
    </w:p>
    <w:p>
      <w:pPr>
        <w:pStyle w:val="FirstParagraph"/>
      </w:pPr>
      <w:r>
        <w:t xml:space="preserve">ACOG (American College of Obstetricians and Gynecologists) annual meeting abstracts are published in</w:t>
      </w:r>
      <w:r>
        <w:t xml:space="preserve"> </w:t>
      </w:r>
      <w:r>
        <w:rPr>
          <w:i/>
          <w:iCs/>
        </w:rPr>
        <w:t xml:space="preserve">Obstetrics &amp; Gynecology</w:t>
      </w:r>
      <w:r>
        <w:t xml:space="preserve"> </w:t>
      </w:r>
      <w:r>
        <w:t xml:space="preserve">(the Green Journal, ISSN 0029-7844, Wolters Kluwer/LWW) as a May Supplement each year. Each abstract has a unique DOI using the Wolters Kluwer format</w:t>
      </w:r>
      <w:r>
        <w:t xml:space="preserve"> </w:t>
      </w:r>
      <w:r>
        <w:rPr>
          <w:rStyle w:val="VerbatimChar"/>
        </w:rPr>
        <w:t xml:space="preserve">10.1097/01.AOG.</w:t>
      </w:r>
      <w:r>
        <w:t xml:space="preserve"> </w:t>
      </w:r>
      <w:r>
        <w:t xml:space="preserve">followed by a unique hash (e.g.,</w:t>
      </w:r>
      <w:r>
        <w:t xml:space="preserve"> </w:t>
      </w:r>
      <w:r>
        <w:rPr>
          <w:rStyle w:val="VerbatimChar"/>
        </w:rPr>
        <w:t xml:space="preserve">10.1097/AOG.0b013e3181636fe9</w:t>
      </w:r>
      <w:r>
        <w:t xml:space="preserve">). The URL pattern uses</w:t>
      </w:r>
      <w:r>
        <w:t xml:space="preserve"> </w:t>
      </w:r>
      <w:r>
        <w:rPr>
          <w:rStyle w:val="VerbatimChar"/>
        </w:rPr>
        <w:t xml:space="preserve">/05001</w:t>
      </w:r>
      <w:r>
        <w:t xml:space="preserve"> </w:t>
      </w:r>
      <w:r>
        <w:t xml:space="preserve">consistently across all years.</w:t>
      </w:r>
    </w:p>
    <w:p>
      <w:pPr>
        <w:pStyle w:val="BodyText"/>
      </w:pPr>
      <w:r>
        <w:rPr>
          <w:b/>
          <w:bCs/>
        </w:rPr>
        <w:t xml:space="preserve">Volume formula:</w:t>
      </w:r>
      <w:r>
        <w:t xml:space="preserve"> </w:t>
      </w:r>
      <w:r>
        <w:t xml:space="preserve">Vol = 97 + (2 × (Year − 2000)); so Vol 121 in 2013, Vol 141 in 2023.</w:t>
      </w:r>
    </w:p>
    <w:p>
      <w:pPr>
        <w:pStyle w:val="BodyText"/>
      </w:pPr>
      <w:r>
        <w:rPr>
          <w:b/>
          <w:bCs/>
        </w:rPr>
        <w:t xml:space="preserve">Platform:</w:t>
      </w:r>
      <w:r>
        <w:t xml:space="preserve"> </w:t>
      </w:r>
      <w:r>
        <w:t xml:space="preserve">LWW (journals.lww.com) — same as AUGS and CREOG/APGO. The LWW-specific scraper developed for those societies applies here.</w:t>
      </w:r>
    </w:p>
    <w:p>
      <w:pPr>
        <w:pStyle w:val="BodyText"/>
      </w:pPr>
      <w:r>
        <w:rPr>
          <w:b/>
          <w:bCs/>
        </w:rPr>
        <w:t xml:space="preserve">2020 caveat:</w:t>
      </w:r>
      <w:r>
        <w:t xml:space="preserve"> </w:t>
      </w:r>
      <w:r>
        <w:t xml:space="preserve">The ACOG 2020 Annual Meeting (Nashville, April 24–27) was cancelled due to COVID-19. The May 2020 supplement may contain only previously accepted abstracts or may be absent — verify at the URL before ingesting.</w:t>
      </w:r>
    </w:p>
    <w:p>
      <w:pPr>
        <w:pStyle w:val="BodyText"/>
      </w:pPr>
      <w:r>
        <w:rPr>
          <w:b/>
          <w:bCs/>
        </w:rPr>
        <w:t xml:space="preserve">2021:</w:t>
      </w:r>
      <w:r>
        <w:t xml:space="preserve"> </w:t>
      </w:r>
      <w:r>
        <w:t xml:space="preserve">Meeting was virtual; abstracts were still published in the supplement.</w:t>
      </w:r>
    </w:p>
    <w:tbl>
      <w:tblPr>
        <w:tblStyle w:val="Table"/>
        <w:tblW w:type="pct" w:w="5000"/>
        <w:tblLayout w:type="fixed"/>
        <w:tblLook w:firstRow="1" w:lastRow="0" w:firstColumn="0" w:lastColumn="0" w:noHBand="0" w:noVBand="0" w:val="0020"/>
      </w:tblPr>
      <w:tblGrid>
        <w:gridCol w:w="1105"/>
        <w:gridCol w:w="1657"/>
        <w:gridCol w:w="1289"/>
        <w:gridCol w:w="1657"/>
        <w:gridCol w:w="2210"/>
      </w:tblGrid>
      <w:tr>
        <w:trPr>
          <w:tblHeader w:val="on"/>
        </w:trPr>
        <w:tc>
          <w:tcPr/>
          <w:p>
            <w:pPr>
              <w:pStyle w:val="Compact"/>
            </w:pPr>
            <w:r>
              <w:t xml:space="preserve">Year</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Prefix</w:t>
            </w:r>
          </w:p>
        </w:tc>
      </w:tr>
      <w:tr>
        <w:tc>
          <w:tcPr/>
          <w:p>
            <w:pPr>
              <w:pStyle w:val="Compact"/>
            </w:pPr>
            <w:r>
              <w:t xml:space="preserve">2023</w:t>
            </w:r>
          </w:p>
        </w:tc>
        <w:tc>
          <w:tcPr/>
          <w:p>
            <w:pPr>
              <w:pStyle w:val="Compact"/>
            </w:pPr>
            <w:r>
              <w:t xml:space="preserve">141</w:t>
            </w:r>
          </w:p>
        </w:tc>
        <w:tc>
          <w:tcPr/>
          <w:p>
            <w:pPr>
              <w:pStyle w:val="Compact"/>
            </w:pPr>
            <w:r>
              <w:t xml:space="preserve">5S</w:t>
            </w:r>
          </w:p>
        </w:tc>
        <w:tc>
          <w:tcPr/>
          <w:p>
            <w:pPr>
              <w:pStyle w:val="Compact"/>
            </w:pPr>
            <w:hyperlink r:id="rId131">
              <w:r>
                <w:rPr>
                  <w:rStyle w:val="Hyperlink"/>
                </w:rPr>
                <w:t xml:space="preserve">https://journals.lww.com/greenjournal/toc/2023/05001</w:t>
              </w:r>
            </w:hyperlink>
          </w:p>
        </w:tc>
        <w:tc>
          <w:tcPr/>
          <w:p>
            <w:pPr>
              <w:pStyle w:val="Compact"/>
            </w:pPr>
            <w:r>
              <w:t xml:space="preserve">10.1097/01.AOG.xxx</w:t>
            </w:r>
          </w:p>
        </w:tc>
      </w:tr>
      <w:tr>
        <w:tc>
          <w:tcPr/>
          <w:p>
            <w:pPr>
              <w:pStyle w:val="Compact"/>
            </w:pPr>
            <w:r>
              <w:t xml:space="preserve">2022</w:t>
            </w:r>
          </w:p>
        </w:tc>
        <w:tc>
          <w:tcPr/>
          <w:p>
            <w:pPr>
              <w:pStyle w:val="Compact"/>
            </w:pPr>
            <w:r>
              <w:t xml:space="preserve">139</w:t>
            </w:r>
          </w:p>
        </w:tc>
        <w:tc>
          <w:tcPr/>
          <w:p>
            <w:pPr>
              <w:pStyle w:val="Compact"/>
            </w:pPr>
            <w:r>
              <w:t xml:space="preserve">5S</w:t>
            </w:r>
          </w:p>
        </w:tc>
        <w:tc>
          <w:tcPr/>
          <w:p>
            <w:pPr>
              <w:pStyle w:val="Compact"/>
            </w:pPr>
            <w:hyperlink r:id="rId132">
              <w:r>
                <w:rPr>
                  <w:rStyle w:val="Hyperlink"/>
                </w:rPr>
                <w:t xml:space="preserve">https://journals.lww.com/greenjournal/toc/2022/05001</w:t>
              </w:r>
            </w:hyperlink>
          </w:p>
        </w:tc>
        <w:tc>
          <w:tcPr/>
          <w:p>
            <w:pPr>
              <w:pStyle w:val="Compact"/>
            </w:pPr>
            <w:r>
              <w:t xml:space="preserve">10.1097/01.AOG.xxx</w:t>
            </w:r>
          </w:p>
        </w:tc>
      </w:tr>
      <w:tr>
        <w:tc>
          <w:tcPr/>
          <w:p>
            <w:pPr>
              <w:pStyle w:val="Compact"/>
            </w:pPr>
            <w:r>
              <w:t xml:space="preserve">2021</w:t>
            </w:r>
          </w:p>
        </w:tc>
        <w:tc>
          <w:tcPr/>
          <w:p>
            <w:pPr>
              <w:pStyle w:val="Compact"/>
            </w:pPr>
            <w:r>
              <w:t xml:space="preserve">137</w:t>
            </w:r>
          </w:p>
        </w:tc>
        <w:tc>
          <w:tcPr/>
          <w:p>
            <w:pPr>
              <w:pStyle w:val="Compact"/>
            </w:pPr>
            <w:r>
              <w:t xml:space="preserve">5S</w:t>
            </w:r>
          </w:p>
        </w:tc>
        <w:tc>
          <w:tcPr/>
          <w:p>
            <w:pPr>
              <w:pStyle w:val="Compact"/>
            </w:pPr>
            <w:hyperlink r:id="rId133">
              <w:r>
                <w:rPr>
                  <w:rStyle w:val="Hyperlink"/>
                </w:rPr>
                <w:t xml:space="preserve">https://journals.lww.com/greenjournal/toc/2021/05001</w:t>
              </w:r>
            </w:hyperlink>
          </w:p>
        </w:tc>
        <w:tc>
          <w:tcPr/>
          <w:p>
            <w:pPr>
              <w:pStyle w:val="Compact"/>
            </w:pPr>
            <w:r>
              <w:t xml:space="preserve">10.1097/01.AOG.xxx</w:t>
            </w:r>
          </w:p>
        </w:tc>
      </w:tr>
      <w:tr>
        <w:tc>
          <w:tcPr/>
          <w:p>
            <w:pPr>
              <w:pStyle w:val="Compact"/>
            </w:pPr>
            <w:r>
              <w:t xml:space="preserve">2020</w:t>
            </w:r>
          </w:p>
        </w:tc>
        <w:tc>
          <w:tcPr/>
          <w:p>
            <w:pPr>
              <w:pStyle w:val="Compact"/>
            </w:pPr>
            <w:r>
              <w:t xml:space="preserve">135</w:t>
            </w:r>
          </w:p>
        </w:tc>
        <w:tc>
          <w:tcPr/>
          <w:p>
            <w:pPr>
              <w:pStyle w:val="Compact"/>
            </w:pPr>
            <w:r>
              <w:t xml:space="preserve">5S</w:t>
            </w:r>
          </w:p>
        </w:tc>
        <w:tc>
          <w:tcPr/>
          <w:p>
            <w:pPr>
              <w:pStyle w:val="Compact"/>
            </w:pPr>
            <w:hyperlink r:id="rId134">
              <w:r>
                <w:rPr>
                  <w:rStyle w:val="Hyperlink"/>
                </w:rPr>
                <w:t xml:space="preserve">https://journals.lww.com/greenjournal/toc/2020/05001</w:t>
              </w:r>
            </w:hyperlink>
          </w:p>
        </w:tc>
        <w:tc>
          <w:tcPr/>
          <w:p>
            <w:pPr>
              <w:pStyle w:val="Compact"/>
            </w:pPr>
            <w:r>
              <w:t xml:space="preserve">10.1097/01.AOG.xxx</w:t>
            </w:r>
          </w:p>
        </w:tc>
      </w:tr>
      <w:tr>
        <w:tc>
          <w:tcPr/>
          <w:p>
            <w:pPr>
              <w:pStyle w:val="Compact"/>
            </w:pPr>
            <w:r>
              <w:t xml:space="preserve">2019</w:t>
            </w:r>
          </w:p>
        </w:tc>
        <w:tc>
          <w:tcPr/>
          <w:p>
            <w:pPr>
              <w:pStyle w:val="Compact"/>
            </w:pPr>
            <w:r>
              <w:t xml:space="preserve">133</w:t>
            </w:r>
          </w:p>
        </w:tc>
        <w:tc>
          <w:tcPr/>
          <w:p>
            <w:pPr>
              <w:pStyle w:val="Compact"/>
            </w:pPr>
            <w:r>
              <w:t xml:space="preserve">5S</w:t>
            </w:r>
          </w:p>
        </w:tc>
        <w:tc>
          <w:tcPr/>
          <w:p>
            <w:pPr>
              <w:pStyle w:val="Compact"/>
            </w:pPr>
            <w:hyperlink r:id="rId135">
              <w:r>
                <w:rPr>
                  <w:rStyle w:val="Hyperlink"/>
                </w:rPr>
                <w:t xml:space="preserve">https://journals.lww.com/greenjournal/toc/2019/05001</w:t>
              </w:r>
            </w:hyperlink>
          </w:p>
        </w:tc>
        <w:tc>
          <w:tcPr/>
          <w:p>
            <w:pPr>
              <w:pStyle w:val="Compact"/>
            </w:pPr>
            <w:r>
              <w:t xml:space="preserve">10.1097/01.AOG.xxx</w:t>
            </w:r>
          </w:p>
        </w:tc>
      </w:tr>
      <w:tr>
        <w:tc>
          <w:tcPr/>
          <w:p>
            <w:pPr>
              <w:pStyle w:val="Compact"/>
            </w:pPr>
            <w:r>
              <w:t xml:space="preserve">2018</w:t>
            </w:r>
          </w:p>
        </w:tc>
        <w:tc>
          <w:tcPr/>
          <w:p>
            <w:pPr>
              <w:pStyle w:val="Compact"/>
            </w:pPr>
            <w:r>
              <w:t xml:space="preserve">131</w:t>
            </w:r>
          </w:p>
        </w:tc>
        <w:tc>
          <w:tcPr/>
          <w:p>
            <w:pPr>
              <w:pStyle w:val="Compact"/>
            </w:pPr>
            <w:r>
              <w:t xml:space="preserve">5S</w:t>
            </w:r>
          </w:p>
        </w:tc>
        <w:tc>
          <w:tcPr/>
          <w:p>
            <w:pPr>
              <w:pStyle w:val="Compact"/>
            </w:pPr>
            <w:hyperlink r:id="rId136">
              <w:r>
                <w:rPr>
                  <w:rStyle w:val="Hyperlink"/>
                </w:rPr>
                <w:t xml:space="preserve">https://journals.lww.com/greenjournal/toc/2018/05001</w:t>
              </w:r>
            </w:hyperlink>
          </w:p>
        </w:tc>
        <w:tc>
          <w:tcPr/>
          <w:p>
            <w:pPr>
              <w:pStyle w:val="Compact"/>
            </w:pPr>
            <w:r>
              <w:t xml:space="preserve">10.1097/01.AOG.xxx</w:t>
            </w:r>
          </w:p>
        </w:tc>
      </w:tr>
      <w:tr>
        <w:tc>
          <w:tcPr/>
          <w:p>
            <w:pPr>
              <w:pStyle w:val="Compact"/>
            </w:pPr>
            <w:r>
              <w:t xml:space="preserve">2017</w:t>
            </w:r>
          </w:p>
        </w:tc>
        <w:tc>
          <w:tcPr/>
          <w:p>
            <w:pPr>
              <w:pStyle w:val="Compact"/>
            </w:pPr>
            <w:r>
              <w:t xml:space="preserve">129</w:t>
            </w:r>
          </w:p>
        </w:tc>
        <w:tc>
          <w:tcPr/>
          <w:p>
            <w:pPr>
              <w:pStyle w:val="Compact"/>
            </w:pPr>
            <w:r>
              <w:t xml:space="preserve">5S</w:t>
            </w:r>
          </w:p>
        </w:tc>
        <w:tc>
          <w:tcPr/>
          <w:p>
            <w:pPr>
              <w:pStyle w:val="Compact"/>
            </w:pPr>
            <w:hyperlink r:id="rId137">
              <w:r>
                <w:rPr>
                  <w:rStyle w:val="Hyperlink"/>
                </w:rPr>
                <w:t xml:space="preserve">https://journals.lww.com/greenjournal/toc/2017/05001</w:t>
              </w:r>
            </w:hyperlink>
          </w:p>
        </w:tc>
        <w:tc>
          <w:tcPr/>
          <w:p>
            <w:pPr>
              <w:pStyle w:val="Compact"/>
            </w:pPr>
            <w:r>
              <w:t xml:space="preserve">10.1097/01.AOG.xxx</w:t>
            </w:r>
          </w:p>
        </w:tc>
      </w:tr>
      <w:tr>
        <w:tc>
          <w:tcPr/>
          <w:p>
            <w:pPr>
              <w:pStyle w:val="Compact"/>
            </w:pPr>
            <w:r>
              <w:t xml:space="preserve">2016</w:t>
            </w:r>
          </w:p>
        </w:tc>
        <w:tc>
          <w:tcPr/>
          <w:p>
            <w:pPr>
              <w:pStyle w:val="Compact"/>
            </w:pPr>
            <w:r>
              <w:t xml:space="preserve">127</w:t>
            </w:r>
          </w:p>
        </w:tc>
        <w:tc>
          <w:tcPr/>
          <w:p>
            <w:pPr>
              <w:pStyle w:val="Compact"/>
            </w:pPr>
            <w:r>
              <w:t xml:space="preserve">5S</w:t>
            </w:r>
          </w:p>
        </w:tc>
        <w:tc>
          <w:tcPr/>
          <w:p>
            <w:pPr>
              <w:pStyle w:val="Compact"/>
            </w:pPr>
            <w:hyperlink r:id="rId138">
              <w:r>
                <w:rPr>
                  <w:rStyle w:val="Hyperlink"/>
                </w:rPr>
                <w:t xml:space="preserve">https://journals.lww.com/greenjournal/toc/2016/05001</w:t>
              </w:r>
            </w:hyperlink>
          </w:p>
        </w:tc>
        <w:tc>
          <w:tcPr/>
          <w:p>
            <w:pPr>
              <w:pStyle w:val="Compact"/>
            </w:pPr>
            <w:r>
              <w:t xml:space="preserve">10.1097/01.AOG.xxx</w:t>
            </w:r>
          </w:p>
        </w:tc>
      </w:tr>
      <w:tr>
        <w:tc>
          <w:tcPr/>
          <w:p>
            <w:pPr>
              <w:pStyle w:val="Compact"/>
            </w:pPr>
            <w:r>
              <w:t xml:space="preserve">2015</w:t>
            </w:r>
          </w:p>
        </w:tc>
        <w:tc>
          <w:tcPr/>
          <w:p>
            <w:pPr>
              <w:pStyle w:val="Compact"/>
            </w:pPr>
            <w:r>
              <w:t xml:space="preserve">125</w:t>
            </w:r>
          </w:p>
        </w:tc>
        <w:tc>
          <w:tcPr/>
          <w:p>
            <w:pPr>
              <w:pStyle w:val="Compact"/>
            </w:pPr>
            <w:r>
              <w:t xml:space="preserve">5S</w:t>
            </w:r>
          </w:p>
        </w:tc>
        <w:tc>
          <w:tcPr/>
          <w:p>
            <w:pPr>
              <w:pStyle w:val="Compact"/>
            </w:pPr>
            <w:hyperlink r:id="rId139">
              <w:r>
                <w:rPr>
                  <w:rStyle w:val="Hyperlink"/>
                </w:rPr>
                <w:t xml:space="preserve">https://journals.lww.com/greenjournal/toc/2015/05001</w:t>
              </w:r>
            </w:hyperlink>
          </w:p>
        </w:tc>
        <w:tc>
          <w:tcPr/>
          <w:p>
            <w:pPr>
              <w:pStyle w:val="Compact"/>
            </w:pPr>
            <w:r>
              <w:t xml:space="preserve">10.1097/01.AOG.xxx</w:t>
            </w:r>
          </w:p>
        </w:tc>
      </w:tr>
      <w:tr>
        <w:tc>
          <w:tcPr/>
          <w:p>
            <w:pPr>
              <w:pStyle w:val="Compact"/>
            </w:pPr>
            <w:r>
              <w:t xml:space="preserve">2014</w:t>
            </w:r>
          </w:p>
        </w:tc>
        <w:tc>
          <w:tcPr/>
          <w:p>
            <w:pPr>
              <w:pStyle w:val="Compact"/>
            </w:pPr>
            <w:r>
              <w:t xml:space="preserve">123</w:t>
            </w:r>
          </w:p>
        </w:tc>
        <w:tc>
          <w:tcPr/>
          <w:p>
            <w:pPr>
              <w:pStyle w:val="Compact"/>
            </w:pPr>
            <w:r>
              <w:t xml:space="preserve">Suppl 1</w:t>
            </w:r>
          </w:p>
        </w:tc>
        <w:tc>
          <w:tcPr/>
          <w:p>
            <w:pPr>
              <w:pStyle w:val="Compact"/>
            </w:pPr>
            <w:hyperlink r:id="rId140">
              <w:r>
                <w:rPr>
                  <w:rStyle w:val="Hyperlink"/>
                </w:rPr>
                <w:t xml:space="preserve">https://journals.lww.com/greenjournal/toc/2014/05001</w:t>
              </w:r>
            </w:hyperlink>
          </w:p>
        </w:tc>
        <w:tc>
          <w:tcPr/>
          <w:p>
            <w:pPr>
              <w:pStyle w:val="Compact"/>
            </w:pPr>
            <w:r>
              <w:t xml:space="preserve">10.1097/01.AOG.xxx</w:t>
            </w:r>
          </w:p>
        </w:tc>
      </w:tr>
      <w:tr>
        <w:tc>
          <w:tcPr/>
          <w:p>
            <w:pPr>
              <w:pStyle w:val="Compact"/>
            </w:pPr>
            <w:r>
              <w:t xml:space="preserve">2013</w:t>
            </w:r>
          </w:p>
        </w:tc>
        <w:tc>
          <w:tcPr/>
          <w:p>
            <w:pPr>
              <w:pStyle w:val="Compact"/>
            </w:pPr>
            <w:r>
              <w:t xml:space="preserve">121</w:t>
            </w:r>
          </w:p>
        </w:tc>
        <w:tc>
          <w:tcPr/>
          <w:p>
            <w:pPr>
              <w:pStyle w:val="Compact"/>
            </w:pPr>
            <w:r>
              <w:t xml:space="preserve">5S</w:t>
            </w:r>
          </w:p>
        </w:tc>
        <w:tc>
          <w:tcPr/>
          <w:p>
            <w:pPr>
              <w:pStyle w:val="Compact"/>
            </w:pPr>
            <w:hyperlink r:id="rId141">
              <w:r>
                <w:rPr>
                  <w:rStyle w:val="Hyperlink"/>
                </w:rPr>
                <w:t xml:space="preserve">https://journals.lww.com/greenjournal/toc/2013/05001</w:t>
              </w:r>
            </w:hyperlink>
          </w:p>
        </w:tc>
        <w:tc>
          <w:tcPr/>
          <w:p>
            <w:pPr>
              <w:pStyle w:val="Compact"/>
            </w:pPr>
            <w:r>
              <w:t xml:space="preserve">10.1097/01.AOG.xxx</w:t>
            </w:r>
          </w:p>
        </w:tc>
      </w:tr>
    </w:tbl>
    <w:p>
      <w:pPr>
        <w:pStyle w:val="BodyText"/>
      </w:pPr>
      <w:r>
        <w:rPr>
          <w:i/>
          <w:iCs/>
        </w:rPr>
        <w:t xml:space="preserve">Sources:</w:t>
      </w:r>
      <w:r>
        <w:rPr>
          <w:i/>
          <w:iCs/>
        </w:rPr>
        <w:t xml:space="preserve"> </w:t>
      </w:r>
      <w:hyperlink r:id="rId131">
        <w:r>
          <w:rPr>
            <w:rStyle w:val="Hyperlink"/>
            <w:i/>
            <w:iCs/>
          </w:rPr>
          <w:t xml:space="preserve">https://journals.lww.com/greenjournal/toc/2023/05001</w:t>
        </w:r>
      </w:hyperlink>
      <w:r>
        <w:rPr>
          <w:i/>
          <w:iCs/>
        </w:rPr>
        <w:t xml:space="preserve">;</w:t>
      </w:r>
      <w:r>
        <w:rPr>
          <w:i/>
          <w:iCs/>
        </w:rPr>
        <w:t xml:space="preserve"> </w:t>
      </w:r>
      <w:hyperlink r:id="rId142">
        <w:r>
          <w:rPr>
            <w:rStyle w:val="Hyperlink"/>
            <w:i/>
            <w:iCs/>
          </w:rPr>
          <w:t xml:space="preserve">https://pubmed.ncbi.nlm.nih.gov/25756102/</w:t>
        </w:r>
      </w:hyperlink>
      <w:r>
        <w:rPr>
          <w:i/>
          <w:iCs/>
        </w:rPr>
        <w:t xml:space="preserve"> </w:t>
      </w:r>
      <w:r>
        <w:rPr>
          <w:i/>
          <w:iCs/>
        </w:rPr>
        <w:t xml:space="preserve">(Vol 123, Suppl 1, pp 1S–198S);</w:t>
      </w:r>
      <w:r>
        <w:rPr>
          <w:i/>
          <w:iCs/>
        </w:rPr>
        <w:t xml:space="preserve"> </w:t>
      </w:r>
      <w:hyperlink r:id="rId143">
        <w:r>
          <w:rPr>
            <w:rStyle w:val="Hyperlink"/>
            <w:i/>
            <w:iCs/>
          </w:rPr>
          <w:t xml:space="preserve">https://journals.lww.com/greenjournal/Pages/collectiondetails.aspx?TopicalCollectionId=128</w:t>
        </w:r>
      </w:hyperlink>
    </w:p>
    <w:p>
      <w:r>
        <w:pict>
          <v:rect style="width:0;height:1.5pt" o:hralign="center" o:hrstd="t" o:hr="t"/>
        </w:pict>
      </w:r>
    </w:p>
    <w:bookmarkEnd w:id="144"/>
    <w:bookmarkStart w:id="145" w:name="Xd9af15b76bb8cdb4ef240d9961d273db6e97890"/>
    <w:p>
      <w:pPr>
        <w:pStyle w:val="Heading3"/>
      </w:pPr>
      <w:r>
        <w:t xml:space="preserve">A11.22 Final Complete Society Comparison (All 10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ACOG</w:t>
            </w:r>
          </w:p>
        </w:tc>
        <w:tc>
          <w:tcPr/>
          <w:p>
            <w:pPr>
              <w:pStyle w:val="Compact"/>
            </w:pPr>
            <w:r>
              <w:t xml:space="preserve">O&amp;G (Green J)</w:t>
            </w:r>
          </w:p>
        </w:tc>
        <w:tc>
          <w:tcPr/>
          <w:p>
            <w:pPr>
              <w:pStyle w:val="Compact"/>
            </w:pPr>
            <w:r>
              <w:t xml:space="preserve">LWW</w:t>
            </w:r>
          </w:p>
        </w:tc>
        <w:tc>
          <w:tcPr/>
          <w:p>
            <w:pPr>
              <w:pStyle w:val="Compact"/>
            </w:pPr>
            <w:r>
              <w:t xml:space="preserve">Yes</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~800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LWW societies (ACOG, CREOG/APGO, AUGS)</w:t>
      </w:r>
      <w:r>
        <w:t xml:space="preserve"> </w:t>
      </w:r>
      <w:r>
        <w:t xml:space="preserve">share a platform — a single LWW scraper covers all three.</w:t>
      </w:r>
      <w:r>
        <w:t xml:space="preserve"> </w:t>
      </w:r>
      <w:r>
        <w:rPr>
          <w:b/>
          <w:bCs/>
        </w:rPr>
        <w:t xml:space="preserve">ScienceDirect societies (AAGL, SMFM, SGO, NASPAG, ASRM, SFP)</w:t>
      </w:r>
      <w:r>
        <w:t xml:space="preserve"> </w:t>
      </w:r>
      <w:r>
        <w:t xml:space="preserve">share the existing Elsevier infrastructure. SASGOG remains the only society with no viable programmatic ingestion path.</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mufflyt/abstract_lifetime" TargetMode="External" /><Relationship Type="http://schemas.openxmlformats.org/officeDocument/2006/relationships/hyperlink" Id="rId143" Target="https://journals.lww.com/greenjournal/Pages/collectiondetails.aspx?TopicalCollectionId=128" TargetMode="External" /><Relationship Type="http://schemas.openxmlformats.org/officeDocument/2006/relationships/hyperlink" Id="rId127" Target="https://journals.lww.com/greenjournal/Pages/collectiondetails.aspx?TopicalCollectionId=129" TargetMode="External" /><Relationship Type="http://schemas.openxmlformats.org/officeDocument/2006/relationships/hyperlink" Id="rId141" Target="https://journals.lww.com/greenjournal/toc/2013/05001" TargetMode="External" /><Relationship Type="http://schemas.openxmlformats.org/officeDocument/2006/relationships/hyperlink" Id="rId140" Target="https://journals.lww.com/greenjournal/toc/2014/05001" TargetMode="External" /><Relationship Type="http://schemas.openxmlformats.org/officeDocument/2006/relationships/hyperlink" Id="rId139" Target="https://journals.lww.com/greenjournal/toc/2015/05001" TargetMode="External" /><Relationship Type="http://schemas.openxmlformats.org/officeDocument/2006/relationships/hyperlink" Id="rId126" Target="https://journals.lww.com/greenjournal/toc/2015/10001" TargetMode="External" /><Relationship Type="http://schemas.openxmlformats.org/officeDocument/2006/relationships/hyperlink" Id="rId138" Target="https://journals.lww.com/greenjournal/toc/2016/05001" TargetMode="External" /><Relationship Type="http://schemas.openxmlformats.org/officeDocument/2006/relationships/hyperlink" Id="rId125" Target="https://journals.lww.com/greenjournal/toc/2016/10001" TargetMode="External" /><Relationship Type="http://schemas.openxmlformats.org/officeDocument/2006/relationships/hyperlink" Id="rId137" Target="https://journals.lww.com/greenjournal/toc/2017/05001" TargetMode="External" /><Relationship Type="http://schemas.openxmlformats.org/officeDocument/2006/relationships/hyperlink" Id="rId124" Target="https://journals.lww.com/greenjournal/toc/2017/10001" TargetMode="External" /><Relationship Type="http://schemas.openxmlformats.org/officeDocument/2006/relationships/hyperlink" Id="rId136" Target="https://journals.lww.com/greenjournal/toc/2018/05001" TargetMode="External" /><Relationship Type="http://schemas.openxmlformats.org/officeDocument/2006/relationships/hyperlink" Id="rId123" Target="https://journals.lww.com/greenjournal/toc/2018/10001" TargetMode="External" /><Relationship Type="http://schemas.openxmlformats.org/officeDocument/2006/relationships/hyperlink" Id="rId135" Target="https://journals.lww.com/greenjournal/toc/2019/05001" TargetMode="External" /><Relationship Type="http://schemas.openxmlformats.org/officeDocument/2006/relationships/hyperlink" Id="rId122" Target="https://journals.lww.com/greenjournal/toc/2019/10001" TargetMode="External" /><Relationship Type="http://schemas.openxmlformats.org/officeDocument/2006/relationships/hyperlink" Id="rId134" Target="https://journals.lww.com/greenjournal/toc/2020/05001" TargetMode="External" /><Relationship Type="http://schemas.openxmlformats.org/officeDocument/2006/relationships/hyperlink" Id="rId121" Target="https://journals.lww.com/greenjournal/toc/2020/10001" TargetMode="External" /><Relationship Type="http://schemas.openxmlformats.org/officeDocument/2006/relationships/hyperlink" Id="rId133" Target="https://journals.lww.com/greenjournal/toc/2021/05001" TargetMode="External" /><Relationship Type="http://schemas.openxmlformats.org/officeDocument/2006/relationships/hyperlink" Id="rId120" Target="https://journals.lww.com/greenjournal/toc/2021/10001" TargetMode="External" /><Relationship Type="http://schemas.openxmlformats.org/officeDocument/2006/relationships/hyperlink" Id="rId132" Target="https://journals.lww.com/greenjournal/toc/2022/05001" TargetMode="External" /><Relationship Type="http://schemas.openxmlformats.org/officeDocument/2006/relationships/hyperlink" Id="rId119" Target="https://journals.lww.com/greenjournal/toc/2022/10001" TargetMode="External" /><Relationship Type="http://schemas.openxmlformats.org/officeDocument/2006/relationships/hyperlink" Id="rId131" Target="https://journals.lww.com/greenjournal/toc/2023/05001" TargetMode="External" /><Relationship Type="http://schemas.openxmlformats.org/officeDocument/2006/relationships/hyperlink" Id="rId118" Target="https://journals.lww.com/greenjournal/toc/2023/10001" TargetMode="External" /><Relationship Type="http://schemas.openxmlformats.org/officeDocument/2006/relationships/hyperlink" Id="rId19" Target="https://mufflyt.shinyapps.io/aagl-adjudication/" TargetMode="External" /><Relationship Type="http://schemas.openxmlformats.org/officeDocument/2006/relationships/hyperlink" Id="rId74" Target="https://publications.smfm.org/" TargetMode="External" /><Relationship Type="http://schemas.openxmlformats.org/officeDocument/2006/relationships/hyperlink" Id="rId142" Target="https://pubmed.ncbi.nlm.nih.gov/25756102/" TargetMode="External" /><Relationship Type="http://schemas.openxmlformats.org/officeDocument/2006/relationships/hyperlink" Id="rId85" Target="https://pubmed.ncbi.nlm.nih.gov/26141818/" TargetMode="External" /><Relationship Type="http://schemas.openxmlformats.org/officeDocument/2006/relationships/hyperlink" Id="rId84" Target="https://pubmed.ncbi.nlm.nih.gov/27477065/" TargetMode="External" /><Relationship Type="http://schemas.openxmlformats.org/officeDocument/2006/relationships/hyperlink" Id="rId83" Target="https://pubmed.ncbi.nlm.nih.gov/28757435/" TargetMode="External" /><Relationship Type="http://schemas.openxmlformats.org/officeDocument/2006/relationships/hyperlink" Id="rId82" Target="https://pubmed.ncbi.nlm.nih.gov/30031792/" TargetMode="External" /><Relationship Type="http://schemas.openxmlformats.org/officeDocument/2006/relationships/hyperlink" Id="rId81" Target="https://pubmed.ncbi.nlm.nih.gov/31348904/" TargetMode="External" /><Relationship Type="http://schemas.openxmlformats.org/officeDocument/2006/relationships/hyperlink" Id="rId80" Target="https://pubmed.ncbi.nlm.nih.gov/32707100/" TargetMode="External" /><Relationship Type="http://schemas.openxmlformats.org/officeDocument/2006/relationships/hyperlink" Id="rId79" Target="https://pubmed.ncbi.nlm.nih.gov/34289414/" TargetMode="External" /><Relationship Type="http://schemas.openxmlformats.org/officeDocument/2006/relationships/hyperlink" Id="rId78" Target="https://pubmed.ncbi.nlm.nih.gov/36403795/" TargetMode="External" /><Relationship Type="http://schemas.openxmlformats.org/officeDocument/2006/relationships/hyperlink" Id="rId77" Target="https://pubmed.ncbi.nlm.nih.gov/37821000/" TargetMode="External" /><Relationship Type="http://schemas.openxmlformats.org/officeDocument/2006/relationships/hyperlink" Id="rId109" Target="https://sasgog.org/2018-abstracts/" TargetMode="External" /><Relationship Type="http://schemas.openxmlformats.org/officeDocument/2006/relationships/hyperlink" Id="rId108" Target="https://sasgog.org/2019-abstracts/" TargetMode="External" /><Relationship Type="http://schemas.openxmlformats.org/officeDocument/2006/relationships/hyperlink" Id="rId107" Target="https://sasgog.org/2020-abstracts/" TargetMode="External" /><Relationship Type="http://schemas.openxmlformats.org/officeDocument/2006/relationships/hyperlink" Id="rId106" Target="https://sasgog.org/2021-abstracts/" TargetMode="External" /><Relationship Type="http://schemas.openxmlformats.org/officeDocument/2006/relationships/hyperlink" Id="rId105" Target="https://sasgog.org/2022-abstracts/" TargetMode="External" /><Relationship Type="http://schemas.openxmlformats.org/officeDocument/2006/relationships/hyperlink" Id="rId104" Target="https://sasgog.org/2023-abstracts/" TargetMode="External" /><Relationship Type="http://schemas.openxmlformats.org/officeDocument/2006/relationships/hyperlink" Id="rId111" Target="https://sasgog.org/about/" TargetMode="External" /><Relationship Type="http://schemas.openxmlformats.org/officeDocument/2006/relationships/hyperlink" Id="rId110" Target="https://sasgog.org/abstracts/" TargetMode="External" /><Relationship Type="http://schemas.openxmlformats.org/officeDocument/2006/relationships/hyperlink" Id="rId112" Target="https://sasgog.org/annual-meeting/" TargetMode="External" /><Relationship Type="http://schemas.openxmlformats.org/officeDocument/2006/relationships/hyperlink" Id="rId86" Target="https://societyfp.org/learning/annual-meeting/" TargetMode="External" /><Relationship Type="http://schemas.openxmlformats.org/officeDocument/2006/relationships/hyperlink" Id="rId117" Target="https://tools.apgo.org/abstract-catalog/" TargetMode="External" /><Relationship Type="http://schemas.openxmlformats.org/officeDocument/2006/relationships/hyperlink" Id="rId87" Target="https://www.contraceptionjournal.org/article/S0010-7824(18)30259-2/fulltext" TargetMode="External" /><Relationship Type="http://schemas.openxmlformats.org/officeDocument/2006/relationships/hyperlink" Id="rId101" Target="https://www.naspag.org/acrm-future-and-past" TargetMode="External" /><Relationship Type="http://schemas.openxmlformats.org/officeDocument/2006/relationships/hyperlink" Id="rId73" Target="https://www.sciencedirect.com/journal/american-journal-of-obstetrics-and-gynecology/vol/208/issue/1/suppl/S" TargetMode="External" /><Relationship Type="http://schemas.openxmlformats.org/officeDocument/2006/relationships/hyperlink" Id="rId72" Target="https://www.sciencedirect.com/journal/american-journal-of-obstetrics-and-gynecology/vol/210/issue/1/suppl/S" TargetMode="External" /><Relationship Type="http://schemas.openxmlformats.org/officeDocument/2006/relationships/hyperlink" Id="rId71" Target="https://www.sciencedirect.com/journal/american-journal-of-obstetrics-and-gynecology/vol/212/issue/1/suppl/S" TargetMode="External" /><Relationship Type="http://schemas.openxmlformats.org/officeDocument/2006/relationships/hyperlink" Id="rId70" Target="https://www.sciencedirect.com/journal/american-journal-of-obstetrics-and-gynecology/vol/214/issue/1/suppl/S" TargetMode="External" /><Relationship Type="http://schemas.openxmlformats.org/officeDocument/2006/relationships/hyperlink" Id="rId69" Target="https://www.sciencedirect.com/journal/american-journal-of-obstetrics-and-gynecology/vol/216/issue/1/suppl/S" TargetMode="External" /><Relationship Type="http://schemas.openxmlformats.org/officeDocument/2006/relationships/hyperlink" Id="rId68" Target="https://www.sciencedirect.com/journal/american-journal-of-obstetrics-and-gynecology/vol/218/issue/1/suppl/S" TargetMode="External" /><Relationship Type="http://schemas.openxmlformats.org/officeDocument/2006/relationships/hyperlink" Id="rId67" Target="https://www.sciencedirect.com/journal/american-journal-of-obstetrics-and-gynecology/vol/220/issue/1/suppl/S" TargetMode="External" /><Relationship Type="http://schemas.openxmlformats.org/officeDocument/2006/relationships/hyperlink" Id="rId66" Target="https://www.sciencedirect.com/journal/american-journal-of-obstetrics-and-gynecology/vol/222/issue/1/suppl/S" TargetMode="External" /><Relationship Type="http://schemas.openxmlformats.org/officeDocument/2006/relationships/hyperlink" Id="rId65" Target="https://www.sciencedirect.com/journal/american-journal-of-obstetrics-and-gynecology/vol/224/issue/2/suppl/S" TargetMode="External" /><Relationship Type="http://schemas.openxmlformats.org/officeDocument/2006/relationships/hyperlink" Id="rId64" Target="https://www.sciencedirect.com/journal/american-journal-of-obstetrics-and-gynecology/vol/226/issue/1/suppl/S" TargetMode="External" /><Relationship Type="http://schemas.openxmlformats.org/officeDocument/2006/relationships/hyperlink" Id="rId63" Target="https://www.sciencedirect.com/journal/american-journal-of-obstetrics-and-gynecology/vol/228/issue/1/suppl/S" TargetMode="External" /><Relationship Type="http://schemas.openxmlformats.org/officeDocument/2006/relationships/hyperlink" Id="rId100" Target="https://www.sciencedirect.com/journal/journal-of-pediatric-and-adolescent-gynecology" TargetMode="External" /><Relationship Type="http://schemas.openxmlformats.org/officeDocument/2006/relationships/hyperlink" Id="rId99" Target="https://www.sciencedirect.com/journal/journal-of-pediatric-and-adolescent-gynecology/vol/26/issue/2" TargetMode="External" /><Relationship Type="http://schemas.openxmlformats.org/officeDocument/2006/relationships/hyperlink" Id="rId98" Target="https://www.sciencedirect.com/journal/journal-of-pediatric-and-adolescent-gynecology/vol/27/issue/2" TargetMode="External" /><Relationship Type="http://schemas.openxmlformats.org/officeDocument/2006/relationships/hyperlink" Id="rId97" Target="https://www.sciencedirect.com/journal/journal-of-pediatric-and-adolescent-gynecology/vol/28/issue/2" TargetMode="External" /><Relationship Type="http://schemas.openxmlformats.org/officeDocument/2006/relationships/hyperlink" Id="rId96" Target="https://www.sciencedirect.com/journal/journal-of-pediatric-and-adolescent-gynecology/vol/29/issue/2" TargetMode="External" /><Relationship Type="http://schemas.openxmlformats.org/officeDocument/2006/relationships/hyperlink" Id="rId95" Target="https://www.sciencedirect.com/journal/journal-of-pediatric-and-adolescent-gynecology/vol/30/issue/2" TargetMode="External" /><Relationship Type="http://schemas.openxmlformats.org/officeDocument/2006/relationships/hyperlink" Id="rId94" Target="https://www.sciencedirect.com/journal/journal-of-pediatric-and-adolescent-gynecology/vol/31/issue/2" TargetMode="External" /><Relationship Type="http://schemas.openxmlformats.org/officeDocument/2006/relationships/hyperlink" Id="rId93" Target="https://www.sciencedirect.com/journal/journal-of-pediatric-and-adolescent-gynecology/vol/32/issue/2" TargetMode="External" /><Relationship Type="http://schemas.openxmlformats.org/officeDocument/2006/relationships/hyperlink" Id="rId92" Target="https://www.sciencedirect.com/journal/journal-of-pediatric-and-adolescent-gynecology/vol/33/issue/2" TargetMode="External" /><Relationship Type="http://schemas.openxmlformats.org/officeDocument/2006/relationships/hyperlink" Id="rId91" Target="https://www.sciencedirect.com/journal/journal-of-pediatric-and-adolescent-gynecology/vol/34/issue/2" TargetMode="External" /><Relationship Type="http://schemas.openxmlformats.org/officeDocument/2006/relationships/hyperlink" Id="rId90" Target="https://www.sciencedirect.com/journal/journal-of-pediatric-and-adolescent-gynecology/vol/35/issue/2" TargetMode="External" /><Relationship Type="http://schemas.openxmlformats.org/officeDocument/2006/relationships/hyperlink" Id="rId89" Target="https://www.sciencedirect.com/journal/journal-of-pediatric-and-adolescent-gynecology/vol/36/issue/2" TargetMode="External" /><Relationship Type="http://schemas.openxmlformats.org/officeDocument/2006/relationships/hyperlink" Id="rId128" Target="https://www.tandfonline.com/doi/full/10.1080/10401334.2015.1107492"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ufflyt/abstract_lifetime" TargetMode="External" /><Relationship Type="http://schemas.openxmlformats.org/officeDocument/2006/relationships/hyperlink" Id="rId143" Target="https://journals.lww.com/greenjournal/Pages/collectiondetails.aspx?TopicalCollectionId=128" TargetMode="External" /><Relationship Type="http://schemas.openxmlformats.org/officeDocument/2006/relationships/hyperlink" Id="rId127" Target="https://journals.lww.com/greenjournal/Pages/collectiondetails.aspx?TopicalCollectionId=129" TargetMode="External" /><Relationship Type="http://schemas.openxmlformats.org/officeDocument/2006/relationships/hyperlink" Id="rId141" Target="https://journals.lww.com/greenjournal/toc/2013/05001" TargetMode="External" /><Relationship Type="http://schemas.openxmlformats.org/officeDocument/2006/relationships/hyperlink" Id="rId140" Target="https://journals.lww.com/greenjournal/toc/2014/05001" TargetMode="External" /><Relationship Type="http://schemas.openxmlformats.org/officeDocument/2006/relationships/hyperlink" Id="rId139" Target="https://journals.lww.com/greenjournal/toc/2015/05001" TargetMode="External" /><Relationship Type="http://schemas.openxmlformats.org/officeDocument/2006/relationships/hyperlink" Id="rId126" Target="https://journals.lww.com/greenjournal/toc/2015/10001" TargetMode="External" /><Relationship Type="http://schemas.openxmlformats.org/officeDocument/2006/relationships/hyperlink" Id="rId138" Target="https://journals.lww.com/greenjournal/toc/2016/05001" TargetMode="External" /><Relationship Type="http://schemas.openxmlformats.org/officeDocument/2006/relationships/hyperlink" Id="rId125" Target="https://journals.lww.com/greenjournal/toc/2016/10001" TargetMode="External" /><Relationship Type="http://schemas.openxmlformats.org/officeDocument/2006/relationships/hyperlink" Id="rId137" Target="https://journals.lww.com/greenjournal/toc/2017/05001" TargetMode="External" /><Relationship Type="http://schemas.openxmlformats.org/officeDocument/2006/relationships/hyperlink" Id="rId124" Target="https://journals.lww.com/greenjournal/toc/2017/10001" TargetMode="External" /><Relationship Type="http://schemas.openxmlformats.org/officeDocument/2006/relationships/hyperlink" Id="rId136" Target="https://journals.lww.com/greenjournal/toc/2018/05001" TargetMode="External" /><Relationship Type="http://schemas.openxmlformats.org/officeDocument/2006/relationships/hyperlink" Id="rId123" Target="https://journals.lww.com/greenjournal/toc/2018/10001" TargetMode="External" /><Relationship Type="http://schemas.openxmlformats.org/officeDocument/2006/relationships/hyperlink" Id="rId135" Target="https://journals.lww.com/greenjournal/toc/2019/05001" TargetMode="External" /><Relationship Type="http://schemas.openxmlformats.org/officeDocument/2006/relationships/hyperlink" Id="rId122" Target="https://journals.lww.com/greenjournal/toc/2019/10001" TargetMode="External" /><Relationship Type="http://schemas.openxmlformats.org/officeDocument/2006/relationships/hyperlink" Id="rId134" Target="https://journals.lww.com/greenjournal/toc/2020/05001" TargetMode="External" /><Relationship Type="http://schemas.openxmlformats.org/officeDocument/2006/relationships/hyperlink" Id="rId121" Target="https://journals.lww.com/greenjournal/toc/2020/10001" TargetMode="External" /><Relationship Type="http://schemas.openxmlformats.org/officeDocument/2006/relationships/hyperlink" Id="rId133" Target="https://journals.lww.com/greenjournal/toc/2021/05001" TargetMode="External" /><Relationship Type="http://schemas.openxmlformats.org/officeDocument/2006/relationships/hyperlink" Id="rId120" Target="https://journals.lww.com/greenjournal/toc/2021/10001" TargetMode="External" /><Relationship Type="http://schemas.openxmlformats.org/officeDocument/2006/relationships/hyperlink" Id="rId132" Target="https://journals.lww.com/greenjournal/toc/2022/05001" TargetMode="External" /><Relationship Type="http://schemas.openxmlformats.org/officeDocument/2006/relationships/hyperlink" Id="rId119" Target="https://journals.lww.com/greenjournal/toc/2022/10001" TargetMode="External" /><Relationship Type="http://schemas.openxmlformats.org/officeDocument/2006/relationships/hyperlink" Id="rId131" Target="https://journals.lww.com/greenjournal/toc/2023/05001" TargetMode="External" /><Relationship Type="http://schemas.openxmlformats.org/officeDocument/2006/relationships/hyperlink" Id="rId118" Target="https://journals.lww.com/greenjournal/toc/2023/10001" TargetMode="External" /><Relationship Type="http://schemas.openxmlformats.org/officeDocument/2006/relationships/hyperlink" Id="rId19" Target="https://mufflyt.shinyapps.io/aagl-adjudication/" TargetMode="External" /><Relationship Type="http://schemas.openxmlformats.org/officeDocument/2006/relationships/hyperlink" Id="rId74" Target="https://publications.smfm.org/" TargetMode="External" /><Relationship Type="http://schemas.openxmlformats.org/officeDocument/2006/relationships/hyperlink" Id="rId142" Target="https://pubmed.ncbi.nlm.nih.gov/25756102/" TargetMode="External" /><Relationship Type="http://schemas.openxmlformats.org/officeDocument/2006/relationships/hyperlink" Id="rId85" Target="https://pubmed.ncbi.nlm.nih.gov/26141818/" TargetMode="External" /><Relationship Type="http://schemas.openxmlformats.org/officeDocument/2006/relationships/hyperlink" Id="rId84" Target="https://pubmed.ncbi.nlm.nih.gov/27477065/" TargetMode="External" /><Relationship Type="http://schemas.openxmlformats.org/officeDocument/2006/relationships/hyperlink" Id="rId83" Target="https://pubmed.ncbi.nlm.nih.gov/28757435/" TargetMode="External" /><Relationship Type="http://schemas.openxmlformats.org/officeDocument/2006/relationships/hyperlink" Id="rId82" Target="https://pubmed.ncbi.nlm.nih.gov/30031792/" TargetMode="External" /><Relationship Type="http://schemas.openxmlformats.org/officeDocument/2006/relationships/hyperlink" Id="rId81" Target="https://pubmed.ncbi.nlm.nih.gov/31348904/" TargetMode="External" /><Relationship Type="http://schemas.openxmlformats.org/officeDocument/2006/relationships/hyperlink" Id="rId80" Target="https://pubmed.ncbi.nlm.nih.gov/32707100/" TargetMode="External" /><Relationship Type="http://schemas.openxmlformats.org/officeDocument/2006/relationships/hyperlink" Id="rId79" Target="https://pubmed.ncbi.nlm.nih.gov/34289414/" TargetMode="External" /><Relationship Type="http://schemas.openxmlformats.org/officeDocument/2006/relationships/hyperlink" Id="rId78" Target="https://pubmed.ncbi.nlm.nih.gov/36403795/" TargetMode="External" /><Relationship Type="http://schemas.openxmlformats.org/officeDocument/2006/relationships/hyperlink" Id="rId77" Target="https://pubmed.ncbi.nlm.nih.gov/37821000/" TargetMode="External" /><Relationship Type="http://schemas.openxmlformats.org/officeDocument/2006/relationships/hyperlink" Id="rId109" Target="https://sasgog.org/2018-abstracts/" TargetMode="External" /><Relationship Type="http://schemas.openxmlformats.org/officeDocument/2006/relationships/hyperlink" Id="rId108" Target="https://sasgog.org/2019-abstracts/" TargetMode="External" /><Relationship Type="http://schemas.openxmlformats.org/officeDocument/2006/relationships/hyperlink" Id="rId107" Target="https://sasgog.org/2020-abstracts/" TargetMode="External" /><Relationship Type="http://schemas.openxmlformats.org/officeDocument/2006/relationships/hyperlink" Id="rId106" Target="https://sasgog.org/2021-abstracts/" TargetMode="External" /><Relationship Type="http://schemas.openxmlformats.org/officeDocument/2006/relationships/hyperlink" Id="rId105" Target="https://sasgog.org/2022-abstracts/" TargetMode="External" /><Relationship Type="http://schemas.openxmlformats.org/officeDocument/2006/relationships/hyperlink" Id="rId104" Target="https://sasgog.org/2023-abstracts/" TargetMode="External" /><Relationship Type="http://schemas.openxmlformats.org/officeDocument/2006/relationships/hyperlink" Id="rId111" Target="https://sasgog.org/about/" TargetMode="External" /><Relationship Type="http://schemas.openxmlformats.org/officeDocument/2006/relationships/hyperlink" Id="rId110" Target="https://sasgog.org/abstracts/" TargetMode="External" /><Relationship Type="http://schemas.openxmlformats.org/officeDocument/2006/relationships/hyperlink" Id="rId112" Target="https://sasgog.org/annual-meeting/" TargetMode="External" /><Relationship Type="http://schemas.openxmlformats.org/officeDocument/2006/relationships/hyperlink" Id="rId86" Target="https://societyfp.org/learning/annual-meeting/" TargetMode="External" /><Relationship Type="http://schemas.openxmlformats.org/officeDocument/2006/relationships/hyperlink" Id="rId117" Target="https://tools.apgo.org/abstract-catalog/" TargetMode="External" /><Relationship Type="http://schemas.openxmlformats.org/officeDocument/2006/relationships/hyperlink" Id="rId87" Target="https://www.contraceptionjournal.org/article/S0010-7824(18)30259-2/fulltext" TargetMode="External" /><Relationship Type="http://schemas.openxmlformats.org/officeDocument/2006/relationships/hyperlink" Id="rId101" Target="https://www.naspag.org/acrm-future-and-past" TargetMode="External" /><Relationship Type="http://schemas.openxmlformats.org/officeDocument/2006/relationships/hyperlink" Id="rId73" Target="https://www.sciencedirect.com/journal/american-journal-of-obstetrics-and-gynecology/vol/208/issue/1/suppl/S" TargetMode="External" /><Relationship Type="http://schemas.openxmlformats.org/officeDocument/2006/relationships/hyperlink" Id="rId72" Target="https://www.sciencedirect.com/journal/american-journal-of-obstetrics-and-gynecology/vol/210/issue/1/suppl/S" TargetMode="External" /><Relationship Type="http://schemas.openxmlformats.org/officeDocument/2006/relationships/hyperlink" Id="rId71" Target="https://www.sciencedirect.com/journal/american-journal-of-obstetrics-and-gynecology/vol/212/issue/1/suppl/S" TargetMode="External" /><Relationship Type="http://schemas.openxmlformats.org/officeDocument/2006/relationships/hyperlink" Id="rId70" Target="https://www.sciencedirect.com/journal/american-journal-of-obstetrics-and-gynecology/vol/214/issue/1/suppl/S" TargetMode="External" /><Relationship Type="http://schemas.openxmlformats.org/officeDocument/2006/relationships/hyperlink" Id="rId69" Target="https://www.sciencedirect.com/journal/american-journal-of-obstetrics-and-gynecology/vol/216/issue/1/suppl/S" TargetMode="External" /><Relationship Type="http://schemas.openxmlformats.org/officeDocument/2006/relationships/hyperlink" Id="rId68" Target="https://www.sciencedirect.com/journal/american-journal-of-obstetrics-and-gynecology/vol/218/issue/1/suppl/S" TargetMode="External" /><Relationship Type="http://schemas.openxmlformats.org/officeDocument/2006/relationships/hyperlink" Id="rId67" Target="https://www.sciencedirect.com/journal/american-journal-of-obstetrics-and-gynecology/vol/220/issue/1/suppl/S" TargetMode="External" /><Relationship Type="http://schemas.openxmlformats.org/officeDocument/2006/relationships/hyperlink" Id="rId66" Target="https://www.sciencedirect.com/journal/american-journal-of-obstetrics-and-gynecology/vol/222/issue/1/suppl/S" TargetMode="External" /><Relationship Type="http://schemas.openxmlformats.org/officeDocument/2006/relationships/hyperlink" Id="rId65" Target="https://www.sciencedirect.com/journal/american-journal-of-obstetrics-and-gynecology/vol/224/issue/2/suppl/S" TargetMode="External" /><Relationship Type="http://schemas.openxmlformats.org/officeDocument/2006/relationships/hyperlink" Id="rId64" Target="https://www.sciencedirect.com/journal/american-journal-of-obstetrics-and-gynecology/vol/226/issue/1/suppl/S" TargetMode="External" /><Relationship Type="http://schemas.openxmlformats.org/officeDocument/2006/relationships/hyperlink" Id="rId63" Target="https://www.sciencedirect.com/journal/american-journal-of-obstetrics-and-gynecology/vol/228/issue/1/suppl/S" TargetMode="External" /><Relationship Type="http://schemas.openxmlformats.org/officeDocument/2006/relationships/hyperlink" Id="rId100" Target="https://www.sciencedirect.com/journal/journal-of-pediatric-and-adolescent-gynecology" TargetMode="External" /><Relationship Type="http://schemas.openxmlformats.org/officeDocument/2006/relationships/hyperlink" Id="rId99" Target="https://www.sciencedirect.com/journal/journal-of-pediatric-and-adolescent-gynecology/vol/26/issue/2" TargetMode="External" /><Relationship Type="http://schemas.openxmlformats.org/officeDocument/2006/relationships/hyperlink" Id="rId98" Target="https://www.sciencedirect.com/journal/journal-of-pediatric-and-adolescent-gynecology/vol/27/issue/2" TargetMode="External" /><Relationship Type="http://schemas.openxmlformats.org/officeDocument/2006/relationships/hyperlink" Id="rId97" Target="https://www.sciencedirect.com/journal/journal-of-pediatric-and-adolescent-gynecology/vol/28/issue/2" TargetMode="External" /><Relationship Type="http://schemas.openxmlformats.org/officeDocument/2006/relationships/hyperlink" Id="rId96" Target="https://www.sciencedirect.com/journal/journal-of-pediatric-and-adolescent-gynecology/vol/29/issue/2" TargetMode="External" /><Relationship Type="http://schemas.openxmlformats.org/officeDocument/2006/relationships/hyperlink" Id="rId95" Target="https://www.sciencedirect.com/journal/journal-of-pediatric-and-adolescent-gynecology/vol/30/issue/2" TargetMode="External" /><Relationship Type="http://schemas.openxmlformats.org/officeDocument/2006/relationships/hyperlink" Id="rId94" Target="https://www.sciencedirect.com/journal/journal-of-pediatric-and-adolescent-gynecology/vol/31/issue/2" TargetMode="External" /><Relationship Type="http://schemas.openxmlformats.org/officeDocument/2006/relationships/hyperlink" Id="rId93" Target="https://www.sciencedirect.com/journal/journal-of-pediatric-and-adolescent-gynecology/vol/32/issue/2" TargetMode="External" /><Relationship Type="http://schemas.openxmlformats.org/officeDocument/2006/relationships/hyperlink" Id="rId92" Target="https://www.sciencedirect.com/journal/journal-of-pediatric-and-adolescent-gynecology/vol/33/issue/2" TargetMode="External" /><Relationship Type="http://schemas.openxmlformats.org/officeDocument/2006/relationships/hyperlink" Id="rId91" Target="https://www.sciencedirect.com/journal/journal-of-pediatric-and-adolescent-gynecology/vol/34/issue/2" TargetMode="External" /><Relationship Type="http://schemas.openxmlformats.org/officeDocument/2006/relationships/hyperlink" Id="rId90" Target="https://www.sciencedirect.com/journal/journal-of-pediatric-and-adolescent-gynecology/vol/35/issue/2" TargetMode="External" /><Relationship Type="http://schemas.openxmlformats.org/officeDocument/2006/relationships/hyperlink" Id="rId89" Target="https://www.sciencedirect.com/journal/journal-of-pediatric-and-adolescent-gynecology/vol/36/issue/2" TargetMode="External" /><Relationship Type="http://schemas.openxmlformats.org/officeDocument/2006/relationships/hyperlink" Id="rId128" Target="https://www.tandfonline.com/doi/full/10.1080/10401334.2015.11074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2026-04-18T22:38:41Z</dcterms:created>
  <dcterms:modified xsi:type="dcterms:W3CDTF">2026-04-18T22:38:41Z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18,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