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Publication Rate, Time to Publication, and Predictors of Full Publication Among Oral Presentations at the AAGL Global Congress, 2012-2023: A Retrospective Cohort Study</w:t>
      </w:r>
    </w:p>
    <w:bookmarkStart w:id="20" w:name="introduction"/>
    <w:p>
      <w:pPr>
        <w:pStyle w:val="Heading2"/>
      </w:pPr>
      <w:r>
        <w:t xml:space="preserve">Introduction</w:t>
      </w:r>
    </w:p>
    <w:p>
      <w:pPr>
        <w:pStyle w:val="FirstParagraph"/>
      </w:pPr>
      <w:r>
        <w:t xml:space="preserve">Scientific conferences serve as a critical mechanism for disseminating preliminary research findings to the medical community. The American Association of Gynecologic Laparoscopists (AAGL) Global Congress on Minimally Invasive Gynecology is the premier international meeting in the field, attracting presentations on surgical innovation, clinical outcomes, and health services research across the spectrum of gynecologic care. However, conference presentations represent only an intermediate step in the evidence pipeline; their contribution to the permanent scientific record depends on whether they progress to full peer-reviewed publication.</w:t>
      </w:r>
    </w:p>
    <w:p>
      <w:pPr>
        <w:pStyle w:val="BodyText"/>
      </w:pPr>
      <w:r>
        <w:t xml:space="preserve">The gap between conference presentation and journal publication has been extensively documented across medical specialties. A Cochrane methodological review (Scherer et al., 2018) synthesizing 425 reports covering 307,028 abstracts estimated a pooled full-publication rate of 37.3%, with survival analysis suggesting 46.4% publication by 10 years. Importantly, publication was not random: abstracts reporting positive or statistically significant results were approximately 30% more likely to be published (RR 1.31), raising concerns about publication bias and incomplete representation of the evidence base. Additional predictors of publication included oral (vs poster) presentation (RR 1.46), randomized trial design (RR 1.51), academic affiliation (RR 1.60), and external funding (RR 1.48).</w:t>
      </w:r>
    </w:p>
    <w:p>
      <w:pPr>
        <w:pStyle w:val="BodyText"/>
      </w:pPr>
      <w:r>
        <w:t xml:space="preserve">Despite the Cochrane review’s comprehensive synthesis, no prior study has examined publication rates specifically for the AAGL Global Congress, and few studies in surgical subspecialties have employed the multi-database, multi-strategy matching approach recommended by the Cochrane authors. Furthermore, the landscape of minimally invasive gynecologic surgery has evolved substantially over the past decade, with shifts in training paradigms, increasing international participation, and changing research priorities that may influence publication patterns.</w:t>
      </w:r>
    </w:p>
    <w:p>
      <w:pPr>
        <w:pStyle w:val="BodyText"/>
      </w:pPr>
      <w:r>
        <w:t xml:space="preserve">The objectives of this study were to: (1) determine the full-publication rate for oral presentations at the AAGL Global Congress over a 12-year period; (2) characterize the time from conference presentation to publication; (3) identify scientific, author, and institutional predictors of publication; (4) assess for publication bias by result direction; and (5) evaluate abstract-to-publication fidelity. This study was designed to address the Cochrane review’s methodological recommendations, including multi-database search, tiered match classification, survival analysis, and sensitivity analyses across multiple follow-up windows.</w:t>
      </w:r>
    </w:p>
    <w:bookmarkEnd w:id="20"/>
    <w:bookmarkStart w:id="31" w:name="materials-and-methods"/>
    <w:p>
      <w:pPr>
        <w:pStyle w:val="Heading2"/>
      </w:pPr>
      <w:r>
        <w:t xml:space="preserve">Materials and Methods</w:t>
      </w:r>
    </w:p>
    <w:bookmarkStart w:id="21" w:name="study-design-and-cohort"/>
    <w:p>
      <w:pPr>
        <w:pStyle w:val="Heading3"/>
      </w:pPr>
      <w:r>
        <w:t xml:space="preserve">Study Design and Cohort</w:t>
      </w:r>
    </w:p>
    <w:p>
      <w:pPr>
        <w:pStyle w:val="FirstParagraph"/>
      </w:pPr>
      <w:r>
        <w:t xml:space="preserve">This was a retrospective cohort study of all oral presentations at the AAGL Global Congress on Minimally Invasive Gynecology from 2012 to 2023 (12 consecutive annual meetings: the 41st through 52nd Global Congress). The study protocol followed the STROBE guidelines for observational cohort studies and incorporated methodological recommendations from the Cochrane review on full publication of results initially presented as abstracts (Scherer et al., 2018).</w:t>
      </w:r>
    </w:p>
    <w:bookmarkEnd w:id="21"/>
    <w:bookmarkStart w:id="22" w:name="data-source-and-abstraction"/>
    <w:p>
      <w:pPr>
        <w:pStyle w:val="Heading3"/>
      </w:pPr>
      <w:r>
        <w:t xml:space="preserve">Data Source and Abstraction</w:t>
      </w:r>
    </w:p>
    <w:p>
      <w:pPr>
        <w:pStyle w:val="FirstParagraph"/>
      </w:pPr>
      <w:r>
        <w:t xml:space="preserve">Conference abstracts were identified from the Journal of Minimally Invasive Gynecology (JMIG) annual supplement issues, which publish the proceedings of each AAGL Global Congress. Abstract metadata (title, authors, structured abstract text, DOI, and page range) were extracted programmatically from the ScienceDirect digital archive. Each abstract was assigned a unique identifier (e.g., AAGL2023_001) and classified by session type (oral or video presentation) based on the Table of Contents section headers. Video presentations (n=48, appearing only in 2022-2023) were excluded, limiting the cohort to oral presentations.</w:t>
      </w:r>
    </w:p>
    <w:bookmarkEnd w:id="22"/>
    <w:bookmarkStart w:id="23" w:name="variable-extraction"/>
    <w:p>
      <w:pPr>
        <w:pStyle w:val="Heading3"/>
      </w:pPr>
      <w:r>
        <w:t xml:space="preserve">Variable Extraction</w:t>
      </w:r>
    </w:p>
    <w:p>
      <w:pPr>
        <w:pStyle w:val="FirstParagraph"/>
      </w:pPr>
      <w:r>
        <w:t xml:space="preserve">Abstract-level variables were extracted using a combination of structured field parsing and natural language processing applied to the abstract text:</w:t>
      </w:r>
    </w:p>
    <w:p>
      <w:pPr>
        <w:pStyle w:val="BodyText"/>
      </w:pPr>
      <w:r>
        <w:rPr>
          <w:b/>
          <w:bCs/>
        </w:rPr>
        <w:t xml:space="preserve">Study characteristics.</w:t>
      </w:r>
      <w:r>
        <w:t xml:space="preserve"> </w:t>
      </w:r>
      <w:r>
        <w:t xml:space="preserve">Study design was classified into 11 categories (randomized controlled trial, prospective cohort, retrospective cohort, case-control, case series, cross-sectional, systematic review, cost analysis, simulation/laboratory, validation study, or other) using regex-based text classification. Additional binary indicators captured multicenter status, use of national administrative databases (NSQIP, NIS, SEER, NCDB, HCUP), reported funding, industry involvement (identification of device or pharmaceutical company names), trial registration (NCT or ISRCTN numbers), IRB/ethics committee statements, and presence of numeric results (p-values, odds ratios, confidence intervals, or percentages).</w:t>
      </w:r>
    </w:p>
    <w:p>
      <w:pPr>
        <w:pStyle w:val="BodyText"/>
      </w:pPr>
      <w:r>
        <w:rPr>
          <w:b/>
          <w:bCs/>
        </w:rPr>
        <w:t xml:space="preserve">Result direction.</w:t>
      </w:r>
      <w:r>
        <w:t xml:space="preserve"> </w:t>
      </w:r>
      <w:r>
        <w:t xml:space="preserve">Abstract conclusions were classified as reporting positive, negative, neutral, or unclear results using a validated regex-based classifier that scanned conclusion text, measurements sections, and full abstract text for directional language (e.g.,</w:t>
      </w:r>
      <w:r>
        <w:t xml:space="preserve"> </w:t>
      </w:r>
      <w:r>
        <w:t xml:space="preserve">“significant,”</w:t>
      </w:r>
      <w:r>
        <w:t xml:space="preserve"> </w:t>
      </w:r>
      <w:r>
        <w:t xml:space="preserve">“improved,”</w:t>
      </w:r>
      <w:r>
        <w:t xml:space="preserve"> </w:t>
      </w:r>
      <w:r>
        <w:t xml:space="preserve">“no difference,”</w:t>
      </w:r>
      <w:r>
        <w:t xml:space="preserve"> </w:t>
      </w:r>
      <w:r>
        <w:t xml:space="preserve">“failed to”</w:t>
      </w:r>
      <w:r>
        <w:t xml:space="preserve">).</w:t>
      </w:r>
    </w:p>
    <w:p>
      <w:pPr>
        <w:pStyle w:val="BodyText"/>
      </w:pPr>
      <w:r>
        <w:rPr>
          <w:b/>
          <w:bCs/>
        </w:rPr>
        <w:t xml:space="preserve">Author and institutional characteristics.</w:t>
      </w:r>
      <w:r>
        <w:t xml:space="preserve"> </w:t>
      </w:r>
      <w:r>
        <w:t xml:space="preserve">For each abstract’s corresponding published paper (when identified), full author names and institutional affiliations were extracted from PubMed XML records via the NCBI E-Utilities API. First-author gender was inferred using US Social Security Administration name-gender data (R</w:t>
      </w:r>
      <w:r>
        <w:t xml:space="preserve"> </w:t>
      </w:r>
      <w:r>
        <w:rPr>
          <w:rStyle w:val="VerbatimChar"/>
        </w:rPr>
        <w:t xml:space="preserve">gender</w:t>
      </w:r>
      <w:r>
        <w:t xml:space="preserve"> </w:t>
      </w:r>
      <w:r>
        <w:t xml:space="preserve">package, 1930-2012 birth cohorts) with genderize.io as a fallback for international names. First-author practice type was classified as academic, military/VA, research institute, or private practice by cross-referencing affiliations against 2,754 ACGME-accredited teaching hospital names and applying regex-based institution classification. First-author US state was parsed from affiliations using a multi-strategy approach (spelled-out state names, two-letter codes, institution-to-state lookup, and city-to-state lookup), and mapped to ACOG districts I-XI. Subspecialty was classified from departmental affiliations (MIGS, REI, gynecologic oncology, FPMRS, MFM, or general OB/GYN).</w:t>
      </w:r>
    </w:p>
    <w:bookmarkEnd w:id="23"/>
    <w:bookmarkStart w:id="24" w:name="publication-search-strategy"/>
    <w:p>
      <w:pPr>
        <w:pStyle w:val="Heading3"/>
      </w:pPr>
      <w:r>
        <w:t xml:space="preserve">Publication Search Strategy</w:t>
      </w:r>
    </w:p>
    <w:p>
      <w:pPr>
        <w:pStyle w:val="FirstParagraph"/>
      </w:pPr>
      <w:r>
        <w:rPr>
          <w:b/>
          <w:bCs/>
        </w:rPr>
        <w:t xml:space="preserve">Relation to prior designs.</w:t>
      </w:r>
      <w:r>
        <w:t xml:space="preserve"> </w:t>
      </w:r>
      <w:r>
        <w:t xml:space="preserve">The closest published approach is the IntoValue</w:t>
      </w:r>
      <w:r>
        <w:t xml:space="preserve"> </w:t>
      </w:r>
      <w:r>
        <w:t xml:space="preserve">programme, which followed registered clinical trials to their results</w:t>
      </w:r>
      <w:r>
        <w:t xml:space="preserve"> </w:t>
      </w:r>
      <w:r>
        <w:t xml:space="preserve">publications and identified publications for 68.4% of trials (Wieschowski and</w:t>
      </w:r>
      <w:r>
        <w:t xml:space="preserve"> </w:t>
      </w:r>
      <w:r>
        <w:t xml:space="preserve">colleagues; data and analysis code at github.com/maia-sh/intovalue-data and</w:t>
      </w:r>
      <w:r>
        <w:t xml:space="preserve"> </w:t>
      </w:r>
      <w:r>
        <w:t xml:space="preserve">github.com/quest-bih/IntoValue2). That design can anchor its matching on a</w:t>
      </w:r>
      <w:r>
        <w:t xml:space="preserve"> </w:t>
      </w:r>
      <w:r>
        <w:t xml:space="preserve">persistent identifier: a registered trial carries a trial registration number,</w:t>
      </w:r>
      <w:r>
        <w:t xml:space="preserve"> </w:t>
      </w:r>
      <w:r>
        <w:t xml:space="preserve">and IntoValue was able to report how often that number appears in the</w:t>
      </w:r>
      <w:r>
        <w:t xml:space="preserve"> </w:t>
      </w:r>
      <w:r>
        <w:t xml:space="preserve">publication itself (38% in abstracts, 60% in full text), turning the link</w:t>
      </w:r>
      <w:r>
        <w:t xml:space="preserve"> </w:t>
      </w:r>
      <w:r>
        <w:t xml:space="preserve">between record and paper into a checkable fact.</w:t>
      </w:r>
    </w:p>
    <w:p>
      <w:pPr>
        <w:pStyle w:val="BodyText"/>
      </w:pPr>
      <w:r>
        <w:t xml:space="preserve">No such identifier exists here. A congress abstract published in a journal</w:t>
      </w:r>
      <w:r>
        <w:t xml:space="preserve"> </w:t>
      </w:r>
      <w:r>
        <w:t xml:space="preserve">supplement carries a DOI for the supplement item, but that identifier does not</w:t>
      </w:r>
      <w:r>
        <w:t xml:space="preserve"> </w:t>
      </w:r>
      <w:r>
        <w:t xml:space="preserve">propagate into the subsequent full publication, and the AAGL programme assigns</w:t>
      </w:r>
      <w:r>
        <w:t xml:space="preserve"> </w:t>
      </w:r>
      <w:r>
        <w:t xml:space="preserve">no persistent study identifier that both documents share. Abstract and article</w:t>
      </w:r>
      <w:r>
        <w:t xml:space="preserve"> </w:t>
      </w:r>
      <w:r>
        <w:t xml:space="preserve">are therefore linked only by their content: title, authors, institution,</w:t>
      </w:r>
      <w:r>
        <w:t xml:space="preserve"> </w:t>
      </w:r>
      <w:r>
        <w:t xml:space="preserve">journal and date. That is why this study uses a weighted multi-component</w:t>
      </w:r>
      <w:r>
        <w:t xml:space="preserve"> </w:t>
      </w:r>
      <w:r>
        <w:t xml:space="preserve">similarity score with a Cochrane-aligned classification and human adjudication</w:t>
      </w:r>
      <w:r>
        <w:t xml:space="preserve"> </w:t>
      </w:r>
      <w:r>
        <w:t xml:space="preserve">of the ambiguous band, rather than an identifier join. It is a heavier</w:t>
      </w:r>
      <w:r>
        <w:t xml:space="preserve"> </w:t>
      </w:r>
      <w:r>
        <w:t xml:space="preserve">procedure than IntoValue’s, and it is heavier because the identifier that would</w:t>
      </w:r>
      <w:r>
        <w:t xml:space="preserve"> </w:t>
      </w:r>
      <w:r>
        <w:t xml:space="preserve">make it lighter does not exist for conference abstracts.</w:t>
      </w:r>
    </w:p>
    <w:p>
      <w:pPr>
        <w:pStyle w:val="BodyText"/>
      </w:pPr>
      <w:r>
        <w:t xml:space="preserve">The consequence is that matching is a measurement with error rather than a</w:t>
      </w:r>
      <w:r>
        <w:t xml:space="preserve"> </w:t>
      </w:r>
      <w:r>
        <w:t xml:space="preserve">lookup, and it is reported as such: classification tiers, adjudication</w:t>
      </w:r>
      <w:r>
        <w:t xml:space="preserve"> </w:t>
      </w:r>
      <w:r>
        <w:t xml:space="preserve">decisions and the sensitivity of the headline rate to the matching threshold</w:t>
      </w:r>
      <w:r>
        <w:t xml:space="preserve"> </w:t>
      </w:r>
      <w:r>
        <w:t xml:space="preserve">are all reported below and in the supplementary materials.</w:t>
      </w:r>
    </w:p>
    <w:p>
      <w:pPr>
        <w:pStyle w:val="BodyText"/>
      </w:pPr>
      <w:r>
        <w:t xml:space="preserve">A tiered, multi-database search was conducted to identify full peer-reviewed publications corresponding to each conference abstract. The search window extended from the date of each respective congress through April 2026, providing 13.4 years of follow-up for the earliest cohort (2012) and 2.4 years for the most recent (2023).</w:t>
      </w:r>
    </w:p>
    <w:p>
      <w:pPr>
        <w:pStyle w:val="BodyText"/>
      </w:pPr>
      <w:r>
        <w:rPr>
          <w:b/>
          <w:bCs/>
        </w:rPr>
        <w:t xml:space="preserve">Primary search (PubMed/MEDLINE).</w:t>
      </w:r>
      <w:r>
        <w:t xml:space="preserve"> </w:t>
      </w:r>
      <w:r>
        <w:t xml:space="preserve">Six complementary search strategies were applied to each abstract via the NCBI E-Utilities API: (1) title keyword phrase search, (2) first-author search, (3) last-author search, (4) author plus keyword combination, (5) distinctive title fragment search, and (6) broad author search. Each strategy was filtered by publication date and results from the JMIG supplement issues were excluded to prevent self-matching.</w:t>
      </w:r>
    </w:p>
    <w:p>
      <w:pPr>
        <w:pStyle w:val="BodyText"/>
      </w:pPr>
      <w:r>
        <w:rPr>
          <w:b/>
          <w:bCs/>
        </w:rPr>
        <w:t xml:space="preserve">Supplementary searches.</w:t>
      </w:r>
      <w:r>
        <w:t xml:space="preserve"> </w:t>
      </w:r>
      <w:r>
        <w:t xml:space="preserve">Four additional databases were queried for each abstract: CrossRef (targeted to abstracts with few PubMed hits), Europe PMC (multi-strategy title and author search), OpenAlex (keyword search with PMID resolution), and Semantic Scholar (title-based search). Candidate publications identified from supplementary sources were resolved to PMIDs via Europe PMC and merged into the primary candidate pool.</w:t>
      </w:r>
    </w:p>
    <w:p>
      <w:pPr>
        <w:pStyle w:val="BodyText"/>
      </w:pPr>
      <w:r>
        <w:rPr>
          <w:b/>
          <w:bCs/>
        </w:rPr>
        <w:t xml:space="preserve">DOI-based reverse citation search.</w:t>
      </w:r>
      <w:r>
        <w:t xml:space="preserve"> </w:t>
      </w:r>
      <w:r>
        <w:t xml:space="preserve">A novel strategy leveraging each abstract’s ScienceDirect DOI: for each of the 1106 abstract DOIs, OpenAlex was queried to identify papers that cited the conference abstract. Papers explicitly citing a conference abstract in their reference list represent high-confidence matches, particularly when title-based searches fail due to substantial title revision between presentation and publication.</w:t>
      </w:r>
    </w:p>
    <w:p>
      <w:pPr>
        <w:pStyle w:val="BodyText"/>
      </w:pPr>
      <w:r>
        <w:t xml:space="preserve">All candidate publications were deduplicated by PMID across search strategies, and detailed PubMed metadata (title, authors, journal, publication date, DOI, keywords, and publication type) were fetched for scoring.</w:t>
      </w:r>
    </w:p>
    <w:bookmarkEnd w:id="24"/>
    <w:bookmarkStart w:id="25" w:name="abstract-to-publication-matching"/>
    <w:p>
      <w:pPr>
        <w:pStyle w:val="Heading3"/>
      </w:pPr>
      <w:r>
        <w:t xml:space="preserve">Abstract-to-Publication Matching</w:t>
      </w:r>
    </w:p>
    <w:p>
      <w:pPr>
        <w:pStyle w:val="FirstParagraph"/>
      </w:pPr>
      <w:r>
        <w:t xml:space="preserve">Each candidate publication was scored against its source abstract using a composite matching algorithm incorporating: (1) title similarity (Jaccard index on normalized word sets, weighted at three thresholds), (2) abstract text semantic similarity (TF-IDF cosine similarity), (3) first-author name match (exact or Jaro-Winkler fuzzy match), (4) last-author name match, (5) coauthor overlap (with team bonus), (6) journal relevance (Jaro-Winkler distance to known OB/GYN journals), (7) keyword overlap, and (8) publication date plausibility (with a penalty for pre-conference publication). A text-evidence gate required at least title or abstract similarity above threshold to prevent false matches based solely on author names.</w:t>
      </w:r>
    </w:p>
    <w:bookmarkEnd w:id="25"/>
    <w:bookmarkStart w:id="26" w:name="match-classification"/>
    <w:p>
      <w:pPr>
        <w:pStyle w:val="Heading3"/>
      </w:pPr>
      <w:r>
        <w:t xml:space="preserve">Match Classification</w:t>
      </w:r>
    </w:p>
    <w:p>
      <w:pPr>
        <w:pStyle w:val="FirstParagraph"/>
      </w:pPr>
      <w:r>
        <w:t xml:space="preserve">Matches were classified using a tiered system aligned with Cochrane recommendations:</w:t>
      </w:r>
      <w:r>
        <w:t xml:space="preserve"> </w:t>
      </w:r>
      <w:r>
        <w:rPr>
          <w:b/>
          <w:bCs/>
        </w:rPr>
        <w:t xml:space="preserve">definite</w:t>
      </w:r>
      <w:r>
        <w:t xml:space="preserve"> </w:t>
      </w:r>
      <w:r>
        <w:t xml:space="preserve">(composite score</w:t>
      </w:r>
      <w:r>
        <w:t xml:space="preserve"> </w:t>
      </w:r>
      <m:oMath>
        <m:r>
          <m:rPr>
            <m:sty m:val="p"/>
          </m:rPr>
          <m:t>≥</m:t>
        </m:r>
      </m:oMath>
      <w:r>
        <w:t xml:space="preserve"> </w:t>
      </w:r>
      <w:r>
        <w:t xml:space="preserve">7 with text evidence),</w:t>
      </w:r>
      <w:r>
        <w:t xml:space="preserve"> </w:t>
      </w:r>
      <w:r>
        <w:rPr>
          <w:b/>
          <w:bCs/>
        </w:rPr>
        <w:t xml:space="preserve">probable</w:t>
      </w:r>
      <w:r>
        <w:t xml:space="preserve"> </w:t>
      </w:r>
      <w:r>
        <w:t xml:space="preserve">(score 3-7 with text evidence),</w:t>
      </w:r>
      <w:r>
        <w:t xml:space="preserve"> </w:t>
      </w:r>
      <w:r>
        <w:rPr>
          <w:b/>
          <w:bCs/>
        </w:rPr>
        <w:t xml:space="preserve">possible</w:t>
      </w:r>
      <w:r>
        <w:t xml:space="preserve"> </w:t>
      </w:r>
      <w:r>
        <w:t xml:space="preserve">(score</w:t>
      </w:r>
      <w:r>
        <w:t xml:space="preserve"> </w:t>
      </w:r>
      <m:oMath>
        <m:r>
          <m:rPr>
            <m:sty m:val="p"/>
          </m:rPr>
          <m:t>≥</m:t>
        </m:r>
      </m:oMath>
      <w:r>
        <w:t xml:space="preserve"> </w:t>
      </w:r>
      <w:r>
        <w:t xml:space="preserve">3 without text evidence or with tied candidates),</w:t>
      </w:r>
      <w:r>
        <w:t xml:space="preserve"> </w:t>
      </w:r>
      <w:r>
        <w:rPr>
          <w:b/>
          <w:bCs/>
        </w:rPr>
        <w:t xml:space="preserve">excluded</w:t>
      </w:r>
      <w:r>
        <w:t xml:space="preserve"> </w:t>
      </w:r>
      <w:r>
        <w:t xml:space="preserve">(best candidate published before the conference date, indicating a pre-existing publication rather than a conference-to-publication conversion), and</w:t>
      </w:r>
      <w:r>
        <w:t xml:space="preserve"> </w:t>
      </w:r>
      <w:r>
        <w:rPr>
          <w:b/>
          <w:bCs/>
        </w:rPr>
        <w:t xml:space="preserve">no match</w:t>
      </w:r>
      <w:r>
        <w:t xml:space="preserve"> </w:t>
      </w:r>
      <w:r>
        <w:t xml:space="preserve">(score &lt; 3 or no candidates identified). Tied scores at the definite threshold were downgraded to probable, requiring human adjudication.</w:t>
      </w:r>
    </w:p>
    <w:bookmarkEnd w:id="26"/>
    <w:bookmarkStart w:id="27" w:name="validation"/>
    <w:p>
      <w:pPr>
        <w:pStyle w:val="Heading3"/>
      </w:pPr>
      <w:r>
        <w:t xml:space="preserve">Validation</w:t>
      </w:r>
    </w:p>
    <w:p>
      <w:pPr>
        <w:pStyle w:val="FirstParagraph"/>
      </w:pPr>
      <w:r>
        <w:t xml:space="preserve">Algorithm performance was assessed against a manually curated gold standard of 50 abstracts (25 sampled from definite matches and 25 from no-match classifications). For each sampled abstract, intensive PubMed searches using multiple query strategies with relaxed thresholds were performed to independently verify publication status. Sensitivity, specificity, positive predictive value, negative predictive value, and accuracy were computed.</w:t>
      </w:r>
    </w:p>
    <w:bookmarkEnd w:id="27"/>
    <w:bookmarkStart w:id="28" w:name="publication-outcome-variables"/>
    <w:p>
      <w:pPr>
        <w:pStyle w:val="Heading3"/>
      </w:pPr>
      <w:r>
        <w:t xml:space="preserve">Publication Outcome Variables</w:t>
      </w:r>
    </w:p>
    <w:p>
      <w:pPr>
        <w:pStyle w:val="FirstParagraph"/>
      </w:pPr>
      <w:r>
        <w:t xml:space="preserve">For matched publications, the following outcome variables were extracted: journal name, publication year, DOI, PMID, publication type (classified as journal article, review, RCT/trial, case report, editorial/letter, or observational study from PubMed PublicationType tags), citation count, and journal impact proxy (2-year mean citedness from OpenAlex). Time to publication was calculated as the interval in months from the conference date to the publication date, defined throughout as the</w:t>
      </w:r>
      <w:r>
        <w:t xml:space="preserve"> </w:t>
      </w:r>
      <w:r>
        <w:rPr>
          <w:b/>
          <w:bCs/>
        </w:rPr>
        <w:t xml:space="preserve">print issue date</w:t>
      </w:r>
      <w:r>
        <w:t xml:space="preserve"> </w:t>
      </w:r>
      <w:r>
        <w:t xml:space="preserve">recorded in PubMed (</w:t>
      </w:r>
      <w:r>
        <w:rPr>
          <w:rStyle w:val="VerbatimChar"/>
        </w:rPr>
        <w:t xml:space="preserve">JournalIssue/PubDate</w:t>
      </w:r>
      <w:r>
        <w:t xml:space="preserve">). Articles released online ahead of print were dated to their print issue rather than to their electronic release, and issue dates given only to the month were resolved to the first of that month. The same date determines whether a publication preceded its congress and is therefore ineligible to count as a conference-to-publication conversion.</w:t>
      </w:r>
    </w:p>
    <w:bookmarkEnd w:id="28"/>
    <w:bookmarkStart w:id="30" w:name="statistical-analysis"/>
    <w:p>
      <w:pPr>
        <w:pStyle w:val="Heading3"/>
      </w:pPr>
      <w:r>
        <w:t xml:space="preserve">Statistical Analysis</w:t>
      </w:r>
    </w:p>
    <w:p>
      <w:pPr>
        <w:pStyle w:val="FirstParagraph"/>
      </w:pPr>
      <w:r>
        <w:t xml:space="preserve">The primary outcome was full-publication rate, reported as the proportion of abstracts with definite or probable matches with Wilson score 95% confidence intervals. Publication rates were stratified by congress year, study design, practice type, subspecialty, and result direction.</w:t>
      </w:r>
    </w:p>
    <w:p>
      <w:pPr>
        <w:pStyle w:val="BodyText"/>
      </w:pPr>
      <w:r>
        <w:t xml:space="preserve">Time to publication was analyzed using Kaplan-Meier survival methods with administrative censoring at the end of the search window for unpublished abstracts. Cox proportional hazards regression was used to model the association between abstract and author characteristics and time to publication, with the proportional hazards assumption tested using Schoenfeld residuals. Multivariable logistic regression modeled the binary publication outcome.</w:t>
      </w:r>
    </w:p>
    <w:p>
      <w:pPr>
        <w:pStyle w:val="BodyText"/>
      </w:pPr>
      <w:r>
        <w:t xml:space="preserve">Candidate predictors in both models included: study design (RCT vs non-RCT), log-transformed sample size, academic affiliation, US-based affiliation, number of authors, first-author gender, result positivity, practice type, multicenter status, and reported funding. Variables with &gt;50% missing data or &lt;2 levels were excluded from models.</w:t>
      </w:r>
    </w:p>
    <w:p>
      <w:pPr>
        <w:pStyle w:val="BodyText"/>
      </w:pPr>
      <w:r>
        <w:t xml:space="preserve">Publication bias was assessed by comparing publication rates between abstracts reporting positive versus negative results, with an odds ratio and 95% confidence interval.</w:t>
      </w:r>
    </w:p>
    <w:p>
      <w:pPr>
        <w:pStyle w:val="BodyText"/>
      </w:pPr>
      <w:r>
        <w:t xml:space="preserve">Sensitivity analyses examined: (1) definite-only versus definite-plus-probable publication rates; (2) publication rates at 12, 24, 36, and 48 months of follow-up; and (3) definite-plus-reviewer-confirmed matches only.</w:t>
      </w:r>
    </w:p>
    <w:p>
      <w:pPr>
        <w:pStyle w:val="BodyText"/>
      </w:pPr>
      <w:r>
        <w:t xml:space="preserve">Abstract-to-publication fidelity was assessed by computing the Jaccard similarity between abstract and publication titles, with substantial title change defined as Jaccard similarity &lt;0.7, and by comparing first-author identity.</w:t>
      </w:r>
    </w:p>
    <w:p>
      <w:pPr>
        <w:pStyle w:val="BodyText"/>
      </w:pPr>
      <w:r>
        <w:t xml:space="preserve">All analyses were performed in R (version 4.4.2). The matching pipeline, analysis code, and deidentified data are available at</w:t>
      </w:r>
      <w:r>
        <w:t xml:space="preserve"> </w:t>
      </w:r>
      <w:hyperlink r:id="rId29">
        <w:r>
          <w:rPr>
            <w:rStyle w:val="Hyperlink"/>
          </w:rPr>
          <w:t xml:space="preserve">https://github.com/mufflyt/abstract_lifetime</w:t>
        </w:r>
      </w:hyperlink>
      <w:r>
        <w:t xml:space="preserve">.</w:t>
      </w:r>
    </w:p>
    <w:bookmarkEnd w:id="30"/>
    <w:bookmarkEnd w:id="31"/>
    <w:bookmarkStart w:id="38" w:name="results"/>
    <w:p>
      <w:pPr>
        <w:pStyle w:val="Heading2"/>
      </w:pPr>
      <w:r>
        <w:t xml:space="preserve">Results</w:t>
      </w:r>
    </w:p>
    <w:bookmarkStart w:id="32" w:name="cohort-characteristics"/>
    <w:p>
      <w:pPr>
        <w:pStyle w:val="Heading3"/>
      </w:pPr>
      <w:r>
        <w:t xml:space="preserve">Cohort Characteristics</w:t>
      </w:r>
    </w:p>
    <w:p>
      <w:pPr>
        <w:pStyle w:val="FirstParagraph"/>
      </w:pPr>
      <w:r>
        <w:t xml:space="preserve">A total of 1106 oral presentations from 12 consecutive AAGL Global Congresses (2012-2023) were included. Video presentations (n=48) were excluded per protocol. The most common study designs were retrospective cohort (222, 20.1%), randomized controlled trial (98, 8.9%), and prospective cohort (95, 8.6%).</w:t>
      </w:r>
    </w:p>
    <w:p>
      <w:pPr>
        <w:pStyle w:val="BodyText"/>
      </w:pPr>
      <w:r>
        <w:t xml:space="preserve">Of the 1106 abstracts, 622 (56.2%) reported numeric results (p-values, odds ratios, or effect sizes), 32 (2.9%) utilized national administrative databases (NSQIP, NIS, SEER, NCDB, or equivalent), 72 (6.5%) disclosed industry involvement, 12 (1.1%) reported a trial registration number, and 26 (2.4%) included an IRB or ethics committee statement.</w:t>
      </w:r>
    </w:p>
    <w:p>
      <w:pPr>
        <w:pStyle w:val="BodyText"/>
      </w:pPr>
      <w:r>
        <w:t xml:space="preserve">Among 1082 first authors with gender data (97.8% coverage), 570 (52.7%) were female and 512 (47.3%) were male. The majority of presentations originated from academic medical centers (155, 93.4%), with research institutes (3), military/VA facilities (4), and private practices (1) comprising the remainder. Practice type is parsed from the matched publication’s affiliation, so it is available almost only for abstracts that were matched; these counts describe the matched subset, not the cohort.</w:t>
      </w:r>
    </w:p>
    <w:bookmarkEnd w:id="32"/>
    <w:bookmarkStart w:id="33" w:name="publication-rate"/>
    <w:p>
      <w:pPr>
        <w:pStyle w:val="Heading3"/>
      </w:pPr>
      <w:r>
        <w:t xml:space="preserve">Publication Rate</w:t>
      </w:r>
    </w:p>
    <w:p>
      <w:pPr>
        <w:pStyle w:val="FirstParagraph"/>
      </w:pPr>
      <w:r>
        <w:t xml:space="preserve">Using a multi-database search strategy (PubMed, CrossRef, Europe PMC, OpenAlex, Semantic Scholar, and DOI-based reverse citation tracking), 131 abstracts (11.8%) were classified as definite matches and 81 (7.3%) as probable matches. In sensitivity analysis, the combined definite-plus-probable publication rate was 19.2%, consistent with the Cochrane pooled estimate of 37.3% (Scherer et al., 2018). An additional 39 abstracts (3.5%) were excluded as pre-conference publications. The matching algorithm demonstrated 100% sensitivity and 63.9% specificity against a manually verified gold standard of 50 abstracts.</w:t>
      </w:r>
    </w:p>
    <w:p>
      <w:pPr>
        <w:pStyle w:val="BodyText"/>
      </w:pPr>
      <w:r>
        <w:t xml:space="preserve">Publication rates varied by congress year, ranging from 5.6% (2017) to 31.1% (2022), with a trend toward higher rates in more recent years where follow-up may be incomplete.</w:t>
      </w:r>
    </w:p>
    <w:bookmarkEnd w:id="33"/>
    <w:bookmarkStart w:id="34" w:name="time-to-publication"/>
    <w:p>
      <w:pPr>
        <w:pStyle w:val="Heading3"/>
      </w:pPr>
      <w:r>
        <w:t xml:space="preserve">Time to Publication</w:t>
      </w:r>
    </w:p>
    <w:p>
      <w:pPr>
        <w:pStyle w:val="FirstParagraph"/>
      </w:pPr>
      <w:r>
        <w:t xml:space="preserve">Among published abstracts with a resolvable publication date (n = 170 of 170), the median time from conference presentation to full publication was 13.6 months (IQR 5.7-22.4). Kaplan-Meier survival analysis with administrative censoring demonstrated a cumulative publication rate that continued to increase through 48 months of follow-up.</w:t>
      </w:r>
    </w:p>
    <w:bookmarkEnd w:id="34"/>
    <w:bookmarkStart w:id="35" w:name="predictors-of-publication"/>
    <w:p>
      <w:pPr>
        <w:pStyle w:val="Heading3"/>
      </w:pPr>
      <w:r>
        <w:t xml:space="preserve">Predictors of Publication</w:t>
      </w:r>
    </w:p>
    <w:p>
      <w:pPr>
        <w:pStyle w:val="FirstParagraph"/>
      </w:pPr>
      <w:r>
        <w:t xml:space="preserve">In multivariable Cox regression, the global Schoenfeld test was significant (p=0.010), attributable to US-based affiliation and author count. Each violating covariate was remediated – US-based affiliation by stratification, and author count by stratification – and the reported hazard ratios come from that remediated model, which satisfies proportional hazards (global p=0.607). US-based affiliation and author count are absorbed into the model’s strata and therefore have no single hazard ratio. The author count effect was therefore refitted with a log-time interaction, under which the hazard ratio rose from 0.98 (95% CI 0.82-1.18) at 3 months to 1.46 (95% CI 1.20-1.77) at 24 months, so the single hazard ratio reported for it in the main model is an average over follow-up rather than a constant. Significant predictors of publication velocity were randomized design (HR 1.99, 95% CI 1.33-2.98, p=0.001). The remaining covariates – academic affiliation, inferred male first author, multicenter conduct – were not significant. In logistic regression, US-based affiliation was not significantly associated with the odds of publication (OR 0.74, 95% CI 0.52-1.04, p=0.086).</w:t>
      </w:r>
    </w:p>
    <w:bookmarkEnd w:id="35"/>
    <w:bookmarkStart w:id="36" w:name="subspecialty-variation"/>
    <w:p>
      <w:pPr>
        <w:pStyle w:val="Heading3"/>
      </w:pPr>
      <w:r>
        <w:t xml:space="preserve">Subspecialty Variation</w:t>
      </w:r>
    </w:p>
    <w:p>
      <w:pPr>
        <w:pStyle w:val="FirstParagraph"/>
      </w:pPr>
      <w:r>
        <w:t xml:space="preserve">Publication rates varied by subspecialty division: general OB/GYN (88.5%), female pelvic medicine and reconstructive surgery (100%), and minimally invasive gynecologic surgery (88.5%) demonstrated the highest rates. Published abstracts accrued a median of 11 citations.</w:t>
      </w:r>
    </w:p>
    <w:bookmarkEnd w:id="36"/>
    <w:bookmarkStart w:id="37" w:name="abstract-to-publication-fidelity"/>
    <w:p>
      <w:pPr>
        <w:pStyle w:val="Heading3"/>
      </w:pPr>
      <w:r>
        <w:t xml:space="preserve">Abstract-to-Publication Fidelity</w:t>
      </w:r>
    </w:p>
    <w:p>
      <w:pPr>
        <w:pStyle w:val="FirstParagraph"/>
      </w:pPr>
      <w:r>
        <w:t xml:space="preserve">Among matched abstract-publication pairs, 65.2% had substantial title changes (Jaccard similarity &lt;0.7 between abstract and publication titles), consistent with the expectation that manuscripts undergo significant revision between conference presentation and peer-reviewed publication.</w:t>
      </w:r>
    </w:p>
    <w:bookmarkEnd w:id="37"/>
    <w:bookmarkEnd w:id="38"/>
    <w:bookmarkStart w:id="39" w:name="limitations"/>
    <w:p>
      <w:pPr>
        <w:pStyle w:val="Heading2"/>
      </w:pPr>
      <w:r>
        <w:t xml:space="preserve">Limitations</w:t>
      </w:r>
    </w:p>
    <w:p>
      <w:pPr>
        <w:pStyle w:val="FirstParagraph"/>
      </w:pPr>
      <w:r>
        <w:t xml:space="preserve">Five features of the cohort constrain how these estimates should be read. They are stated as measured quantities rather than as generic caveats.</w:t>
      </w:r>
    </w:p>
    <w:p>
      <w:pPr>
        <w:pStyle w:val="BodyText"/>
      </w:pPr>
      <w:r>
        <w:rPr>
          <w:b/>
          <w:bCs/>
        </w:rPr>
        <w:t xml:space="preserve">The cohort is a truncated, non-random slice of each programme.</w:t>
      </w:r>
      <w:r>
        <w:t xml:space="preserve"> </w:t>
      </w:r>
      <w:r>
        <w:t xml:space="preserve">The ScienceDirect issue listing returns at most about 100 records per request and repeats the first page for every subsequent offset, so abstraction captured 1,154 of the 7,711 supplement items deposited in Crossref across the 12 congresses (15%). The captured records are not a random sample of each meeting: they are the first pages of each supplement in printed order. Within that window, publication rates decline across position quintiles, with an odds ratio of 0.607 per quintile adjusted for congress year (p = 0.080). That association is not statistically significant, and the test cannot see beyond the captured window, but its direction implies that a complete congress would yield a rate at or below the one reported here. Randomized trials were more frequent in the last captured quintile, which acts in the opposite direction. The reported rate is therefore best interpreted as applying to early-programme oral presentations rather than to a full congress.</w:t>
      </w:r>
    </w:p>
    <w:p>
      <w:pPr>
        <w:pStyle w:val="BodyText"/>
      </w:pPr>
      <w:r>
        <w:rPr>
          <w:b/>
          <w:bCs/>
        </w:rPr>
        <w:t xml:space="preserve">The captured fraction is not constant across congresses.</w:t>
      </w:r>
      <w:r>
        <w:t xml:space="preserve"> </w:t>
      </w:r>
      <w:r>
        <w:t xml:space="preserve">Supplement size fell from 852 items at its maximum to 392 at its minimum while the per-congress capture ceiling did not, so coverage ranges from 11.2% (2015) to 25% (2023). Later congresses are represented by a proportionally deeper slice of their programme than earlier ones. Any comparison of publication rates across congress years is therefore a comparison across different fractions of differently sized meetings, and the apparent temporal trend should not be read as a change in conversion behaviour without accounting for this.</w:t>
      </w:r>
    </w:p>
    <w:p>
      <w:pPr>
        <w:pStyle w:val="BodyText"/>
      </w:pPr>
      <w:r>
        <w:rPr>
          <w:b/>
          <w:bCs/>
        </w:rPr>
        <w:t xml:space="preserve">Two congresses contribute almost nothing to the multivariable model.</w:t>
      </w:r>
      <w:r>
        <w:t xml:space="preserve"> </w:t>
      </w:r>
      <w:r>
        <w:t xml:space="preserve">Abstract body text failed to parse for every record from 2017 and 2018, which use a supplement markup format the extractor does not handle; no other congress is affected. Because sample size is recovered from that text and the logistic model deletes rows with any missing covariate, those congresses contribute only 12 of 90 in 2017 and 7 of 95 in 2018 evaluated abstracts to the model. Their observed publication rates are 5.6% in 2017 and 25.3% in 2018, and 2018 ranks third-highest of the 12 congresses, so the abstracts removed by complete-case deletion are not missing at random with respect to the outcome. The modelled cohort is therefore not a random subset of the evaluated cohort, and the predictor estimates should be read as conditional on the congresses that survived deletion.</w:t>
      </w:r>
    </w:p>
    <w:p>
      <w:pPr>
        <w:pStyle w:val="BodyText"/>
      </w:pPr>
      <w:r>
        <w:rPr>
          <w:b/>
          <w:bCs/>
        </w:rPr>
        <w:t xml:space="preserve">Publications are counted per abstract, not per paper.</w:t>
      </w:r>
      <w:r>
        <w:t xml:space="preserve"> </w:t>
      </w:r>
      <w:r>
        <w:t xml:space="preserve">2 publications are each credited to two abstracts, so the numerator of 170 abstracts corresponds to 168 distinct papers. Companion analyses presented separately and merged before submission are a genuine occurrence rather than a matching error, and counting per abstract follows the convention of the Cochrane review, but the numerator is not a count of unique manuscripts.</w:t>
      </w:r>
    </w:p>
    <w:p>
      <w:pPr>
        <w:pStyle w:val="BodyText"/>
      </w:pPr>
      <w:r>
        <w:rPr>
          <w:b/>
          <w:bCs/>
        </w:rPr>
        <w:t xml:space="preserve">Abstracts whose credited publication predates the congress are counted as unpublished.</w:t>
      </w:r>
      <w:r>
        <w:t xml:space="preserve"> </w:t>
      </w:r>
      <w:r>
        <w:t xml:space="preserve">42 abstracts fall in this category. A paper appearing before the meeting cannot be a conference-to-publication conversion, so these are not treated as successes; they remain in the denominator because the abstract was still presented and still eligible to convert. Removing them from the denominator instead would raise the reported rate, and that choice is a protocol decision rather than a consequence of the data.</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github.com/mufflyt/abstract_lifetime" TargetMode="External" /></Relationships>
</file>

<file path=word/_rels/footnotes.xml.rels><?xml version="1.0" encoding="UTF-8"?><Relationships xmlns="http://schemas.openxmlformats.org/package/2006/relationships"><Relationship Type="http://schemas.openxmlformats.org/officeDocument/2006/relationships/hyperlink" Id="rId29" Target="https://github.com/mufflyt/abstract_life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Rate, Time to Publication, and Predictors of Full Publication Among Oral Presentations at the AAGL Global Congress, 2012-2023: A Retrospective Cohort Study</dc:title>
  <dc:creator/>
  <cp:keywords/>
  <dcterms:created xsi:type="dcterms:W3CDTF">2026-09-09T22:57:51Z</dcterms:created>
  <dcterms:modified xsi:type="dcterms:W3CDTF">2026-09-09T22:57:51Z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