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Appendix: Abstract-to-Publication Matching Pipeline</w:t>
      </w:r>
    </w:p>
    <w:p>
      <w:pPr>
        <w:pStyle w:val="Subtitle"/>
      </w:pPr>
      <w:r>
        <w:t xml:space="preserve">Supplement to: Publication Rate of Oral Presentations at the AAGL Global Congress, 2012-2023</w:t>
      </w:r>
    </w:p>
    <w:p>
      <w:pPr>
        <w:pStyle w:val="Author"/>
      </w:pPr>
      <w:r>
        <w:t xml:space="preserve">Tyler Muffly, MD</w:t>
      </w:r>
    </w:p>
    <w:p>
      <w:pPr>
        <w:pStyle w:val="Date"/>
      </w:pPr>
      <w:r>
        <w:t xml:space="preserve">September 09, 2026</w:t>
      </w:r>
    </w:p>
    <w:bookmarkStart w:id="20" w:name="Xd974e705cbddffade6dfc3a1a175f1e16bb976a"/>
    <w:p>
      <w:pPr>
        <w:pStyle w:val="Heading2"/>
      </w:pPr>
      <w:r>
        <w:t xml:space="preserve">A0. Relationship to the</w:t>
      </w:r>
      <w:r>
        <w:t xml:space="preserve"> </w:t>
      </w:r>
      <w:r>
        <w:rPr>
          <w:rStyle w:val="VerbatimChar"/>
        </w:rPr>
        <w:t xml:space="preserve">docs/</w:t>
      </w:r>
      <w:r>
        <w:t xml:space="preserve"> </w:t>
      </w:r>
      <w:r>
        <w:t xml:space="preserve">reference set</w:t>
      </w:r>
    </w:p>
    <w:p>
      <w:pPr>
        <w:pStyle w:val="FirstParagraph"/>
      </w:pPr>
      <w:r>
        <w:t xml:space="preserve">This appendix is a</w:t>
      </w:r>
      <w:r>
        <w:t xml:space="preserve"> </w:t>
      </w:r>
      <w:r>
        <w:rPr>
          <w:b/>
          <w:bCs/>
        </w:rPr>
        <w:t xml:space="preserve">narrative supplement</w:t>
      </w:r>
      <w:r>
        <w:t xml:space="preserve">, not the primary reference. Since</w:t>
      </w:r>
      <w:r>
        <w:t xml:space="preserve"> </w:t>
      </w:r>
      <w:r>
        <w:t xml:space="preserve">2026-09-03 the authoritative, continuously verified description of the pipeline</w:t>
      </w:r>
      <w:r>
        <w:t xml:space="preserve"> </w:t>
      </w:r>
      <w:r>
        <w:t xml:space="preserve">lives in</w:t>
      </w:r>
      <w:r>
        <w:t xml:space="preserve"> </w:t>
      </w:r>
      <w:r>
        <w:rPr>
          <w:rStyle w:val="VerbatimChar"/>
        </w:rPr>
        <w:t xml:space="preserve">docs/</w:t>
      </w:r>
      <w:r>
        <w:t xml:space="preserve">, and a lightweight test</w:t>
      </w:r>
      <w:r>
        <w:t xml:space="preserve"> </w:t>
      </w:r>
      <w:r>
        <w:t xml:space="preserve">(</w:t>
      </w:r>
      <w:r>
        <w:rPr>
          <w:rStyle w:val="VerbatimChar"/>
        </w:rPr>
        <w:t xml:space="preserve">tests/testthat/test-docs_drift.R</w:t>
      </w:r>
      <w:r>
        <w:t xml:space="preserve">) fails when those documents disagree with</w:t>
      </w:r>
      <w:r>
        <w:t xml:space="preserve"> </w:t>
      </w:r>
      <w:r>
        <w:t xml:space="preserve">the data. Where this appendix and a</w:t>
      </w:r>
      <w:r>
        <w:t xml:space="preserve"> </w:t>
      </w:r>
      <w:r>
        <w:rPr>
          <w:rStyle w:val="VerbatimChar"/>
        </w:rPr>
        <w:t xml:space="preserve">docs/</w:t>
      </w:r>
      <w:r>
        <w:t xml:space="preserve"> </w:t>
      </w:r>
      <w:r>
        <w:t xml:space="preserve">file differ,</w:t>
      </w:r>
      <w:r>
        <w:t xml:space="preserve"> </w:t>
      </w:r>
      <w:r>
        <w:rPr>
          <w:b/>
          <w:bCs/>
        </w:rPr>
        <w:t xml:space="preserve">the</w:t>
      </w:r>
      <w:r>
        <w:rPr>
          <w:b/>
          <w:bCs/>
        </w:rPr>
        <w:t xml:space="preserve"> </w:t>
      </w:r>
      <w:r>
        <w:rPr>
          <w:rStyle w:val="VerbatimChar"/>
          <w:b/>
          <w:bCs/>
        </w:rPr>
        <w:t xml:space="preserve">docs/</w:t>
      </w:r>
      <w:r>
        <w:rPr>
          <w:b/>
          <w:bCs/>
        </w:rPr>
        <w:t xml:space="preserve"> </w:t>
      </w:r>
      <w:r>
        <w:rPr>
          <w:b/>
          <w:bCs/>
        </w:rPr>
        <w:t xml:space="preserve">file is</w:t>
      </w:r>
      <w:r>
        <w:rPr>
          <w:b/>
          <w:bCs/>
        </w:rPr>
        <w:t xml:space="preserve"> </w:t>
      </w:r>
      <w:r>
        <w:rPr>
          <w:b/>
          <w:bCs/>
        </w:rPr>
        <w:t xml:space="preserve">current.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Topic</w:t>
            </w:r>
          </w:p>
        </w:tc>
        <w:tc>
          <w:tcPr/>
          <w:p>
            <w:pPr>
              <w:pStyle w:val="Compact"/>
            </w:pPr>
            <w:r>
              <w:t xml:space="preserve">Authoritative document</w:t>
            </w:r>
          </w:p>
        </w:tc>
      </w:tr>
      <w:tr>
        <w:tc>
          <w:tcPr/>
          <w:p>
            <w:pPr>
              <w:pStyle w:val="Compact"/>
            </w:pPr>
            <w:r>
              <w:t xml:space="preserve">Cohort assembly, the denominator, per-congress reconciliation</w:t>
            </w:r>
          </w:p>
        </w:tc>
        <w:tc>
          <w:tcPr/>
          <w:p>
            <w:pPr>
              <w:pStyle w:val="Compact"/>
            </w:pPr>
            <w:r>
              <w:rPr>
                <w:rStyle w:val="VerbatimChar"/>
              </w:rPr>
              <w:t xml:space="preserve">docs/COHORT_ASSEMBLY.md</w:t>
            </w:r>
          </w:p>
        </w:tc>
      </w:tr>
      <w:tr>
        <w:tc>
          <w:tcPr/>
          <w:p>
            <w:pPr>
              <w:pStyle w:val="Compact"/>
            </w:pPr>
            <w:r>
              <w:t xml:space="preserve">Stage-by-stage pipeline, DAG, machine-readable manifest</w:t>
            </w:r>
          </w:p>
        </w:tc>
        <w:tc>
          <w:tcPr/>
          <w:p>
            <w:pPr>
              <w:pStyle w:val="Compact"/>
            </w:pPr>
            <w:r>
              <w:rPr>
                <w:rStyle w:val="VerbatimChar"/>
              </w:rPr>
              <w:t xml:space="preserve">docs/PIPELINE.md</w:t>
            </w:r>
            <w:r>
              <w:t xml:space="preserve">,</w:t>
            </w:r>
            <w:r>
              <w:t xml:space="preserve"> </w:t>
            </w:r>
            <w:r>
              <w:rPr>
                <w:rStyle w:val="VerbatimChar"/>
              </w:rPr>
              <w:t xml:space="preserve">docs/pipeline_manifest.yml</w:t>
            </w:r>
          </w:p>
        </w:tc>
      </w:tr>
      <w:tr>
        <w:tc>
          <w:tcPr/>
          <w:p>
            <w:pPr>
              <w:pStyle w:val="Compact"/>
            </w:pPr>
            <w:r>
              <w:t xml:space="preserve">Every search query, per source</w:t>
            </w:r>
          </w:p>
        </w:tc>
        <w:tc>
          <w:tcPr/>
          <w:p>
            <w:pPr>
              <w:pStyle w:val="Compact"/>
            </w:pPr>
            <w:r>
              <w:rPr>
                <w:rStyle w:val="VerbatimChar"/>
              </w:rPr>
              <w:t xml:space="preserve">docs/PUBLICATION_SEARCH.md</w:t>
            </w:r>
          </w:p>
        </w:tc>
      </w:tr>
      <w:tr>
        <w:tc>
          <w:tcPr/>
          <w:p>
            <w:pPr>
              <w:pStyle w:val="Compact"/>
            </w:pPr>
            <w:r>
              <w:t xml:space="preserve">Score components, thresholds, tie-breaking, publication dating</w:t>
            </w:r>
          </w:p>
        </w:tc>
        <w:tc>
          <w:tcPr/>
          <w:p>
            <w:pPr>
              <w:pStyle w:val="Compact"/>
            </w:pPr>
            <w:r>
              <w:rPr>
                <w:rStyle w:val="VerbatimChar"/>
              </w:rPr>
              <w:t xml:space="preserve">docs/MATCHING_ALGORITHM.md</w:t>
            </w:r>
          </w:p>
        </w:tc>
      </w:tr>
      <w:tr>
        <w:tc>
          <w:tcPr/>
          <w:p>
            <w:pPr>
              <w:pStyle w:val="Compact"/>
            </w:pPr>
            <w:r>
              <w:t xml:space="preserve">Operational definition of the outcome</w:t>
            </w:r>
          </w:p>
        </w:tc>
        <w:tc>
          <w:tcPr/>
          <w:p>
            <w:pPr>
              <w:pStyle w:val="Compact"/>
            </w:pPr>
            <w:r>
              <w:rPr>
                <w:rStyle w:val="VerbatimChar"/>
              </w:rPr>
              <w:t xml:space="preserve">docs/OUTCOME_DEFINITION.md</w:t>
            </w:r>
          </w:p>
        </w:tc>
      </w:tr>
      <w:tr>
        <w:tc>
          <w:tcPr/>
          <w:p>
            <w:pPr>
              <w:pStyle w:val="Compact"/>
            </w:pPr>
            <w:r>
              <w:t xml:space="preserve">Adjudication schema, precedence, decision accounting</w:t>
            </w:r>
          </w:p>
        </w:tc>
        <w:tc>
          <w:tcPr/>
          <w:p>
            <w:pPr>
              <w:pStyle w:val="Compact"/>
            </w:pPr>
            <w:r>
              <w:rPr>
                <w:rStyle w:val="VerbatimChar"/>
              </w:rPr>
              <w:t xml:space="preserve">docs/ADJUDICATION.md</w:t>
            </w:r>
          </w:p>
        </w:tc>
      </w:tr>
      <w:tr>
        <w:tc>
          <w:tcPr/>
          <w:p>
            <w:pPr>
              <w:pStyle w:val="Compact"/>
            </w:pPr>
            <w:r>
              <w:t xml:space="preserve">All 90 analytical variables</w:t>
            </w:r>
          </w:p>
        </w:tc>
        <w:tc>
          <w:tcPr/>
          <w:p>
            <w:pPr>
              <w:pStyle w:val="Compact"/>
            </w:pPr>
            <w:r>
              <w:rPr>
                <w:rStyle w:val="VerbatimChar"/>
              </w:rPr>
              <w:t xml:space="preserve">docs/DATA_DICTIONARY.md</w:t>
            </w:r>
          </w:p>
        </w:tc>
      </w:tr>
      <w:tr>
        <w:tc>
          <w:tcPr/>
          <w:p>
            <w:pPr>
              <w:pStyle w:val="Compact"/>
            </w:pPr>
            <w:r>
              <w:t xml:space="preserve">Identity resolution and the gender waterfall</w:t>
            </w:r>
          </w:p>
        </w:tc>
        <w:tc>
          <w:tcPr/>
          <w:p>
            <w:pPr>
              <w:pStyle w:val="Compact"/>
            </w:pPr>
            <w:r>
              <w:rPr>
                <w:rStyle w:val="VerbatimChar"/>
              </w:rPr>
              <w:t xml:space="preserve">docs/AUTHOR_ENRICHMENT.md</w:t>
            </w:r>
          </w:p>
        </w:tc>
      </w:tr>
      <w:tr>
        <w:tc>
          <w:tcPr/>
          <w:p>
            <w:pPr>
              <w:pStyle w:val="Compact"/>
            </w:pPr>
            <w:r>
              <w:t xml:space="preserve">Models as fitted, with diagnostics</w:t>
            </w:r>
          </w:p>
        </w:tc>
        <w:tc>
          <w:tcPr/>
          <w:p>
            <w:pPr>
              <w:pStyle w:val="Compact"/>
            </w:pPr>
            <w:r>
              <w:rPr>
                <w:rStyle w:val="VerbatimChar"/>
              </w:rPr>
              <w:t xml:space="preserve">docs/STATISTICAL_ANALYSIS.md</w:t>
            </w:r>
          </w:p>
        </w:tc>
      </w:tr>
      <w:tr>
        <w:tc>
          <w:tcPr/>
          <w:p>
            <w:pPr>
              <w:pStyle w:val="Compact"/>
            </w:pPr>
            <w:r>
              <w:t xml:space="preserve">Every reported number and its provenance</w:t>
            </w:r>
          </w:p>
        </w:tc>
        <w:tc>
          <w:tcPr/>
          <w:p>
            <w:pPr>
              <w:pStyle w:val="Compact"/>
            </w:pPr>
            <w:r>
              <w:rPr>
                <w:rStyle w:val="VerbatimChar"/>
              </w:rPr>
              <w:t xml:space="preserve">docs/RESULTS_PROVENANCE.md</w:t>
            </w:r>
          </w:p>
        </w:tc>
      </w:tr>
      <w:tr>
        <w:tc>
          <w:tcPr/>
          <w:p>
            <w:pPr>
              <w:pStyle w:val="Compact"/>
            </w:pPr>
            <w:r>
              <w:t xml:space="preserve">Reproduction requirements and blockers</w:t>
            </w:r>
          </w:p>
        </w:tc>
        <w:tc>
          <w:tcPr/>
          <w:p>
            <w:pPr>
              <w:pStyle w:val="Compact"/>
            </w:pPr>
            <w:r>
              <w:rPr>
                <w:rStyle w:val="VerbatimChar"/>
              </w:rPr>
              <w:t xml:space="preserve">docs/REPRODUCIBILITY.md</w:t>
            </w:r>
          </w:p>
        </w:tc>
      </w:tr>
      <w:tr>
        <w:tc>
          <w:tcPr/>
          <w:p>
            <w:pPr>
              <w:pStyle w:val="Compact"/>
            </w:pPr>
            <w:r>
              <w:t xml:space="preserve">Known ways the pipeline can be plausibly wrong</w:t>
            </w:r>
          </w:p>
        </w:tc>
        <w:tc>
          <w:tcPr/>
          <w:p>
            <w:pPr>
              <w:pStyle w:val="Compact"/>
            </w:pPr>
            <w:r>
              <w:rPr>
                <w:rStyle w:val="VerbatimChar"/>
              </w:rPr>
              <w:t xml:space="preserve">docs/FAILURE_MODES.md</w:t>
            </w:r>
          </w:p>
        </w:tc>
      </w:tr>
      <w:tr>
        <w:tc>
          <w:tcPr/>
          <w:p>
            <w:pPr>
              <w:pStyle w:val="Compact"/>
            </w:pPr>
            <w:r>
              <w:t xml:space="preserve">Test inventory and untested invariants</w:t>
            </w:r>
          </w:p>
        </w:tc>
        <w:tc>
          <w:tcPr/>
          <w:p>
            <w:pPr>
              <w:pStyle w:val="Compact"/>
            </w:pPr>
            <w:r>
              <w:rPr>
                <w:rStyle w:val="VerbatimChar"/>
              </w:rPr>
              <w:t xml:space="preserve">docs/VALIDATION.md</w:t>
            </w:r>
          </w:p>
        </w:tc>
      </w:tr>
      <w:tr>
        <w:tc>
          <w:tcPr/>
          <w:p>
            <w:pPr>
              <w:pStyle w:val="Compact"/>
            </w:pPr>
            <w:r>
              <w:t xml:space="preserve">Corrections and their quantified effects</w:t>
            </w:r>
          </w:p>
        </w:tc>
        <w:tc>
          <w:tcPr/>
          <w:p>
            <w:pPr>
              <w:pStyle w:val="Compact"/>
            </w:pPr>
            <w:r>
              <w:rPr>
                <w:rStyle w:val="VerbatimChar"/>
              </w:rPr>
              <w:t xml:space="preserve">docs/METHODOLOGICAL_HISTORY.md</w:t>
            </w:r>
          </w:p>
        </w:tc>
      </w:tr>
    </w:tbl>
    <w:p>
      <w:pPr>
        <w:pStyle w:val="BodyText"/>
      </w:pPr>
      <w:r>
        <w:t xml:space="preserve">Sections A8 (abstract-text recovery for 2012-2018), A10 (NPI identity</w:t>
      </w:r>
      <w:r>
        <w:t xml:space="preserve"> </w:t>
      </w:r>
      <w:r>
        <w:t xml:space="preserve">resolution), A11 (extending the pipeline to other societies) and A13 (the</w:t>
      </w:r>
      <w:r>
        <w:t xml:space="preserve"> </w:t>
      </w:r>
      <w:r>
        <w:t xml:space="preserve">denominator chain) carry material that is not duplicated in</w:t>
      </w:r>
      <w:r>
        <w:t xml:space="preserve"> </w:t>
      </w:r>
      <w:r>
        <w:rPr>
          <w:rStyle w:val="VerbatimChar"/>
        </w:rPr>
        <w:t xml:space="preserve">docs/</w:t>
      </w:r>
      <w:r>
        <w:t xml:space="preserve"> </w:t>
      </w:r>
      <w:r>
        <w:t xml:space="preserve">and remain</w:t>
      </w:r>
      <w:r>
        <w:t xml:space="preserve"> </w:t>
      </w:r>
      <w:r>
        <w:t xml:space="preserve">the primary record for those topics.</w:t>
      </w:r>
    </w:p>
    <w:p>
      <w:r>
        <w:pict>
          <v:rect style="width:0;height:1.5pt" o:hralign="center" o:hrstd="t" o:hr="t"/>
        </w:pict>
      </w:r>
    </w:p>
    <w:bookmarkEnd w:id="20"/>
    <w:bookmarkStart w:id="24" w:name="a1.-pipeline-architecture"/>
    <w:p>
      <w:pPr>
        <w:pStyle w:val="Heading2"/>
      </w:pPr>
      <w:r>
        <w:t xml:space="preserve">A1. Pipeline Architecture</w:t>
      </w:r>
    </w:p>
    <w:p>
      <w:pPr>
        <w:pStyle w:val="FirstParagraph"/>
      </w:pPr>
      <w:r>
        <w:t xml:space="preserve">The abstract-to-publication matching pipeline is implemented as a modular, fully reproducible R codebase comprising 20 R scripts, 65 test files (see</w:t>
      </w:r>
      <w:r>
        <w:t xml:space="preserve"> </w:t>
      </w:r>
      <w:r>
        <w:rPr>
          <w:rStyle w:val="VerbatimChar"/>
        </w:rPr>
        <w:t xml:space="preserve">docs/VALIDATION.md</w:t>
      </w:r>
      <w:r>
        <w:t xml:space="preserve"> </w:t>
      </w:r>
      <w:r>
        <w:t xml:space="preserve">for the current pass/fail status), and a Shiny web application for human adjudication. The pipeline executes in 10 sequential steps, with checkpoint-based resume support for API-dependent stages. All source code and deidentified output data are available at</w:t>
      </w:r>
      <w:r>
        <w:t xml:space="preserve"> </w:t>
      </w:r>
      <w:hyperlink r:id="rId21">
        <w:r>
          <w:rPr>
            <w:rStyle w:val="Hyperlink"/>
          </w:rPr>
          <w:t xml:space="preserve">https://github.com/mufflyt/abstract_lifetime</w:t>
        </w:r>
      </w:hyperlink>
      <w:r>
        <w:t xml:space="preserve">.</w:t>
      </w:r>
    </w:p>
    <w:bookmarkStart w:id="22" w:name="a1.1-system-requirements"/>
    <w:p>
      <w:pPr>
        <w:pStyle w:val="Heading3"/>
      </w:pPr>
      <w:r>
        <w:t xml:space="preserve">A1.1 System Requirements</w:t>
      </w:r>
    </w:p>
    <w:p>
      <w:pPr>
        <w:pStyle w:val="Compact"/>
        <w:numPr>
          <w:ilvl w:val="0"/>
          <w:numId w:val="1001"/>
        </w:numPr>
      </w:pPr>
      <w:r>
        <w:t xml:space="preserve">R version 4.4.2</w:t>
      </w:r>
    </w:p>
    <w:p>
      <w:pPr>
        <w:pStyle w:val="Compact"/>
        <w:numPr>
          <w:ilvl w:val="0"/>
          <w:numId w:val="1001"/>
        </w:numPr>
      </w:pPr>
      <w:r>
        <w:t xml:space="preserve">22 R packages (tidyverse core, rentrez, xml2, httr, jsonlite, survival, gender, shiny, bslib, googlesheets4)</w:t>
      </w:r>
    </w:p>
    <w:p>
      <w:pPr>
        <w:pStyle w:val="Compact"/>
        <w:numPr>
          <w:ilvl w:val="0"/>
          <w:numId w:val="1001"/>
        </w:numPr>
      </w:pPr>
      <w:r>
        <w:t xml:space="preserve">Disk cache: no PubMed XML cache in this checkout (gitignored); no ScienceDirect HTML cache in this checkout (gitignored)</w:t>
      </w:r>
    </w:p>
    <w:p>
      <w:pPr>
        <w:pStyle w:val="Compact"/>
        <w:numPr>
          <w:ilvl w:val="0"/>
          <w:numId w:val="1001"/>
        </w:numPr>
      </w:pPr>
      <w:r>
        <w:t xml:space="preserve">External APIs: NCBI E-Utilities (PubMed), CrossRef, Europe PMC, OpenAlex, Semantic Scholar, genderize.io</w:t>
      </w:r>
    </w:p>
    <w:p>
      <w:pPr>
        <w:pStyle w:val="Compact"/>
        <w:numPr>
          <w:ilvl w:val="0"/>
          <w:numId w:val="1001"/>
        </w:numPr>
      </w:pPr>
      <w:r>
        <w:t xml:space="preserve">Runtime: approximately 3-4 hours for a full pipeline execution on 1106 abstracts</w:t>
      </w:r>
    </w:p>
    <w:bookmarkEnd w:id="22"/>
    <w:bookmarkStart w:id="23" w:name="a1.2-pipeline-steps"/>
    <w:p>
      <w:pPr>
        <w:pStyle w:val="Heading3"/>
      </w:pPr>
      <w:r>
        <w:t xml:space="preserve">A1.2 Pipeline Steps</w:t>
      </w:r>
    </w:p>
    <w:tbl>
      <w:tblPr>
        <w:tblStyle w:val="Table"/>
        <w:tblW w:type="pct" w:w="5000"/>
        <w:tblLayout w:type="fixed"/>
        <w:tblLook w:firstRow="1" w:lastRow="0" w:firstColumn="0" w:lastColumn="0" w:noHBand="0" w:noVBand="0" w:val="0020"/>
      </w:tblPr>
      <w:tblGrid>
        <w:gridCol w:w="1218"/>
        <w:gridCol w:w="1624"/>
        <w:gridCol w:w="2640"/>
        <w:gridCol w:w="2436"/>
      </w:tblGrid>
      <w:tr>
        <w:trPr>
          <w:tblHeader w:val="on"/>
        </w:trPr>
        <w:tc>
          <w:tcPr/>
          <w:p>
            <w:pPr>
              <w:pStyle w:val="Compact"/>
            </w:pPr>
            <w:r>
              <w:t xml:space="preserve">Step</w:t>
            </w:r>
          </w:p>
        </w:tc>
        <w:tc>
          <w:tcPr/>
          <w:p>
            <w:pPr>
              <w:pStyle w:val="Compact"/>
            </w:pPr>
            <w:r>
              <w:t xml:space="preserve">Script</w:t>
            </w:r>
          </w:p>
        </w:tc>
        <w:tc>
          <w:tcPr/>
          <w:p>
            <w:pPr>
              <w:pStyle w:val="Compact"/>
            </w:pPr>
            <w:r>
              <w:t xml:space="preserve">Description</w:t>
            </w:r>
          </w:p>
        </w:tc>
        <w:tc>
          <w:tcPr/>
          <w:p>
            <w:pPr>
              <w:pStyle w:val="Compact"/>
            </w:pPr>
            <w:r>
              <w:t xml:space="preserve">Checkpoint</w:t>
            </w:r>
          </w:p>
        </w:tc>
      </w:tr>
      <w:tr>
        <w:tc>
          <w:tcPr/>
          <w:p>
            <w:pPr>
              <w:pStyle w:val="Compact"/>
            </w:pPr>
            <w:r>
              <w:t xml:space="preserve">1</w:t>
            </w:r>
          </w:p>
        </w:tc>
        <w:tc>
          <w:tcPr/>
          <w:p>
            <w:pPr>
              <w:pStyle w:val="Compact"/>
            </w:pPr>
            <w:r>
              <w:rPr>
                <w:rStyle w:val="VerbatimChar"/>
              </w:rPr>
              <w:t xml:space="preserve">01b_parse_web.R</w:t>
            </w:r>
          </w:p>
        </w:tc>
        <w:tc>
          <w:tcPr/>
          <w:p>
            <w:pPr>
              <w:pStyle w:val="Compact"/>
            </w:pPr>
            <w:r>
              <w:t xml:space="preserve">Scrape JMIG supplement TOC + individual article pages from ScienceDirect</w:t>
            </w:r>
          </w:p>
        </w:tc>
        <w:tc>
          <w:tcPr/>
          <w:p>
            <w:pPr>
              <w:pStyle w:val="Compact"/>
            </w:pPr>
            <w:r>
              <w:t xml:space="preserve">HTML cache</w:t>
            </w:r>
          </w:p>
        </w:tc>
      </w:tr>
      <w:tr>
        <w:tc>
          <w:tcPr/>
          <w:p>
            <w:pPr>
              <w:pStyle w:val="Compact"/>
            </w:pPr>
            <w:r>
              <w:t xml:space="preserve">1d</w:t>
            </w:r>
          </w:p>
        </w:tc>
        <w:tc>
          <w:tcPr/>
          <w:p>
            <w:pPr>
              <w:pStyle w:val="Compact"/>
            </w:pPr>
            <w:r>
              <w:rPr>
                <w:rStyle w:val="VerbatimChar"/>
              </w:rPr>
              <w:t xml:space="preserve">01d_tag_session_type.R</w:t>
            </w:r>
          </w:p>
        </w:tc>
        <w:tc>
          <w:tcPr/>
          <w:p>
            <w:pPr>
              <w:pStyle w:val="Compact"/>
            </w:pPr>
            <w:r>
              <w:t xml:space="preserve">Walk TOC DOM to assign Oral/Video labels per abstract</w:t>
            </w:r>
          </w:p>
        </w:tc>
        <w:tc>
          <w:tcPr/>
          <w:p>
            <w:pPr>
              <w:pStyle w:val="Compact"/>
            </w:pPr>
            <w:r>
              <w:t xml:space="preserve">-</w:t>
            </w:r>
          </w:p>
        </w:tc>
      </w:tr>
      <w:tr>
        <w:tc>
          <w:tcPr/>
          <w:p>
            <w:pPr>
              <w:pStyle w:val="Compact"/>
            </w:pPr>
            <w:r>
              <w:t xml:space="preserve">2</w:t>
            </w:r>
          </w:p>
        </w:tc>
        <w:tc>
          <w:tcPr/>
          <w:p>
            <w:pPr>
              <w:pStyle w:val="Compact"/>
            </w:pPr>
            <w:r>
              <w:rPr>
                <w:rStyle w:val="VerbatimChar"/>
              </w:rPr>
              <w:t xml:space="preserve">02_clean_abstracts.R</w:t>
            </w:r>
          </w:p>
        </w:tc>
        <w:tc>
          <w:tcPr/>
          <w:p>
            <w:pPr>
              <w:pStyle w:val="Compact"/>
            </w:pPr>
            <w:r>
              <w:t xml:space="preserve">Normalize titles/authors, extract 20+ predictor variables via NLP</w:t>
            </w:r>
          </w:p>
        </w:tc>
        <w:tc>
          <w:tcPr/>
          <w:p>
            <w:pPr>
              <w:pStyle w:val="Compact"/>
            </w:pPr>
            <w:r>
              <w:t xml:space="preserve">-</w:t>
            </w:r>
          </w:p>
        </w:tc>
      </w:tr>
      <w:tr>
        <w:tc>
          <w:tcPr/>
          <w:p>
            <w:pPr>
              <w:pStyle w:val="Compact"/>
            </w:pPr>
            <w:r>
              <w:t xml:space="preserve">3</w:t>
            </w:r>
          </w:p>
        </w:tc>
        <w:tc>
          <w:tcPr/>
          <w:p>
            <w:pPr>
              <w:pStyle w:val="Compact"/>
            </w:pPr>
            <w:r>
              <w:rPr>
                <w:rStyle w:val="VerbatimChar"/>
              </w:rPr>
              <w:t xml:space="preserve">03_search_pubmed.R</w:t>
            </w:r>
          </w:p>
        </w:tc>
        <w:tc>
          <w:tcPr/>
          <w:p>
            <w:pPr>
              <w:pStyle w:val="Compact"/>
            </w:pPr>
            <w:r>
              <w:t xml:space="preserve">6-strategy PubMed search per abstract via NCBI E-Utilities</w:t>
            </w:r>
          </w:p>
        </w:tc>
        <w:tc>
          <w:tcPr/>
          <w:p>
            <w:pPr>
              <w:pStyle w:val="Compact"/>
            </w:pPr>
            <w:r>
              <w:t xml:space="preserve">RDS</w:t>
            </w:r>
          </w:p>
        </w:tc>
      </w:tr>
      <w:tr>
        <w:tc>
          <w:tcPr/>
          <w:p>
            <w:pPr>
              <w:pStyle w:val="Compact"/>
            </w:pPr>
            <w:r>
              <w:t xml:space="preserve">3b</w:t>
            </w:r>
          </w:p>
        </w:tc>
        <w:tc>
          <w:tcPr/>
          <w:p>
            <w:pPr>
              <w:pStyle w:val="Compact"/>
            </w:pPr>
            <w:r>
              <w:rPr>
                <w:rStyle w:val="VerbatimChar"/>
              </w:rPr>
              <w:t xml:space="preserve">03b_search_crossref.R</w:t>
            </w:r>
          </w:p>
        </w:tc>
        <w:tc>
          <w:tcPr/>
          <w:p>
            <w:pPr>
              <w:pStyle w:val="Compact"/>
            </w:pPr>
            <w:r>
              <w:t xml:space="preserve">Supplementary search: CrossRef + Europe PMC + OpenAlex + Semantic Scholar</w:t>
            </w:r>
          </w:p>
        </w:tc>
        <w:tc>
          <w:tcPr/>
          <w:p>
            <w:pPr>
              <w:pStyle w:val="Compact"/>
            </w:pPr>
            <w:r>
              <w:t xml:space="preserve">RDS per source</w:t>
            </w:r>
          </w:p>
        </w:tc>
      </w:tr>
      <w:tr>
        <w:tc>
          <w:tcPr/>
          <w:p>
            <w:pPr>
              <w:pStyle w:val="Compact"/>
            </w:pPr>
            <w:r>
              <w:t xml:space="preserve">3c</w:t>
            </w:r>
          </w:p>
        </w:tc>
        <w:tc>
          <w:tcPr/>
          <w:p>
            <w:pPr>
              <w:pStyle w:val="Compact"/>
            </w:pPr>
            <w:r>
              <w:rPr>
                <w:rStyle w:val="VerbatimChar"/>
              </w:rPr>
              <w:t xml:space="preserve">03c_doi_chain_search.R</w:t>
            </w:r>
          </w:p>
        </w:tc>
        <w:tc>
          <w:tcPr/>
          <w:p>
            <w:pPr>
              <w:pStyle w:val="Compact"/>
            </w:pPr>
            <w:r>
              <w:t xml:space="preserve">Reverse citation search via OpenAlex (DOI-based)</w:t>
            </w:r>
          </w:p>
        </w:tc>
        <w:tc>
          <w:tcPr/>
          <w:p>
            <w:pPr>
              <w:pStyle w:val="Compact"/>
            </w:pPr>
            <w:r>
              <w:t xml:space="preserve">RDS</w:t>
            </w:r>
          </w:p>
        </w:tc>
      </w:tr>
      <w:tr>
        <w:tc>
          <w:tcPr/>
          <w:p>
            <w:pPr>
              <w:pStyle w:val="Compact"/>
            </w:pPr>
            <w:r>
              <w:t xml:space="preserve">4</w:t>
            </w:r>
          </w:p>
        </w:tc>
        <w:tc>
          <w:tcPr/>
          <w:p>
            <w:pPr>
              <w:pStyle w:val="Compact"/>
            </w:pPr>
            <w:r>
              <w:rPr>
                <w:rStyle w:val="VerbatimChar"/>
              </w:rPr>
              <w:t xml:space="preserve">04_score_matches.R</w:t>
            </w:r>
          </w:p>
        </w:tc>
        <w:tc>
          <w:tcPr/>
          <w:p>
            <w:pPr>
              <w:pStyle w:val="Compact"/>
            </w:pPr>
            <w:r>
              <w:t xml:space="preserve">Composite scoring of all candidate publications</w:t>
            </w:r>
          </w:p>
        </w:tc>
        <w:tc>
          <w:tcPr/>
          <w:p>
            <w:pPr>
              <w:pStyle w:val="Compact"/>
            </w:pPr>
            <w:r>
              <w:t xml:space="preserve">-</w:t>
            </w:r>
          </w:p>
        </w:tc>
      </w:tr>
      <w:tr>
        <w:tc>
          <w:tcPr/>
          <w:p>
            <w:pPr>
              <w:pStyle w:val="Compact"/>
            </w:pPr>
            <w:r>
              <w:t xml:space="preserve">5</w:t>
            </w:r>
          </w:p>
        </w:tc>
        <w:tc>
          <w:tcPr/>
          <w:p>
            <w:pPr>
              <w:pStyle w:val="Compact"/>
            </w:pPr>
            <w:r>
              <w:rPr>
                <w:rStyle w:val="VerbatimChar"/>
              </w:rPr>
              <w:t xml:space="preserve">05_adjudicate.R</w:t>
            </w:r>
          </w:p>
        </w:tc>
        <w:tc>
          <w:tcPr/>
          <w:p>
            <w:pPr>
              <w:pStyle w:val="Compact"/>
            </w:pPr>
            <w:r>
              <w:t xml:space="preserve">Apply Cochrane-aligned classification thresholds</w:t>
            </w:r>
          </w:p>
        </w:tc>
        <w:tc>
          <w:tcPr/>
          <w:p>
            <w:pPr>
              <w:pStyle w:val="Compact"/>
            </w:pPr>
            <w:r>
              <w:t xml:space="preserve">-</w:t>
            </w:r>
          </w:p>
        </w:tc>
      </w:tr>
      <w:tr>
        <w:tc>
          <w:tcPr/>
          <w:p>
            <w:pPr>
              <w:pStyle w:val="Compact"/>
            </w:pPr>
            <w:r>
              <w:t xml:space="preserve">5b-e</w:t>
            </w:r>
          </w:p>
        </w:tc>
        <w:tc>
          <w:tcPr/>
          <w:p>
            <w:pPr>
              <w:pStyle w:val="Compact"/>
            </w:pPr>
            <w:r>
              <w:rPr>
                <w:rStyle w:val="VerbatimChar"/>
              </w:rPr>
              <w:t xml:space="preserve">09b-d_enrich_*.R</w:t>
            </w:r>
          </w:p>
        </w:tc>
        <w:tc>
          <w:tcPr/>
          <w:p>
            <w:pPr>
              <w:pStyle w:val="Compact"/>
            </w:pPr>
            <w:r>
              <w:t xml:space="preserve">Publication type, author demographics, citation metrics</w:t>
            </w:r>
          </w:p>
        </w:tc>
        <w:tc>
          <w:tcPr/>
          <w:p>
            <w:pPr>
              <w:pStyle w:val="Compact"/>
            </w:pPr>
            <w:r>
              <w:t xml:space="preserve">XML cache</w:t>
            </w:r>
          </w:p>
        </w:tc>
      </w:tr>
      <w:tr>
        <w:tc>
          <w:tcPr/>
          <w:p>
            <w:pPr>
              <w:pStyle w:val="Compact"/>
            </w:pPr>
            <w:r>
              <w:t xml:space="preserve">6</w:t>
            </w:r>
          </w:p>
        </w:tc>
        <w:tc>
          <w:tcPr/>
          <w:p>
            <w:pPr>
              <w:pStyle w:val="Compact"/>
            </w:pPr>
            <w:r>
              <w:rPr>
                <w:rStyle w:val="VerbatimChar"/>
              </w:rPr>
              <w:t xml:space="preserve">06_analyze_results.R</w:t>
            </w:r>
          </w:p>
        </w:tc>
        <w:tc>
          <w:tcPr/>
          <w:p>
            <w:pPr>
              <w:pStyle w:val="Compact"/>
            </w:pPr>
            <w:r>
              <w:t xml:space="preserve">KM, Cox PH, logistic regression, publication bias, sensitivity</w:t>
            </w:r>
          </w:p>
        </w:tc>
        <w:tc>
          <w:tcPr/>
          <w:p>
            <w:pPr>
              <w:pStyle w:val="Compact"/>
            </w:pPr>
            <w:r>
              <w:t xml:space="preserve">-</w:t>
            </w:r>
          </w:p>
        </w:tc>
      </w:tr>
      <w:tr>
        <w:tc>
          <w:tcPr/>
          <w:p>
            <w:pPr>
              <w:pStyle w:val="Compact"/>
            </w:pPr>
            <w:r>
              <w:t xml:space="preserve">7-8</w:t>
            </w:r>
          </w:p>
        </w:tc>
        <w:tc>
          <w:tcPr/>
          <w:p>
            <w:pPr>
              <w:pStyle w:val="Compact"/>
            </w:pPr>
            <w:r>
              <w:rPr>
                <w:rStyle w:val="VerbatimChar"/>
              </w:rPr>
              <w:t xml:space="preserve">07/08_make_*.R</w:t>
            </w:r>
          </w:p>
        </w:tc>
        <w:tc>
          <w:tcPr/>
          <w:p>
            <w:pPr>
              <w:pStyle w:val="Compact"/>
            </w:pPr>
            <w:r>
              <w:t xml:space="preserve">Generate 4 tables + 9 figures</w:t>
            </w:r>
          </w:p>
        </w:tc>
        <w:tc>
          <w:tcPr/>
          <w:p>
            <w:pPr>
              <w:pStyle w:val="Compact"/>
            </w:pPr>
            <w:r>
              <w:t xml:space="preserve">-</w:t>
            </w:r>
          </w:p>
        </w:tc>
      </w:tr>
    </w:tbl>
    <w:bookmarkEnd w:id="23"/>
    <w:bookmarkEnd w:id="24"/>
    <w:bookmarkStart w:id="28" w:name="a2.-data-sources-and-api-usage"/>
    <w:p>
      <w:pPr>
        <w:pStyle w:val="Heading2"/>
      </w:pPr>
      <w:r>
        <w:t xml:space="preserve">A2. Data Sources and API Usage</w:t>
      </w:r>
    </w:p>
    <w:bookmarkStart w:id="25" w:name="a2.1-abstract-ingestion"/>
    <w:p>
      <w:pPr>
        <w:pStyle w:val="Heading3"/>
      </w:pPr>
      <w:r>
        <w:t xml:space="preserve">A2.1 Abstract Ingestion</w:t>
      </w:r>
    </w:p>
    <w:p>
      <w:pPr>
        <w:pStyle w:val="FirstParagraph"/>
      </w:pPr>
      <w:r>
        <w:t xml:space="preserve">Conference abstracts were identified from 12 annual JMIG supplement issues (Volume 19 Issue 6 through Volume 30 Issue 11, Supplement S). The ScienceDirect supplement listing page was scraped programmatically with polite delays (2-3 seconds between requests) and user-agent rotation. Per-article HTML was cached to disk to avoid redundant fetches on re-runs. Article pages cached: no ScienceDirect HTML cache in this checkout (gitignored).</w:t>
      </w:r>
    </w:p>
    <w:p>
      <w:pPr>
        <w:pStyle w:val="BodyText"/>
      </w:pPr>
      <w:r>
        <w:t xml:space="preserve">Abstract text was available for congresses 2019-2023 only. Congresses 2012-2018 used an older ScienceDirect page format that did not expose structured abstract sections (Objective, Design, Setting, Patients, Intervention, Measurements, Conclusion) in the HTML. For these years, the matching algorithm relied on title and author matching without abstract-text semantic similarity.</w:t>
      </w:r>
    </w:p>
    <w:bookmarkEnd w:id="25"/>
    <w:bookmarkStart w:id="26" w:name="a2.2-publication-search"/>
    <w:p>
      <w:pPr>
        <w:pStyle w:val="Heading3"/>
      </w:pPr>
      <w:r>
        <w:t xml:space="preserve">A2.2 Publication Search</w:t>
      </w:r>
    </w:p>
    <w:p>
      <w:pPr>
        <w:pStyle w:val="FirstParagraph"/>
      </w:pPr>
      <w:r>
        <w:t xml:space="preserve">Six complementary PubMed search strategies were applied to each abstract:</w:t>
      </w:r>
    </w:p>
    <w:p>
      <w:pPr>
        <w:pStyle w:val="Compact"/>
        <w:numPr>
          <w:ilvl w:val="0"/>
          <w:numId w:val="1002"/>
        </w:numPr>
      </w:pPr>
      <w:r>
        <w:rPr>
          <w:b/>
          <w:bCs/>
        </w:rPr>
        <w:t xml:space="preserve">Title phrase search</w:t>
      </w:r>
      <w:r>
        <w:t xml:space="preserve">: first 8 significant words of the normalized title, quoted phrase in [TI] field</w:t>
      </w:r>
    </w:p>
    <w:p>
      <w:pPr>
        <w:pStyle w:val="Compact"/>
        <w:numPr>
          <w:ilvl w:val="0"/>
          <w:numId w:val="1002"/>
        </w:numPr>
      </w:pPr>
      <w:r>
        <w:rPr>
          <w:b/>
          <w:bCs/>
        </w:rPr>
        <w:t xml:space="preserve">First author search</w:t>
      </w:r>
      <w:r>
        <w:t xml:space="preserve">: normalized first-author surname + initial in [1AU] field</w:t>
      </w:r>
    </w:p>
    <w:p>
      <w:pPr>
        <w:pStyle w:val="Compact"/>
        <w:numPr>
          <w:ilvl w:val="0"/>
          <w:numId w:val="1002"/>
        </w:numPr>
      </w:pPr>
      <w:r>
        <w:rPr>
          <w:b/>
          <w:bCs/>
        </w:rPr>
        <w:t xml:space="preserve">Last author search</w:t>
      </w:r>
      <w:r>
        <w:t xml:space="preserve">: normalized last-author surname + initial in [LASTAU] field</w:t>
      </w:r>
    </w:p>
    <w:p>
      <w:pPr>
        <w:pStyle w:val="Compact"/>
        <w:numPr>
          <w:ilvl w:val="0"/>
          <w:numId w:val="1002"/>
        </w:numPr>
      </w:pPr>
      <w:r>
        <w:rPr>
          <w:b/>
          <w:bCs/>
        </w:rPr>
        <w:t xml:space="preserve">Author + keywords</w:t>
      </w:r>
      <w:r>
        <w:t xml:space="preserve">: first author in [AU] combined with top 4 extracted keywords in [TIAB]</w:t>
      </w:r>
    </w:p>
    <w:p>
      <w:pPr>
        <w:pStyle w:val="Compact"/>
        <w:numPr>
          <w:ilvl w:val="0"/>
          <w:numId w:val="1002"/>
        </w:numPr>
      </w:pPr>
      <w:r>
        <w:rPr>
          <w:b/>
          <w:bCs/>
        </w:rPr>
        <w:t xml:space="preserve">Distinctive phrase</w:t>
      </w:r>
      <w:r>
        <w:t xml:space="preserve">: 4-word distinctive phrase from the title in [TIAB]</w:t>
      </w:r>
    </w:p>
    <w:p>
      <w:pPr>
        <w:pStyle w:val="Compact"/>
        <w:numPr>
          <w:ilvl w:val="0"/>
          <w:numId w:val="1002"/>
        </w:numPr>
      </w:pPr>
      <w:r>
        <w:rPr>
          <w:b/>
          <w:bCs/>
        </w:rPr>
        <w:t xml:space="preserve">Author broad</w:t>
      </w:r>
      <w:r>
        <w:t xml:space="preserve">: first author in [AU] (catch-all)</w:t>
      </w:r>
    </w:p>
    <w:p>
      <w:pPr>
        <w:pStyle w:val="FirstParagraph"/>
      </w:pPr>
      <w:r>
        <w:t xml:space="preserve">All strategies were filtered by publication date (2012/11/01 to 2026/04/01) and results from the JMIG supplement issues themselves were excluded to prevent self-matching (volumes 19, 20, 21, 22, 23, 24, 25, 26, 27, 28, 29, 30).</w:t>
      </w:r>
    </w:p>
    <w:p>
      <w:pPr>
        <w:pStyle w:val="BodyText"/>
      </w:pPr>
      <w:r>
        <w:t xml:space="preserve">Four supplementary databases were queried for each abstract: CrossRef (title-based, targeted to abstracts with few PubMed hits), Europe PMC (multi-strategy title + author), OpenAlex (keyword search with PMID resolution), and Semantic Scholar (title-based). Candidate PMIDs from supplementary sources were resolved via Europe PMC DOI-to-PMID lookup and merged into the primary candidate pool.</w:t>
      </w:r>
    </w:p>
    <w:p>
      <w:pPr>
        <w:pStyle w:val="BodyText"/>
      </w:pPr>
      <w:r>
        <w:t xml:space="preserve">A novel DOI-based reverse citation strategy queried OpenAlex for papers that cited each conference abstract’s ScienceDirect DOI. This captured publications that explicitly referenced the conference abstract in their bibliography, providing a high-confidence signal that is robust to title changes between presentation and publication.</w:t>
      </w:r>
    </w:p>
    <w:bookmarkEnd w:id="26"/>
    <w:bookmarkStart w:id="27" w:name="a2.3-rate-limiting-and-caching"/>
    <w:p>
      <w:pPr>
        <w:pStyle w:val="Heading3"/>
      </w:pPr>
      <w:r>
        <w:t xml:space="preserve">A2.3 Rate Limiting and Caching</w:t>
      </w:r>
    </w:p>
    <w:p>
      <w:pPr>
        <w:pStyle w:val="FirstParagraph"/>
      </w:pPr>
      <w:r>
        <w:t xml:space="preserve">NCBI E-Utilities requests were rate-limited to 3 requests/second (without API key) or 10 requests/second (with ENTREZ_KEY). PubMed XML responses were cached to disk (no PubMed XML cache in this checkout (gitignored)). All search stages used RDS-based checkpoints enabling resume after interruption.</w:t>
      </w:r>
    </w:p>
    <w:bookmarkEnd w:id="27"/>
    <w:bookmarkEnd w:id="28"/>
    <w:bookmarkStart w:id="33" w:name="a3.-matching-algorithm"/>
    <w:p>
      <w:pPr>
        <w:pStyle w:val="Heading2"/>
      </w:pPr>
      <w:r>
        <w:t xml:space="preserve">A3. Matching Algorithm</w:t>
      </w:r>
    </w:p>
    <w:bookmarkStart w:id="29" w:name="a3.1-composite-scoring"/>
    <w:p>
      <w:pPr>
        <w:pStyle w:val="Heading3"/>
      </w:pPr>
      <w:r>
        <w:t xml:space="preserve">A3.1 Composite Scoring</w:t>
      </w:r>
    </w:p>
    <w:p>
      <w:pPr>
        <w:pStyle w:val="FirstParagraph"/>
      </w:pPr>
      <w:r>
        <w:t xml:space="preserve">Each candidate publication was scored against its source abstract using a 10-component composite score:</w:t>
      </w:r>
    </w:p>
    <w:tbl>
      <w:tblPr>
        <w:tblStyle w:val="Table"/>
        <w:tblW w:type="pct" w:w="5000"/>
        <w:tblLayout w:type="fixed"/>
        <w:tblLook w:firstRow="1" w:lastRow="0" w:firstColumn="0" w:lastColumn="0" w:noHBand="0" w:noVBand="0" w:val="0020"/>
      </w:tblPr>
      <w:tblGrid>
        <w:gridCol w:w="2904"/>
        <w:gridCol w:w="2904"/>
        <w:gridCol w:w="2112"/>
      </w:tblGrid>
      <w:tr>
        <w:trPr>
          <w:tblHeader w:val="on"/>
        </w:trPr>
        <w:tc>
          <w:tcPr/>
          <w:p>
            <w:pPr>
              <w:pStyle w:val="Compact"/>
            </w:pPr>
            <w:r>
              <w:t xml:space="preserve">Component</w:t>
            </w:r>
          </w:p>
        </w:tc>
        <w:tc>
          <w:tcPr/>
          <w:p>
            <w:pPr>
              <w:pStyle w:val="Compact"/>
            </w:pPr>
            <w:r>
              <w:t xml:space="preserve">Max Points</w:t>
            </w:r>
          </w:p>
        </w:tc>
        <w:tc>
          <w:tcPr/>
          <w:p>
            <w:pPr>
              <w:pStyle w:val="Compact"/>
            </w:pPr>
            <w:r>
              <w:t xml:space="preserve">Method</w:t>
            </w:r>
          </w:p>
        </w:tc>
      </w:tr>
      <w:tr>
        <w:tc>
          <w:tcPr/>
          <w:p>
            <w:pPr>
              <w:pStyle w:val="Compact"/>
            </w:pPr>
            <w:r>
              <w:t xml:space="preserve">Title similarity</w:t>
            </w:r>
          </w:p>
        </w:tc>
        <w:tc>
          <w:tcPr/>
          <w:p>
            <w:pPr>
              <w:pStyle w:val="Compact"/>
            </w:pPr>
            <w:r>
              <w:t xml:space="preserve">3</w:t>
            </w:r>
          </w:p>
        </w:tc>
        <w:tc>
          <w:tcPr/>
          <w:p>
            <w:pPr>
              <w:pStyle w:val="Compact"/>
            </w:pPr>
            <w:r>
              <w:t xml:space="preserve">Jaccard index on normalized word sets (thresholds: &gt;=0.75 = 3, &gt;=0.55 = 2, &gt;=0.35 = 1)</w:t>
            </w:r>
          </w:p>
        </w:tc>
      </w:tr>
      <w:tr>
        <w:tc>
          <w:tcPr/>
          <w:p>
            <w:pPr>
              <w:pStyle w:val="Compact"/>
            </w:pPr>
            <w:r>
              <w:t xml:space="preserve">Abstract semantic</w:t>
            </w:r>
          </w:p>
        </w:tc>
        <w:tc>
          <w:tcPr/>
          <w:p>
            <w:pPr>
              <w:pStyle w:val="Compact"/>
            </w:pPr>
            <w:r>
              <w:t xml:space="preserve">2</w:t>
            </w:r>
          </w:p>
        </w:tc>
        <w:tc>
          <w:tcPr/>
          <w:p>
            <w:pPr>
              <w:pStyle w:val="Compact"/>
            </w:pPr>
            <w:r>
              <w:t xml:space="preserve">TF-cosine similarity on word-frequency vectors (thresholds: &gt;=0.70 = 2, &gt;=0.50 = 1)</w:t>
            </w:r>
          </w:p>
        </w:tc>
      </w:tr>
      <w:tr>
        <w:tc>
          <w:tcPr/>
          <w:p>
            <w:pPr>
              <w:pStyle w:val="Compact"/>
            </w:pPr>
            <w:r>
              <w:t xml:space="preserve">First author</w:t>
            </w:r>
          </w:p>
        </w:tc>
        <w:tc>
          <w:tcPr/>
          <w:p>
            <w:pPr>
              <w:pStyle w:val="Compact"/>
            </w:pPr>
            <w:r>
              <w:t xml:space="preserve">2</w:t>
            </w:r>
          </w:p>
        </w:tc>
        <w:tc>
          <w:tcPr/>
          <w:p>
            <w:pPr>
              <w:pStyle w:val="Compact"/>
            </w:pPr>
            <w:r>
              <w:t xml:space="preserve">Exact or Jaro-Winkler fuzzy match (&gt;=0.95 = 1, exact = 2)</w:t>
            </w:r>
          </w:p>
        </w:tc>
      </w:tr>
      <w:tr>
        <w:tc>
          <w:tcPr/>
          <w:p>
            <w:pPr>
              <w:pStyle w:val="Compact"/>
            </w:pPr>
            <w:r>
              <w:t xml:space="preserve">Last author</w:t>
            </w:r>
          </w:p>
        </w:tc>
        <w:tc>
          <w:tcPr/>
          <w:p>
            <w:pPr>
              <w:pStyle w:val="Compact"/>
            </w:pPr>
            <w:r>
              <w:t xml:space="preserve">2</w:t>
            </w:r>
          </w:p>
        </w:tc>
        <w:tc>
          <w:tcPr/>
          <w:p>
            <w:pPr>
              <w:pStyle w:val="Compact"/>
            </w:pPr>
            <w:r>
              <w:t xml:space="preserve">Same as first author</w:t>
            </w:r>
          </w:p>
        </w:tc>
      </w:tr>
      <w:tr>
        <w:tc>
          <w:tcPr/>
          <w:p>
            <w:pPr>
              <w:pStyle w:val="Compact"/>
            </w:pPr>
            <w:r>
              <w:t xml:space="preserve">Coauthor overlap</w:t>
            </w:r>
          </w:p>
        </w:tc>
        <w:tc>
          <w:tcPr/>
          <w:p>
            <w:pPr>
              <w:pStyle w:val="Compact"/>
            </w:pPr>
            <w:r>
              <w:t xml:space="preserve">1</w:t>
            </w:r>
          </w:p>
        </w:tc>
        <w:tc>
          <w:tcPr/>
          <w:p>
            <w:pPr>
              <w:pStyle w:val="Compact"/>
            </w:pPr>
            <w:r>
              <w:t xml:space="preserve">&gt;=2 shared normalized author names</w:t>
            </w:r>
          </w:p>
        </w:tc>
      </w:tr>
      <w:tr>
        <w:tc>
          <w:tcPr/>
          <w:p>
            <w:pPr>
              <w:pStyle w:val="Compact"/>
            </w:pPr>
            <w:r>
              <w:t xml:space="preserve">Team bonus</w:t>
            </w:r>
          </w:p>
        </w:tc>
        <w:tc>
          <w:tcPr/>
          <w:p>
            <w:pPr>
              <w:pStyle w:val="Compact"/>
            </w:pPr>
            <w:r>
              <w:t xml:space="preserve">1</w:t>
            </w:r>
          </w:p>
        </w:tc>
        <w:tc>
          <w:tcPr/>
          <w:p>
            <w:pPr>
              <w:pStyle w:val="Compact"/>
            </w:pPr>
            <w:r>
              <w:t xml:space="preserve">First-author match + coauthor overlap</w:t>
            </w:r>
          </w:p>
        </w:tc>
      </w:tr>
      <w:tr>
        <w:tc>
          <w:tcPr/>
          <w:p>
            <w:pPr>
              <w:pStyle w:val="Compact"/>
            </w:pPr>
            <w:r>
              <w:t xml:space="preserve">Journal relevance</w:t>
            </w:r>
          </w:p>
        </w:tc>
        <w:tc>
          <w:tcPr/>
          <w:p>
            <w:pPr>
              <w:pStyle w:val="Compact"/>
            </w:pPr>
            <w:r>
              <w:t xml:space="preserve">0-1</w:t>
            </w:r>
          </w:p>
        </w:tc>
        <w:tc>
          <w:tcPr/>
          <w:p>
            <w:pPr>
              <w:pStyle w:val="Compact"/>
            </w:pPr>
            <w:r>
              <w:t xml:space="preserve">Jaro-Winkler distance to 12 known OB/GYN journals</w:t>
            </w:r>
          </w:p>
        </w:tc>
      </w:tr>
      <w:tr>
        <w:tc>
          <w:tcPr/>
          <w:p>
            <w:pPr>
              <w:pStyle w:val="Compact"/>
            </w:pPr>
            <w:r>
              <w:t xml:space="preserve">Keyword overlap</w:t>
            </w:r>
          </w:p>
        </w:tc>
        <w:tc>
          <w:tcPr/>
          <w:p>
            <w:pPr>
              <w:pStyle w:val="Compact"/>
            </w:pPr>
            <w:r>
              <w:t xml:space="preserve">1</w:t>
            </w:r>
          </w:p>
        </w:tc>
        <w:tc>
          <w:tcPr/>
          <w:p>
            <w:pPr>
              <w:pStyle w:val="Compact"/>
            </w:pPr>
            <w:r>
              <w:t xml:space="preserve">&gt;=3 shared keywords</w:t>
            </w:r>
          </w:p>
        </w:tc>
      </w:tr>
      <w:tr>
        <w:tc>
          <w:tcPr/>
          <w:p>
            <w:pPr>
              <w:pStyle w:val="Compact"/>
            </w:pPr>
            <w:r>
              <w:t xml:space="preserve">Publication date</w:t>
            </w:r>
          </w:p>
        </w:tc>
        <w:tc>
          <w:tcPr/>
          <w:p>
            <w:pPr>
              <w:pStyle w:val="Compact"/>
            </w:pPr>
            <w:r>
              <w:t xml:space="preserve">1</w:t>
            </w:r>
          </w:p>
        </w:tc>
        <w:tc>
          <w:tcPr/>
          <w:p>
            <w:pPr>
              <w:pStyle w:val="Compact"/>
            </w:pPr>
            <w:r>
              <w:t xml:space="preserve">0-18 months post-conference = 1, 18-30 months = 0.5</w:t>
            </w:r>
          </w:p>
        </w:tc>
      </w:tr>
      <w:tr>
        <w:tc>
          <w:tcPr/>
          <w:p>
            <w:pPr>
              <w:pStyle w:val="Compact"/>
            </w:pPr>
            <w:r>
              <w:t xml:space="preserve">No-text penalty</w:t>
            </w:r>
          </w:p>
        </w:tc>
        <w:tc>
          <w:tcPr/>
          <w:p>
            <w:pPr>
              <w:pStyle w:val="Compact"/>
            </w:pPr>
            <w:r>
              <w:t xml:space="preserve">-2</w:t>
            </w:r>
          </w:p>
        </w:tc>
        <w:tc>
          <w:tcPr/>
          <w:p>
            <w:pPr>
              <w:pStyle w:val="Compact"/>
            </w:pPr>
            <w:r>
              <w:t xml:space="preserve">Applied when neither title nor abstract similarity exceeds threshold</w:t>
            </w:r>
          </w:p>
        </w:tc>
      </w:tr>
      <w:tr>
        <w:tc>
          <w:tcPr/>
          <w:p>
            <w:pPr>
              <w:pStyle w:val="Compact"/>
            </w:pPr>
            <w:r>
              <w:t xml:space="preserve">Pre-conference</w:t>
            </w:r>
          </w:p>
        </w:tc>
        <w:tc>
          <w:tcPr/>
          <w:p>
            <w:pPr>
              <w:pStyle w:val="Compact"/>
            </w:pPr>
            <w:r>
              <w:t xml:space="preserve">-3</w:t>
            </w:r>
          </w:p>
        </w:tc>
        <w:tc>
          <w:tcPr/>
          <w:p>
            <w:pPr>
              <w:pStyle w:val="Compact"/>
            </w:pPr>
            <w:r>
              <w:t xml:space="preserve">Publication date before the conference</w:t>
            </w:r>
          </w:p>
        </w:tc>
      </w:tr>
    </w:tbl>
    <w:bookmarkEnd w:id="29"/>
    <w:bookmarkStart w:id="30" w:name="a3.2-classification-thresholds"/>
    <w:p>
      <w:pPr>
        <w:pStyle w:val="Heading3"/>
      </w:pPr>
      <w:r>
        <w:t xml:space="preserve">A3.2 Classification Thresholds</w:t>
      </w:r>
    </w:p>
    <w:p>
      <w:pPr>
        <w:pStyle w:val="FirstParagraph"/>
      </w:pPr>
      <w:r>
        <w:t xml:space="preserve">Matches were classified using a tiered system aligned with Cochrane systematic review methodology:</w:t>
      </w:r>
    </w:p>
    <w:tbl>
      <w:tblPr>
        <w:tblStyle w:val="Table"/>
        <w:tblW w:type="pct" w:w="5000"/>
        <w:tblLayout w:type="fixed"/>
        <w:tblLook w:firstRow="1" w:lastRow="0" w:firstColumn="0" w:lastColumn="0" w:noHBand="0" w:noVBand="0" w:val="0020"/>
      </w:tblPr>
      <w:tblGrid>
        <w:gridCol w:w="2897"/>
        <w:gridCol w:w="1931"/>
        <w:gridCol w:w="3090"/>
      </w:tblGrid>
      <w:tr>
        <w:trPr>
          <w:tblHeader w:val="on"/>
        </w:trPr>
        <w:tc>
          <w:tcPr/>
          <w:p>
            <w:pPr>
              <w:pStyle w:val="Compact"/>
            </w:pPr>
            <w:r>
              <w:t xml:space="preserve">Classification</w:t>
            </w:r>
          </w:p>
        </w:tc>
        <w:tc>
          <w:tcPr/>
          <w:p>
            <w:pPr>
              <w:pStyle w:val="Compact"/>
            </w:pPr>
            <w:r>
              <w:t xml:space="preserve">Criteria</w:t>
            </w:r>
          </w:p>
        </w:tc>
        <w:tc>
          <w:tcPr/>
          <w:p>
            <w:pPr>
              <w:pStyle w:val="Compact"/>
            </w:pPr>
            <w:r>
              <w:t xml:space="preserve">Interpretation</w:t>
            </w:r>
          </w:p>
        </w:tc>
      </w:tr>
      <w:tr>
        <w:tc>
          <w:tcPr/>
          <w:p>
            <w:pPr>
              <w:pStyle w:val="Compact"/>
            </w:pPr>
            <w:r>
              <w:t xml:space="preserve">Definite</w:t>
            </w:r>
          </w:p>
        </w:tc>
        <w:tc>
          <w:tcPr/>
          <w:p>
            <w:pPr>
              <w:pStyle w:val="Compact"/>
            </w:pPr>
            <w:r>
              <w:t xml:space="preserve">Score &gt;= 7 with title or abstract text evidence</w:t>
            </w:r>
          </w:p>
        </w:tc>
        <w:tc>
          <w:tcPr/>
          <w:p>
            <w:pPr>
              <w:pStyle w:val="Compact"/>
            </w:pPr>
            <w:r>
              <w:t xml:space="preserve">High-confidence match; auto-accepted</w:t>
            </w:r>
          </w:p>
        </w:tc>
      </w:tr>
      <w:tr>
        <w:tc>
          <w:tcPr/>
          <w:p>
            <w:pPr>
              <w:pStyle w:val="Compact"/>
            </w:pPr>
            <w:r>
              <w:t xml:space="preserve">Probable</w:t>
            </w:r>
          </w:p>
        </w:tc>
        <w:tc>
          <w:tcPr/>
          <w:p>
            <w:pPr>
              <w:pStyle w:val="Compact"/>
            </w:pPr>
            <w:r>
              <w:t xml:space="preserve">Score 3-7 with text evidence</w:t>
            </w:r>
          </w:p>
        </w:tc>
        <w:tc>
          <w:tcPr/>
          <w:p>
            <w:pPr>
              <w:pStyle w:val="Compact"/>
            </w:pPr>
            <w:r>
              <w:t xml:space="preserve">Likely match; requires human confirmation</w:t>
            </w:r>
          </w:p>
        </w:tc>
      </w:tr>
      <w:tr>
        <w:tc>
          <w:tcPr/>
          <w:p>
            <w:pPr>
              <w:pStyle w:val="Compact"/>
            </w:pPr>
            <w:r>
              <w:t xml:space="preserve">Possible</w:t>
            </w:r>
          </w:p>
        </w:tc>
        <w:tc>
          <w:tcPr/>
          <w:p>
            <w:pPr>
              <w:pStyle w:val="Compact"/>
            </w:pPr>
            <w:r>
              <w:t xml:space="preserve">Score &gt;= 3 without text evidence, or tied candidates</w:t>
            </w:r>
          </w:p>
        </w:tc>
        <w:tc>
          <w:tcPr/>
          <w:p>
            <w:pPr>
              <w:pStyle w:val="Compact"/>
            </w:pPr>
            <w:r>
              <w:t xml:space="preserve">Uncertain; requires human review</w:t>
            </w:r>
          </w:p>
        </w:tc>
      </w:tr>
      <w:tr>
        <w:tc>
          <w:tcPr/>
          <w:p>
            <w:pPr>
              <w:pStyle w:val="Compact"/>
            </w:pPr>
            <w:r>
              <w:t xml:space="preserve">No match</w:t>
            </w:r>
          </w:p>
        </w:tc>
        <w:tc>
          <w:tcPr/>
          <w:p>
            <w:pPr>
              <w:pStyle w:val="Compact"/>
            </w:pPr>
            <w:r>
              <w:t xml:space="preserve">Score &lt; 3 or no candidates identified</w:t>
            </w:r>
          </w:p>
        </w:tc>
        <w:tc>
          <w:tcPr/>
          <w:p>
            <w:pPr>
              <w:pStyle w:val="Compact"/>
            </w:pPr>
            <w:r>
              <w:t xml:space="preserve">No viable publication found</w:t>
            </w:r>
          </w:p>
        </w:tc>
      </w:tr>
      <w:tr>
        <w:tc>
          <w:tcPr/>
          <w:p>
            <w:pPr>
              <w:pStyle w:val="Compact"/>
            </w:pPr>
            <w:r>
              <w:t xml:space="preserve">Excluded</w:t>
            </w:r>
          </w:p>
        </w:tc>
        <w:tc>
          <w:tcPr/>
          <w:p>
            <w:pPr>
              <w:pStyle w:val="Compact"/>
            </w:pPr>
            <w:r>
              <w:t xml:space="preserve">Best candidate published before the conference date</w:t>
            </w:r>
          </w:p>
        </w:tc>
        <w:tc>
          <w:tcPr/>
          <w:p>
            <w:pPr>
              <w:pStyle w:val="Compact"/>
            </w:pPr>
            <w:r>
              <w:t xml:space="preserve">Pre-existing publication</w:t>
            </w:r>
          </w:p>
        </w:tc>
      </w:tr>
    </w:tbl>
    <w:p>
      <w:pPr>
        <w:pStyle w:val="BodyText"/>
      </w:pPr>
      <w:r>
        <w:t xml:space="preserve">Tied scores at the definite threshold were automatically downgraded to probable, requiring human adjudication to select between candidates.</w:t>
      </w:r>
    </w:p>
    <w:bookmarkEnd w:id="30"/>
    <w:bookmarkStart w:id="32" w:name="a3.3-human-adjudication"/>
    <w:p>
      <w:pPr>
        <w:pStyle w:val="Heading3"/>
      </w:pPr>
      <w:r>
        <w:t xml:space="preserve">A3.3 Human Adjudication</w:t>
      </w:r>
    </w:p>
    <w:p>
      <w:pPr>
        <w:pStyle w:val="FirstParagraph"/>
      </w:pPr>
      <w:r>
        <w:t xml:space="preserve">A Shiny web application (</w:t>
      </w:r>
      <w:hyperlink r:id="rId31">
        <w:r>
          <w:rPr>
            <w:rStyle w:val="Hyperlink"/>
          </w:rPr>
          <w:t xml:space="preserve">https://mufflyt.shinyapps.io/aagl-adjudication/</w:t>
        </w:r>
      </w:hyperlink>
      <w:r>
        <w:t xml:space="preserve">) was developed for blinded manual review of probable and possible matches. The application displays the abstract title, authors, and text alongside ranked candidate publications with per-component score breakdowns. Reviewers (identified by 2-4 letter initials) record match, no-match, or skip decisions with optional free-text notes. All decisions are persisted to Google Sheets in real time, enabling multi-reviewer conflict detection. Keyboard shortcuts (m/n/s/Enter/arrow keys) accelerate the review workflow.</w:t>
      </w:r>
    </w:p>
    <w:bookmarkEnd w:id="32"/>
    <w:bookmarkEnd w:id="33"/>
    <w:bookmarkStart w:id="39" w:name="a4.-variable-extraction-methods"/>
    <w:p>
      <w:pPr>
        <w:pStyle w:val="Heading2"/>
      </w:pPr>
      <w:r>
        <w:t xml:space="preserve">A4. Variable Extraction Methods</w:t>
      </w:r>
    </w:p>
    <w:bookmarkStart w:id="34" w:name="a4.1-study-design-classification"/>
    <w:p>
      <w:pPr>
        <w:pStyle w:val="Heading3"/>
      </w:pPr>
      <w:r>
        <w:t xml:space="preserve">A4.1 Study Design Classification</w:t>
      </w:r>
    </w:p>
    <w:p>
      <w:pPr>
        <w:pStyle w:val="FirstParagraph"/>
      </w:pPr>
      <w:r>
        <w:t xml:space="preserve">Study design was classified into 12 categories using regular expression pattern matching against the abstract text. The classifier operates in priority order: RCT &gt; systematic review &gt; prospective cohort &gt; retrospective cohort &gt; case-control &gt; case series &gt; cross-sectional &gt; QI &gt; cost analysis &gt; simulation/lab &gt; validation &gt; other. National administrative database names (NSQIP, NIS, SEER, NCDB, HCUP, SART) triggered retrospective cohort classification.</w:t>
      </w:r>
    </w:p>
    <w:bookmarkEnd w:id="34"/>
    <w:bookmarkStart w:id="35" w:name="a4.2-research-category"/>
    <w:p>
      <w:pPr>
        <w:pStyle w:val="Heading3"/>
      </w:pPr>
      <w:r>
        <w:t xml:space="preserve">A4.2 Research Category</w:t>
      </w:r>
    </w:p>
    <w:p>
      <w:pPr>
        <w:pStyle w:val="FirstParagraph"/>
      </w:pPr>
      <w:r>
        <w:t xml:space="preserve">Abstracts were classified into mutually exclusive research categories in priority order: basic science (gene/molecular/protein/biomarker signals), education (simulation/training/curriculum, excluding RCTs), quality improvement (QI/ERAS/checklist), health services (cost/disparity/access/insurance), device/technology (robotic/AI/instrument), clinical (patient/surgery/outcome), or other.</w:t>
      </w:r>
    </w:p>
    <w:bookmarkEnd w:id="35"/>
    <w:bookmarkStart w:id="36" w:name="a4.3-primary-procedure"/>
    <w:p>
      <w:pPr>
        <w:pStyle w:val="Heading3"/>
      </w:pPr>
      <w:r>
        <w:t xml:space="preserve">A4.3 Primary Procedure</w:t>
      </w:r>
    </w:p>
    <w:p>
      <w:pPr>
        <w:pStyle w:val="FirstParagraph"/>
      </w:pPr>
      <w:r>
        <w:t xml:space="preserve">The primary surgical procedure was extracted from abstract text in specificity-priority order: sacrocolpopexy &gt; myomectomy &gt; hysterectomy &gt; endometriosis &gt; adnexal surgery &gt; pelvic floor &gt; sterilization &gt; ectopic pregnancy &gt; cerclage &gt; fibroids &gt; gynecologic oncology.</w:t>
      </w:r>
    </w:p>
    <w:bookmarkEnd w:id="36"/>
    <w:bookmarkStart w:id="37" w:name="a4.4-result-positivity"/>
    <w:p>
      <w:pPr>
        <w:pStyle w:val="Heading3"/>
      </w:pPr>
      <w:r>
        <w:t xml:space="preserve">A4.4 Result Positivity</w:t>
      </w:r>
    </w:p>
    <w:p>
      <w:pPr>
        <w:pStyle w:val="FirstParagraph"/>
      </w:pPr>
      <w:r>
        <w:t xml:space="preserve">Abstract conclusions were classified as positive, negative, neutral, or unclear using a multi-pattern regex classifier. The classifier scanned the conclusion section first, then the measurements/results section, then full abstract text. Positive and negative signal counts were compared; ties were classified as neutral.</w:t>
      </w:r>
    </w:p>
    <w:bookmarkEnd w:id="37"/>
    <w:bookmarkStart w:id="38" w:name="a4.5-author-demographics"/>
    <w:p>
      <w:pPr>
        <w:pStyle w:val="Heading3"/>
      </w:pPr>
      <w:r>
        <w:t xml:space="preserve">A4.5 Author Demographics</w:t>
      </w:r>
    </w:p>
    <w:p>
      <w:pPr>
        <w:pStyle w:val="FirstParagraph"/>
      </w:pPr>
      <w:r>
        <w:t xml:space="preserve">For each matched publication, author metadata was extracted from PubMed XML records via NCBI EFetch:</w:t>
      </w:r>
    </w:p>
    <w:p>
      <w:pPr>
        <w:numPr>
          <w:ilvl w:val="0"/>
          <w:numId w:val="1003"/>
        </w:numPr>
      </w:pPr>
      <w:r>
        <w:rPr>
          <w:b/>
          <w:bCs/>
        </w:rPr>
        <w:t xml:space="preserve">Gender</w:t>
      </w:r>
      <w:r>
        <w:t xml:space="preserve">: Two-pass inference. Pass 1: US Social Security Administration data (1930-2012 birth cohorts) via the R</w:t>
      </w:r>
      <w:r>
        <w:t xml:space="preserve"> </w:t>
      </w:r>
      <w:r>
        <w:rPr>
          <w:rStyle w:val="VerbatimChar"/>
        </w:rPr>
        <w:t xml:space="preserve">gender</w:t>
      </w:r>
      <w:r>
        <w:t xml:space="preserve"> </w:t>
      </w:r>
      <w:r>
        <w:t xml:space="preserve">package. Pass 2: genderize.io API for international names not covered by SSA. Middle initials were stripped before lookup. Coverage: 97.8%.</w:t>
      </w:r>
    </w:p>
    <w:p>
      <w:pPr>
        <w:numPr>
          <w:ilvl w:val="0"/>
          <w:numId w:val="1003"/>
        </w:numPr>
      </w:pPr>
      <w:r>
        <w:rPr>
          <w:b/>
          <w:bCs/>
        </w:rPr>
        <w:t xml:space="preserve">Practice type</w:t>
      </w:r>
      <w:r>
        <w:t xml:space="preserve">: Affiliations were cross-referenced against 2,754 ACGME-accredited teaching hospital names (derived from a validated classifier with 95% precision for Tier 1 institutions). Regex fallback identified university/medical school signals. Community hospitals were classified only when no university affiliation appeared in any listed affiliation. Coverage: 17.5%.</w:t>
      </w:r>
    </w:p>
    <w:p>
      <w:pPr>
        <w:numPr>
          <w:ilvl w:val="0"/>
          <w:numId w:val="1003"/>
        </w:numPr>
      </w:pPr>
      <w:r>
        <w:rPr>
          <w:b/>
          <w:bCs/>
        </w:rPr>
        <w:t xml:space="preserve">US state / ACOG district</w:t>
      </w:r>
      <w:r>
        <w:t xml:space="preserve">: Multi-strategy parser in priority order: (1) institution name lookup (110+ named institutions), (2) spelled-out state names (longest-first to prevent partial matches), (3) two-letter codes with optional ZIP or trailing period, (4) city-to-state lookup (70+ cities). Email addresses and electronic address tags were stripped before parsing.</w:t>
      </w:r>
    </w:p>
    <w:p>
      <w:pPr>
        <w:numPr>
          <w:ilvl w:val="0"/>
          <w:numId w:val="1003"/>
        </w:numPr>
      </w:pPr>
      <w:r>
        <w:rPr>
          <w:b/>
          <w:bCs/>
        </w:rPr>
        <w:t xml:space="preserve">Subspecialty</w:t>
      </w:r>
      <w:r>
        <w:t xml:space="preserve">: Classified from departmental affiliation text: MIGS, REI, gynecologic oncology, FPMRS, MFM, family planning, general OB/GYN, obstetrics, urology, or surgery (other). Coverage: 16.2%.</w:t>
      </w:r>
    </w:p>
    <w:bookmarkEnd w:id="38"/>
    <w:bookmarkEnd w:id="39"/>
    <w:bookmarkStart w:id="42" w:name="a5.-algorithm-validation"/>
    <w:p>
      <w:pPr>
        <w:pStyle w:val="Heading2"/>
      </w:pPr>
      <w:r>
        <w:t xml:space="preserve">A5. Algorithm Validation</w:t>
      </w:r>
    </w:p>
    <w:bookmarkStart w:id="40" w:name="a5.1-gold-standard-construction"/>
    <w:p>
      <w:pPr>
        <w:pStyle w:val="Heading3"/>
      </w:pPr>
      <w:r>
        <w:t xml:space="preserve">A5.1 Gold Standard Construction</w:t>
      </w:r>
    </w:p>
    <w:p>
      <w:pPr>
        <w:pStyle w:val="FirstParagraph"/>
      </w:pPr>
      <w:r>
        <w:t xml:space="preserve">A gold standard of 50 abstracts was constructed by stratified sampling (25 from definite matches, 25 from no-match classifications). For each sampled abstract, an intensive manual search was performed using 5 PubMed query strategies with relaxed matching thresholds (Jaccard &gt;= 0.5 for positive verification).</w:t>
      </w:r>
    </w:p>
    <w:bookmarkEnd w:id="40"/>
    <w:bookmarkStart w:id="41" w:name="a5.2-performance-metrics"/>
    <w:p>
      <w:pPr>
        <w:pStyle w:val="Heading3"/>
      </w:pPr>
      <w:r>
        <w:t xml:space="preserve">A5.2 Performance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Sensitivity (recall)</w:t>
            </w:r>
          </w:p>
        </w:tc>
        <w:tc>
          <w:tcPr/>
          <w:p>
            <w:pPr>
              <w:pStyle w:val="Compact"/>
              <w:jc w:val="left"/>
            </w:pPr>
            <w:r>
              <w:t xml:space="preserve">100%</w:t>
            </w:r>
          </w:p>
        </w:tc>
      </w:tr>
      <w:tr>
        <w:tc>
          <w:tcPr/>
          <w:p>
            <w:pPr>
              <w:pStyle w:val="Compact"/>
              <w:jc w:val="left"/>
            </w:pPr>
            <w:r>
              <w:t xml:space="preserve">Specificity</w:t>
            </w:r>
          </w:p>
        </w:tc>
        <w:tc>
          <w:tcPr/>
          <w:p>
            <w:pPr>
              <w:pStyle w:val="Compact"/>
              <w:jc w:val="left"/>
            </w:pPr>
            <w:r>
              <w:t xml:space="preserve">63.9%</w:t>
            </w:r>
          </w:p>
        </w:tc>
      </w:tr>
      <w:tr>
        <w:tc>
          <w:tcPr/>
          <w:p>
            <w:pPr>
              <w:pStyle w:val="Compact"/>
              <w:jc w:val="left"/>
            </w:pPr>
            <w:r>
              <w:t xml:space="preserve">Positive predictive value</w:t>
            </w:r>
          </w:p>
        </w:tc>
        <w:tc>
          <w:tcPr/>
          <w:p>
            <w:pPr>
              <w:pStyle w:val="Compact"/>
              <w:jc w:val="left"/>
            </w:pPr>
            <w:r>
              <w:t xml:space="preserve">50%</w:t>
            </w:r>
          </w:p>
        </w:tc>
      </w:tr>
      <w:tr>
        <w:tc>
          <w:tcPr/>
          <w:p>
            <w:pPr>
              <w:pStyle w:val="Compact"/>
              <w:jc w:val="left"/>
            </w:pPr>
            <w:r>
              <w:t xml:space="preserve">Negative predictive value</w:t>
            </w:r>
          </w:p>
        </w:tc>
        <w:tc>
          <w:tcPr/>
          <w:p>
            <w:pPr>
              <w:pStyle w:val="Compact"/>
              <w:jc w:val="left"/>
            </w:pPr>
            <w:r>
              <w:t xml:space="preserve">100%</w:t>
            </w:r>
          </w:p>
        </w:tc>
      </w:tr>
      <w:tr>
        <w:tc>
          <w:tcPr/>
          <w:p>
            <w:pPr>
              <w:pStyle w:val="Compact"/>
              <w:jc w:val="left"/>
            </w:pPr>
            <w:r>
              <w:t xml:space="preserve">Accuracy</w:t>
            </w:r>
          </w:p>
        </w:tc>
        <w:tc>
          <w:tcPr/>
          <w:p>
            <w:pPr>
              <w:pStyle w:val="Compact"/>
              <w:jc w:val="left"/>
            </w:pPr>
            <w:r>
              <w:t xml:space="preserve">73.5%</w:t>
            </w:r>
          </w:p>
        </w:tc>
      </w:tr>
    </w:tbl>
    <w:p>
      <w:pPr>
        <w:pStyle w:val="BodyText"/>
      </w:pPr>
      <w:r>
        <w:t xml:space="preserve">The algorithm achieved 100% sensitivity (no missed publications in the gold standard) and 63.9% specificity. The 36.1% false positive rate reflects cases where the scoring algorithm identified a high-scoring candidate that was not the true published version of the abstract (e.g., a related paper by the same author group on a similar topic).</w:t>
      </w:r>
    </w:p>
    <w:bookmarkEnd w:id="41"/>
    <w:bookmarkEnd w:id="42"/>
    <w:bookmarkStart w:id="43" w:name="a6.-sensitivity-analyses"/>
    <w:p>
      <w:pPr>
        <w:pStyle w:val="Heading2"/>
      </w:pPr>
      <w:r>
        <w:t xml:space="preserve">A6. Sensitivity Analyses</w:t>
      </w:r>
    </w:p>
    <w:tbl>
      <w:tblPr>
        <w:tblStyle w:val="Table"/>
        <w:tblW w:type="pct" w:w="5000"/>
        <w:tblLayout w:type="fixed"/>
        <w:tblLook w:firstRow="1" w:lastRow="0" w:firstColumn="0" w:lastColumn="0" w:noHBand="0" w:noVBand="0" w:val="0020"/>
      </w:tblPr>
      <w:tblGrid>
        <w:gridCol w:w="2582"/>
        <w:gridCol w:w="3099"/>
        <w:gridCol w:w="430"/>
        <w:gridCol w:w="1033"/>
        <w:gridCol w:w="774"/>
      </w:tblGrid>
      <w:tr>
        <w:trPr>
          <w:tblHeader w:val="on"/>
        </w:trPr>
        <w:tc>
          <w:tcPr/>
          <w:p>
            <w:pPr>
              <w:pStyle w:val="Compact"/>
              <w:jc w:val="left"/>
            </w:pPr>
            <w:r>
              <w:t xml:space="preserve">Scenario</w:t>
            </w:r>
          </w:p>
        </w:tc>
        <w:tc>
          <w:tcPr/>
          <w:p>
            <w:pPr>
              <w:pStyle w:val="Compact"/>
              <w:jc w:val="left"/>
            </w:pPr>
            <w:r>
              <w:t xml:space="preserve">Denominator</w:t>
            </w:r>
          </w:p>
        </w:tc>
        <w:tc>
          <w:tcPr/>
          <w:p>
            <w:pPr>
              <w:pStyle w:val="Compact"/>
              <w:jc w:val="right"/>
            </w:pPr>
            <w:r>
              <w:t xml:space="preserve">N</w:t>
            </w:r>
          </w:p>
        </w:tc>
        <w:tc>
          <w:tcPr/>
          <w:p>
            <w:pPr>
              <w:pStyle w:val="Compact"/>
              <w:jc w:val="right"/>
            </w:pPr>
            <w:r>
              <w:t xml:space="preserve">N published</w:t>
            </w:r>
          </w:p>
        </w:tc>
        <w:tc>
          <w:tcPr/>
          <w:p>
            <w:pPr>
              <w:pStyle w:val="Compact"/>
              <w:jc w:val="right"/>
            </w:pPr>
            <w:r>
              <w:t xml:space="preserve">Rate (%)</w:t>
            </w:r>
          </w:p>
        </w:tc>
      </w:tr>
      <w:tr>
        <w:tc>
          <w:tcPr/>
          <w:p>
            <w:pPr>
              <w:pStyle w:val="Compact"/>
              <w:jc w:val="left"/>
            </w:pPr>
            <w:r>
              <w:t xml:space="preserve">Definite only</w:t>
            </w:r>
          </w:p>
        </w:tc>
        <w:tc>
          <w:tcPr/>
          <w:p>
            <w:pPr>
              <w:pStyle w:val="Compact"/>
              <w:jc w:val="left"/>
            </w:pPr>
            <w:r>
              <w:t xml:space="preserve">cohort</w:t>
            </w:r>
          </w:p>
        </w:tc>
        <w:tc>
          <w:tcPr/>
          <w:p>
            <w:pPr>
              <w:pStyle w:val="Compact"/>
              <w:jc w:val="right"/>
            </w:pPr>
            <w:r>
              <w:t xml:space="preserve">1106</w:t>
            </w:r>
          </w:p>
        </w:tc>
        <w:tc>
          <w:tcPr/>
          <w:p>
            <w:pPr>
              <w:pStyle w:val="Compact"/>
              <w:jc w:val="right"/>
            </w:pPr>
            <w:r>
              <w:t xml:space="preserve">131</w:t>
            </w:r>
          </w:p>
        </w:tc>
        <w:tc>
          <w:tcPr/>
          <w:p>
            <w:pPr>
              <w:pStyle w:val="Compact"/>
              <w:jc w:val="right"/>
            </w:pPr>
            <w:r>
              <w:t xml:space="preserve">11.8</w:t>
            </w:r>
          </w:p>
        </w:tc>
      </w:tr>
      <w:tr>
        <w:tc>
          <w:tcPr/>
          <w:p>
            <w:pPr>
              <w:pStyle w:val="Compact"/>
              <w:jc w:val="left"/>
            </w:pPr>
            <w:r>
              <w:t xml:space="preserve">Definite + probable</w:t>
            </w:r>
          </w:p>
        </w:tc>
        <w:tc>
          <w:tcPr/>
          <w:p>
            <w:pPr>
              <w:pStyle w:val="Compact"/>
              <w:jc w:val="left"/>
            </w:pPr>
            <w:r>
              <w:t xml:space="preserve">cohort</w:t>
            </w:r>
          </w:p>
        </w:tc>
        <w:tc>
          <w:tcPr/>
          <w:p>
            <w:pPr>
              <w:pStyle w:val="Compact"/>
              <w:jc w:val="right"/>
            </w:pPr>
            <w:r>
              <w:t xml:space="preserve">1106</w:t>
            </w:r>
          </w:p>
        </w:tc>
        <w:tc>
          <w:tcPr/>
          <w:p>
            <w:pPr>
              <w:pStyle w:val="Compact"/>
              <w:jc w:val="right"/>
            </w:pPr>
            <w:r>
              <w:t xml:space="preserve">212</w:t>
            </w:r>
          </w:p>
        </w:tc>
        <w:tc>
          <w:tcPr/>
          <w:p>
            <w:pPr>
              <w:pStyle w:val="Compact"/>
              <w:jc w:val="right"/>
            </w:pPr>
            <w:r>
              <w:t xml:space="preserve">19.2</w:t>
            </w:r>
          </w:p>
        </w:tc>
      </w:tr>
      <w:tr>
        <w:tc>
          <w:tcPr/>
          <w:p>
            <w:pPr>
              <w:pStyle w:val="Compact"/>
              <w:jc w:val="left"/>
            </w:pPr>
            <w:r>
              <w:t xml:space="preserve">Definite + reviewer-confirmed</w:t>
            </w:r>
          </w:p>
        </w:tc>
        <w:tc>
          <w:tcPr/>
          <w:p>
            <w:pPr>
              <w:pStyle w:val="Compact"/>
              <w:jc w:val="left"/>
            </w:pPr>
            <w:r>
              <w:t xml:space="preserve">evaluated</w:t>
            </w:r>
          </w:p>
        </w:tc>
        <w:tc>
          <w:tcPr/>
          <w:p>
            <w:pPr>
              <w:pStyle w:val="Compact"/>
              <w:jc w:val="right"/>
            </w:pPr>
            <w:r>
              <w:t xml:space="preserve">1051</w:t>
            </w:r>
          </w:p>
        </w:tc>
        <w:tc>
          <w:tcPr/>
          <w:p>
            <w:pPr>
              <w:pStyle w:val="Compact"/>
              <w:jc w:val="right"/>
            </w:pPr>
            <w:r>
              <w:t xml:space="preserve">170</w:t>
            </w:r>
          </w:p>
        </w:tc>
        <w:tc>
          <w:tcPr/>
          <w:p>
            <w:pPr>
              <w:pStyle w:val="Compact"/>
              <w:jc w:val="right"/>
            </w:pPr>
            <w:r>
              <w:t xml:space="preserve">16.2</w:t>
            </w:r>
          </w:p>
        </w:tc>
      </w:tr>
      <w:tr>
        <w:tc>
          <w:tcPr/>
          <w:p>
            <w:pPr>
              <w:pStyle w:val="Compact"/>
              <w:jc w:val="left"/>
            </w:pPr>
            <w:r>
              <w:t xml:space="preserve">Published within 12 months</w:t>
            </w:r>
          </w:p>
        </w:tc>
        <w:tc>
          <w:tcPr/>
          <w:p>
            <w:pPr>
              <w:pStyle w:val="Compact"/>
              <w:jc w:val="left"/>
            </w:pPr>
            <w:r>
              <w:t xml:space="preserve">evaluated with sufficient follow-up</w:t>
            </w:r>
          </w:p>
        </w:tc>
        <w:tc>
          <w:tcPr/>
          <w:p>
            <w:pPr>
              <w:pStyle w:val="Compact"/>
              <w:jc w:val="right"/>
            </w:pPr>
            <w:r>
              <w:t xml:space="preserve">1051</w:t>
            </w:r>
          </w:p>
        </w:tc>
        <w:tc>
          <w:tcPr/>
          <w:p>
            <w:pPr>
              <w:pStyle w:val="Compact"/>
              <w:jc w:val="right"/>
            </w:pPr>
            <w:r>
              <w:t xml:space="preserve">71</w:t>
            </w:r>
          </w:p>
        </w:tc>
        <w:tc>
          <w:tcPr/>
          <w:p>
            <w:pPr>
              <w:pStyle w:val="Compact"/>
              <w:jc w:val="right"/>
            </w:pPr>
            <w:r>
              <w:t xml:space="preserve">6.8</w:t>
            </w:r>
          </w:p>
        </w:tc>
      </w:tr>
      <w:tr>
        <w:tc>
          <w:tcPr/>
          <w:p>
            <w:pPr>
              <w:pStyle w:val="Compact"/>
              <w:jc w:val="left"/>
            </w:pPr>
            <w:r>
              <w:t xml:space="preserve">Published within 24 months</w:t>
            </w:r>
          </w:p>
        </w:tc>
        <w:tc>
          <w:tcPr/>
          <w:p>
            <w:pPr>
              <w:pStyle w:val="Compact"/>
              <w:jc w:val="left"/>
            </w:pPr>
            <w:r>
              <w:t xml:space="preserve">evaluated with sufficient follow-up</w:t>
            </w:r>
          </w:p>
        </w:tc>
        <w:tc>
          <w:tcPr/>
          <w:p>
            <w:pPr>
              <w:pStyle w:val="Compact"/>
              <w:jc w:val="right"/>
            </w:pPr>
            <w:r>
              <w:t xml:space="preserve">1051</w:t>
            </w:r>
          </w:p>
        </w:tc>
        <w:tc>
          <w:tcPr/>
          <w:p>
            <w:pPr>
              <w:pStyle w:val="Compact"/>
              <w:jc w:val="right"/>
            </w:pPr>
            <w:r>
              <w:t xml:space="preserve">132</w:t>
            </w:r>
          </w:p>
        </w:tc>
        <w:tc>
          <w:tcPr/>
          <w:p>
            <w:pPr>
              <w:pStyle w:val="Compact"/>
              <w:jc w:val="right"/>
            </w:pPr>
            <w:r>
              <w:t xml:space="preserve">12.6</w:t>
            </w:r>
          </w:p>
        </w:tc>
      </w:tr>
      <w:tr>
        <w:tc>
          <w:tcPr/>
          <w:p>
            <w:pPr>
              <w:pStyle w:val="Compact"/>
              <w:jc w:val="left"/>
            </w:pPr>
            <w:r>
              <w:t xml:space="preserve">Published within 36 months</w:t>
            </w:r>
          </w:p>
        </w:tc>
        <w:tc>
          <w:tcPr/>
          <w:p>
            <w:pPr>
              <w:pStyle w:val="Compact"/>
              <w:jc w:val="left"/>
            </w:pPr>
            <w:r>
              <w:t xml:space="preserve">evaluated with sufficient follow-up</w:t>
            </w:r>
          </w:p>
        </w:tc>
        <w:tc>
          <w:tcPr/>
          <w:p>
            <w:pPr>
              <w:pStyle w:val="Compact"/>
              <w:jc w:val="right"/>
            </w:pPr>
            <w:r>
              <w:t xml:space="preserve">991</w:t>
            </w:r>
          </w:p>
        </w:tc>
        <w:tc>
          <w:tcPr/>
          <w:p>
            <w:pPr>
              <w:pStyle w:val="Compact"/>
              <w:jc w:val="right"/>
            </w:pPr>
            <w:r>
              <w:t xml:space="preserve">136</w:t>
            </w:r>
          </w:p>
        </w:tc>
        <w:tc>
          <w:tcPr/>
          <w:p>
            <w:pPr>
              <w:pStyle w:val="Compact"/>
              <w:jc w:val="right"/>
            </w:pPr>
            <w:r>
              <w:t xml:space="preserve">13.7</w:t>
            </w:r>
          </w:p>
        </w:tc>
      </w:tr>
      <w:tr>
        <w:tc>
          <w:tcPr/>
          <w:p>
            <w:pPr>
              <w:pStyle w:val="Compact"/>
              <w:jc w:val="left"/>
            </w:pPr>
            <w:r>
              <w:t xml:space="preserve">Published within 48 months</w:t>
            </w:r>
          </w:p>
        </w:tc>
        <w:tc>
          <w:tcPr/>
          <w:p>
            <w:pPr>
              <w:pStyle w:val="Compact"/>
              <w:jc w:val="left"/>
            </w:pPr>
            <w:r>
              <w:t xml:space="preserve">evaluated with sufficient follow-up</w:t>
            </w:r>
          </w:p>
        </w:tc>
        <w:tc>
          <w:tcPr/>
          <w:p>
            <w:pPr>
              <w:pStyle w:val="Compact"/>
              <w:jc w:val="right"/>
            </w:pPr>
            <w:r>
              <w:t xml:space="preserve">901</w:t>
            </w:r>
          </w:p>
        </w:tc>
        <w:tc>
          <w:tcPr/>
          <w:p>
            <w:pPr>
              <w:pStyle w:val="Compact"/>
              <w:jc w:val="right"/>
            </w:pPr>
            <w:r>
              <w:t xml:space="preserve">118</w:t>
            </w:r>
          </w:p>
        </w:tc>
        <w:tc>
          <w:tcPr/>
          <w:p>
            <w:pPr>
              <w:pStyle w:val="Compact"/>
              <w:jc w:val="right"/>
            </w:pPr>
            <w:r>
              <w:t xml:space="preserve">13.1</w:t>
            </w:r>
          </w:p>
        </w:tc>
      </w:tr>
    </w:tbl>
    <w:p>
      <w:pPr>
        <w:pStyle w:val="BodyText"/>
      </w:pPr>
      <w:r>
        <w:t xml:space="preserve">Scenarios 1 and 2 are decidable without a reviewer and divide by the cohort;</w:t>
      </w:r>
      <w:r>
        <w:t xml:space="preserve"> </w:t>
      </w:r>
      <w:r>
        <w:t xml:space="preserve">scenario 3 onward require an adjudicated outcome and divide by the evaluated</w:t>
      </w:r>
      <w:r>
        <w:t xml:space="preserve"> </w:t>
      </w:r>
      <w:r>
        <w:t xml:space="preserve">set. The</w:t>
      </w:r>
      <w:r>
        <w:t xml:space="preserve"> </w:t>
      </w:r>
      <w:r>
        <w:rPr>
          <w:rStyle w:val="VerbatimChar"/>
        </w:rPr>
        <w:t xml:space="preserve">Denominator</w:t>
      </w:r>
      <w:r>
        <w:t xml:space="preserve"> </w:t>
      </w:r>
      <w:r>
        <w:t xml:space="preserve">column states which, so the rates are not compared</w:t>
      </w:r>
      <w:r>
        <w:t xml:space="preserve"> </w:t>
      </w:r>
      <w:r>
        <w:t xml:space="preserve">across different populations.</w:t>
      </w:r>
    </w:p>
    <w:bookmarkEnd w:id="43"/>
    <w:bookmarkStart w:id="44" w:name="a7.-cox-proportional-hazards-model"/>
    <w:p>
      <w:pPr>
        <w:pStyle w:val="Heading2"/>
      </w:pPr>
      <w:r>
        <w:t xml:space="preserve">A7. Cox Proportional Hazards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HR</w:t>
            </w:r>
          </w:p>
        </w:tc>
        <w:tc>
          <w:tcPr/>
          <w:p>
            <w:pPr>
              <w:pStyle w:val="Compact"/>
              <w:jc w:val="left"/>
            </w:pPr>
            <w:r>
              <w:t xml:space="preserve">95% CI</w:t>
            </w:r>
          </w:p>
        </w:tc>
        <w:tc>
          <w:tcPr/>
          <w:p>
            <w:pPr>
              <w:pStyle w:val="Compact"/>
              <w:jc w:val="right"/>
            </w:pPr>
            <w:r>
              <w:t xml:space="preserve">p-value</w:t>
            </w:r>
          </w:p>
        </w:tc>
      </w:tr>
      <w:tr>
        <w:tc>
          <w:tcPr/>
          <w:p>
            <w:pPr>
              <w:pStyle w:val="Compact"/>
              <w:jc w:val="left"/>
            </w:pPr>
            <w:r>
              <w:t xml:space="preserve">is_rctTRUE</w:t>
            </w:r>
          </w:p>
        </w:tc>
        <w:tc>
          <w:tcPr/>
          <w:p>
            <w:pPr>
              <w:pStyle w:val="Compact"/>
              <w:jc w:val="right"/>
            </w:pPr>
            <w:r>
              <w:t xml:space="preserve">2.00</w:t>
            </w:r>
          </w:p>
        </w:tc>
        <w:tc>
          <w:tcPr/>
          <w:p>
            <w:pPr>
              <w:pStyle w:val="Compact"/>
              <w:jc w:val="left"/>
            </w:pPr>
            <w:r>
              <w:t xml:space="preserve">1.34-2.98</w:t>
            </w:r>
          </w:p>
        </w:tc>
        <w:tc>
          <w:tcPr/>
          <w:p>
            <w:pPr>
              <w:pStyle w:val="Compact"/>
              <w:jc w:val="right"/>
            </w:pPr>
            <w:r>
              <w:t xml:space="preserve">0.001</w:t>
            </w:r>
          </w:p>
        </w:tc>
      </w:tr>
      <w:tr>
        <w:tc>
          <w:tcPr/>
          <w:p>
            <w:pPr>
              <w:pStyle w:val="Compact"/>
              <w:jc w:val="left"/>
            </w:pPr>
            <w:r>
              <w:t xml:space="preserve">is_academicTRUE</w:t>
            </w:r>
          </w:p>
        </w:tc>
        <w:tc>
          <w:tcPr/>
          <w:p>
            <w:pPr>
              <w:pStyle w:val="Compact"/>
              <w:jc w:val="right"/>
            </w:pPr>
            <w:r>
              <w:t xml:space="preserve">1.10</w:t>
            </w:r>
          </w:p>
        </w:tc>
        <w:tc>
          <w:tcPr/>
          <w:p>
            <w:pPr>
              <w:pStyle w:val="Compact"/>
              <w:jc w:val="left"/>
            </w:pPr>
            <w:r>
              <w:t xml:space="preserve">0.78-1.53</w:t>
            </w:r>
          </w:p>
        </w:tc>
        <w:tc>
          <w:tcPr/>
          <w:p>
            <w:pPr>
              <w:pStyle w:val="Compact"/>
              <w:jc w:val="right"/>
            </w:pPr>
            <w:r>
              <w:t xml:space="preserve">0.587</w:t>
            </w:r>
          </w:p>
        </w:tc>
      </w:tr>
      <w:tr>
        <w:tc>
          <w:tcPr/>
          <w:p>
            <w:pPr>
              <w:pStyle w:val="Compact"/>
              <w:jc w:val="left"/>
            </w:pPr>
            <w:r>
              <w:t xml:space="preserve">is_us_basedTRUE</w:t>
            </w:r>
          </w:p>
        </w:tc>
        <w:tc>
          <w:tcPr/>
          <w:p>
            <w:pPr>
              <w:pStyle w:val="Compact"/>
              <w:jc w:val="right"/>
            </w:pPr>
            <w:r>
              <w:t xml:space="preserve">0.79</w:t>
            </w:r>
          </w:p>
        </w:tc>
        <w:tc>
          <w:tcPr/>
          <w:p>
            <w:pPr>
              <w:pStyle w:val="Compact"/>
              <w:jc w:val="left"/>
            </w:pPr>
            <w:r>
              <w:t xml:space="preserve">0.57-1.08</w:t>
            </w:r>
          </w:p>
        </w:tc>
        <w:tc>
          <w:tcPr/>
          <w:p>
            <w:pPr>
              <w:pStyle w:val="Compact"/>
              <w:jc w:val="right"/>
            </w:pPr>
            <w:r>
              <w:t xml:space="preserve">0.136</w:t>
            </w:r>
          </w:p>
        </w:tc>
      </w:tr>
      <w:tr>
        <w:tc>
          <w:tcPr/>
          <w:p>
            <w:pPr>
              <w:pStyle w:val="Compact"/>
              <w:jc w:val="left"/>
            </w:pPr>
            <w:r>
              <w:t xml:space="preserve">n_authors</w:t>
            </w:r>
          </w:p>
        </w:tc>
        <w:tc>
          <w:tcPr/>
          <w:p>
            <w:pPr>
              <w:pStyle w:val="Compact"/>
              <w:jc w:val="right"/>
            </w:pPr>
            <w:r>
              <w:t xml:space="preserve">1.22</w:t>
            </w:r>
          </w:p>
        </w:tc>
        <w:tc>
          <w:tcPr/>
          <w:p>
            <w:pPr>
              <w:pStyle w:val="Compact"/>
              <w:jc w:val="left"/>
            </w:pPr>
            <w:r>
              <w:t xml:space="preserve">1.06-1.4</w:t>
            </w:r>
          </w:p>
        </w:tc>
        <w:tc>
          <w:tcPr/>
          <w:p>
            <w:pPr>
              <w:pStyle w:val="Compact"/>
              <w:jc w:val="right"/>
            </w:pPr>
            <w:r>
              <w:t xml:space="preserve">0.006</w:t>
            </w:r>
          </w:p>
        </w:tc>
      </w:tr>
      <w:tr>
        <w:tc>
          <w:tcPr/>
          <w:p>
            <w:pPr>
              <w:pStyle w:val="Compact"/>
              <w:jc w:val="left"/>
            </w:pPr>
            <w:r>
              <w:t xml:space="preserve">gender_unifiedmale</w:t>
            </w:r>
          </w:p>
        </w:tc>
        <w:tc>
          <w:tcPr/>
          <w:p>
            <w:pPr>
              <w:pStyle w:val="Compact"/>
              <w:jc w:val="right"/>
            </w:pPr>
            <w:r>
              <w:t xml:space="preserve">0.75</w:t>
            </w:r>
          </w:p>
        </w:tc>
        <w:tc>
          <w:tcPr/>
          <w:p>
            <w:pPr>
              <w:pStyle w:val="Compact"/>
              <w:jc w:val="left"/>
            </w:pPr>
            <w:r>
              <w:t xml:space="preserve">0.55-1.02</w:t>
            </w:r>
          </w:p>
        </w:tc>
        <w:tc>
          <w:tcPr/>
          <w:p>
            <w:pPr>
              <w:pStyle w:val="Compact"/>
              <w:jc w:val="right"/>
            </w:pPr>
            <w:r>
              <w:t xml:space="preserve">0.066</w:t>
            </w:r>
          </w:p>
        </w:tc>
      </w:tr>
      <w:tr>
        <w:tc>
          <w:tcPr/>
          <w:p>
            <w:pPr>
              <w:pStyle w:val="Compact"/>
              <w:jc w:val="left"/>
            </w:pPr>
            <w:r>
              <w:t xml:space="preserve">is_multicenterTRUE</w:t>
            </w:r>
          </w:p>
        </w:tc>
        <w:tc>
          <w:tcPr/>
          <w:p>
            <w:pPr>
              <w:pStyle w:val="Compact"/>
              <w:jc w:val="right"/>
            </w:pPr>
            <w:r>
              <w:t xml:space="preserve">1.36</w:t>
            </w:r>
          </w:p>
        </w:tc>
        <w:tc>
          <w:tcPr/>
          <w:p>
            <w:pPr>
              <w:pStyle w:val="Compact"/>
              <w:jc w:val="left"/>
            </w:pPr>
            <w:r>
              <w:t xml:space="preserve">0.79-2.34</w:t>
            </w:r>
          </w:p>
        </w:tc>
        <w:tc>
          <w:tcPr/>
          <w:p>
            <w:pPr>
              <w:pStyle w:val="Compact"/>
              <w:jc w:val="right"/>
            </w:pPr>
            <w:r>
              <w:t xml:space="preserve">0.265</w:t>
            </w:r>
          </w:p>
        </w:tc>
      </w:tr>
    </w:tbl>
    <w:p>
      <w:pPr>
        <w:pStyle w:val="BodyText"/>
      </w:pPr>
      <w:r>
        <w:t xml:space="preserve">Proportional hazards assumption: global test p = 0.01.</w:t>
      </w:r>
    </w:p>
    <w:bookmarkEnd w:id="44"/>
    <w:bookmarkStart w:id="50" w:name="X92b8d09b47aa5be92acc70bc51d89d5211171b2"/>
    <w:p>
      <w:pPr>
        <w:pStyle w:val="Heading2"/>
      </w:pPr>
      <w:r>
        <w:t xml:space="preserve">A8. Abstract Text Recovery: Challenges for Congress Years 2012–2018</w:t>
      </w:r>
    </w:p>
    <w:bookmarkStart w:id="45" w:name="a8.1-the-problem"/>
    <w:p>
      <w:pPr>
        <w:pStyle w:val="Heading3"/>
      </w:pPr>
      <w:r>
        <w:t xml:space="preserve">A8.1 The Problem</w:t>
      </w:r>
    </w:p>
    <w:p>
      <w:pPr>
        <w:pStyle w:val="FirstParagraph"/>
      </w:pPr>
      <w:r>
        <w:t xml:space="preserve">Abstract text was fully available for congress years 2019–2023, where ScienceDirect served structured HTML sections (Objective, Design, Setting, Patients, Intervention, Measurements, Conclusion) directly in the page body. For 2012–2018, ScienceDirect delivered only a</w:t>
      </w:r>
      <w:r>
        <w:t xml:space="preserve"> </w:t>
      </w:r>
      <w:r>
        <w:t xml:space="preserve">“Section snippets”</w:t>
      </w:r>
      <w:r>
        <w:t xml:space="preserve"> </w:t>
      </w:r>
      <w:r>
        <w:t xml:space="preserve">preview panel (</w:t>
      </w:r>
      <w:r>
        <w:rPr>
          <w:rStyle w:val="VerbatimChar"/>
        </w:rPr>
        <w:t xml:space="preserve">#preview-section-snippets</w:t>
      </w:r>
      <w:r>
        <w:t xml:space="preserve">) on the</w:t>
      </w:r>
      <w:r>
        <w:t xml:space="preserve"> </w:t>
      </w:r>
      <w:r>
        <w:rPr>
          <w:rStyle w:val="VerbatimChar"/>
        </w:rPr>
        <w:t xml:space="preserve">/abs/pii/</w:t>
      </w:r>
      <w:r>
        <w:t xml:space="preserve"> </w:t>
      </w:r>
      <w:r>
        <w:t xml:space="preserve">abstract page, with the full abstract body gated behind institutional authentication.</w:t>
      </w:r>
    </w:p>
    <w:p>
      <w:pPr>
        <w:pStyle w:val="BodyText"/>
      </w:pPr>
      <w:r>
        <w:t xml:space="preserve">This created a two-tier data problem: 667 of 1,106 abstracts (60%) had no recoverable abstract text from initial scraping, limiting downstream text-based matching (TF-IDF cosine similarity) for six congress years.</w:t>
      </w:r>
    </w:p>
    <w:bookmarkEnd w:id="45"/>
    <w:bookmarkStart w:id="46" w:name="a8.2-recovery-approaches-attempted"/>
    <w:p>
      <w:pPr>
        <w:pStyle w:val="Heading3"/>
      </w:pPr>
      <w:r>
        <w:t xml:space="preserve">A8.2 Recovery Approaches Attempted</w:t>
      </w:r>
    </w:p>
    <w:p>
      <w:pPr>
        <w:pStyle w:val="FirstParagraph"/>
      </w:pPr>
      <w:r>
        <w:rPr>
          <w:b/>
          <w:bCs/>
        </w:rPr>
        <w:t xml:space="preserve">Approach 1: ScienceDirect section-snippet parsing (partial success)</w:t>
      </w:r>
    </w:p>
    <w:p>
      <w:pPr>
        <w:pStyle w:val="BodyText"/>
      </w:pPr>
      <w:r>
        <w:t xml:space="preserve">The</w:t>
      </w:r>
      <w:r>
        <w:t xml:space="preserve"> </w:t>
      </w:r>
      <w:r>
        <w:rPr>
          <w:rStyle w:val="VerbatimChar"/>
        </w:rPr>
        <w:t xml:space="preserve">/science/article/abs/pii/{PII}</w:t>
      </w:r>
      <w:r>
        <w:t xml:space="preserve"> </w:t>
      </w:r>
      <w:r>
        <w:t xml:space="preserve">endpoint exposes a public</w:t>
      </w:r>
      <w:r>
        <w:t xml:space="preserve"> </w:t>
      </w:r>
      <w:r>
        <w:t xml:space="preserve">“Section snippets”</w:t>
      </w:r>
      <w:r>
        <w:t xml:space="preserve"> </w:t>
      </w:r>
      <w:r>
        <w:t xml:space="preserve">container for many Elsevier articles. A secondary scraper (</w:t>
      </w:r>
      <w:r>
        <w:rPr>
          <w:rStyle w:val="VerbatimChar"/>
        </w:rPr>
        <w:t xml:space="preserve">scripts/backfill_sciencedirect_snippets.R</w:t>
      </w:r>
      <w:r>
        <w:t xml:space="preserve">) resolved each abstract’s DOI to a PII identifier via the CrossRef API, fetched the ScienceDirect</w:t>
      </w:r>
      <w:r>
        <w:t xml:space="preserve"> </w:t>
      </w:r>
      <w:r>
        <w:rPr>
          <w:rStyle w:val="VerbatimChar"/>
        </w:rPr>
        <w:t xml:space="preserve">/abs/pii/</w:t>
      </w:r>
      <w:r>
        <w:t xml:space="preserve"> </w:t>
      </w:r>
      <w:r>
        <w:t xml:space="preserve">page, and parsed heading-sibling text pairs from the snippet container using XPath (</w:t>
      </w:r>
      <w:r>
        <w:rPr>
          <w:rStyle w:val="VerbatimChar"/>
        </w:rPr>
        <w:t xml:space="preserve">following-sibling::*[not(self::h2|h3|h4)][position()&lt;=3]</w:t>
      </w:r>
      <w:r>
        <w:t xml:space="preserve">). A disk cache under</w:t>
      </w:r>
      <w:r>
        <w:t xml:space="preserve"> </w:t>
      </w:r>
      <w:r>
        <w:rPr>
          <w:rStyle w:val="VerbatimChar"/>
        </w:rPr>
        <w:t xml:space="preserve">data/cache/sd_html/</w:t>
      </w:r>
      <w:r>
        <w:t xml:space="preserve"> </w:t>
      </w:r>
      <w:r>
        <w:t xml:space="preserve">eliminated redundant network requests on re-runs.</w:t>
      </w:r>
    </w:p>
    <w:p>
      <w:pPr>
        <w:pStyle w:val="BodyText"/>
      </w:pPr>
      <w:r>
        <w:t xml:space="preserve">This approach recovered text for 483 of 667 abstracts (72% of the missing set; 44% of all 2012–2018 abstracts). The remaining 184 had empty snippet containers — the</w:t>
      </w:r>
      <w:r>
        <w:t xml:space="preserve"> </w:t>
      </w:r>
      <w:r>
        <w:rPr>
          <w:rStyle w:val="VerbatimChar"/>
        </w:rPr>
        <w:t xml:space="preserve">#preview-section-snippets</w:t>
      </w:r>
      <w:r>
        <w:t xml:space="preserve"> </w:t>
      </w:r>
      <w:r>
        <w:t xml:space="preserve">div was present but contained no content, indicating these articles were fully paywalled with no public-facing preview.</w:t>
      </w:r>
    </w:p>
    <w:p>
      <w:pPr>
        <w:pStyle w:val="BodyText"/>
      </w:pPr>
      <w:r>
        <w:rPr>
          <w:b/>
          <w:bCs/>
        </w:rPr>
        <w:t xml:space="preserve">Approach 2: Browser-based JavaScript scraping of jmig.org (failed)</w:t>
      </w:r>
    </w:p>
    <w:p>
      <w:pPr>
        <w:pStyle w:val="BodyText"/>
      </w:pPr>
      <w:r>
        <w:t xml:space="preserve">For 2017 specifically (96 abstracts, 1% coverage before recovery), the AAGL congress abstracts are hosted on</w:t>
      </w:r>
      <w:r>
        <w:t xml:space="preserve"> </w:t>
      </w:r>
      <w:r>
        <w:rPr>
          <w:rStyle w:val="VerbatimChar"/>
        </w:rPr>
        <w:t xml:space="preserve">jmig.org</w:t>
      </w:r>
      <w:r>
        <w:t xml:space="preserve">, the official JMIG journal site. The abstract text including Study Objective, Design, and Setting sections is visually rendered in the browser when navigating to article pages directly. A JavaScript scraper (</w:t>
      </w:r>
      <w:r>
        <w:rPr>
          <w:rStyle w:val="VerbatimChar"/>
        </w:rPr>
        <w:t xml:space="preserve">scripts/jmig_2017_scraper.js</w:t>
      </w:r>
      <w:r>
        <w:t xml:space="preserve">) was developed to run inside Chrome DevTools, using the browser’s authenticated session cookies to fetch all 96 abstract pages via</w:t>
      </w:r>
      <w:r>
        <w:t xml:space="preserve"> </w:t>
      </w:r>
      <w:r>
        <w:rPr>
          <w:rStyle w:val="VerbatimChar"/>
        </w:rPr>
        <w:t xml:space="preserve">fetch(url, {credentials: 'include'})</w:t>
      </w:r>
      <w:r>
        <w:t xml:space="preserve">.</w:t>
      </w:r>
    </w:p>
    <w:p>
      <w:pPr>
        <w:pStyle w:val="BodyText"/>
      </w:pPr>
      <w:r>
        <w:t xml:space="preserve">This approach failed because jmig.org article requests are redirected through Elsevier’s single sign-on endpoint (</w:t>
      </w:r>
      <w:r>
        <w:rPr>
          <w:rStyle w:val="VerbatimChar"/>
        </w:rPr>
        <w:t xml:space="preserve">secure.jbs.elsevierhealth.com</w:t>
      </w:r>
      <w:r>
        <w:t xml:space="preserve">). The SSO endpoint does not include</w:t>
      </w:r>
      <w:r>
        <w:t xml:space="preserve"> </w:t>
      </w:r>
      <w:r>
        <w:rPr>
          <w:rStyle w:val="VerbatimChar"/>
        </w:rPr>
        <w:t xml:space="preserve">Access-Control-Allow-Origin</w:t>
      </w:r>
      <w:r>
        <w:t xml:space="preserve"> </w:t>
      </w:r>
      <w:r>
        <w:t xml:space="preserve">response headers, causing the browser’s CORS policy to block all 97 fetch responses. The</w:t>
      </w:r>
      <w:r>
        <w:t xml:space="preserve"> </w:t>
      </w:r>
      <w:r>
        <w:rPr>
          <w:rStyle w:val="VerbatimChar"/>
        </w:rPr>
        <w:t xml:space="preserve">fetch()</w:t>
      </w:r>
      <w:r>
        <w:t xml:space="preserve"> </w:t>
      </w:r>
      <w:r>
        <w:t xml:space="preserve">API cannot bypass CORS even with</w:t>
      </w:r>
      <w:r>
        <w:t xml:space="preserve"> </w:t>
      </w:r>
      <w:r>
        <w:rPr>
          <w:rStyle w:val="VerbatimChar"/>
        </w:rPr>
        <w:t xml:space="preserve">credentials: 'include'</w:t>
      </w:r>
      <w:r>
        <w:t xml:space="preserve"> </w:t>
      </w:r>
      <w:r>
        <w:t xml:space="preserve">when the redirect target is a cross-origin SSO domain. All 97 attempts returned</w:t>
      </w:r>
      <w:r>
        <w:t xml:space="preserve"> </w:t>
      </w:r>
      <w:r>
        <w:t xml:space="preserve">“Failed to fetch.”</w:t>
      </w:r>
      <w:r>
        <w:t xml:space="preserve"> </w:t>
      </w:r>
      <w:r>
        <w:t xml:space="preserve">The downloaded JSON contained 97 entries with</w:t>
      </w:r>
      <w:r>
        <w:t xml:space="preserve"> </w:t>
      </w:r>
      <w:r>
        <w:rPr>
          <w:rStyle w:val="VerbatimChar"/>
        </w:rPr>
        <w:t xml:space="preserve">abstract_text: null</w:t>
      </w:r>
      <w:r>
        <w:t xml:space="preserve">.</w:t>
      </w:r>
    </w:p>
    <w:p>
      <w:pPr>
        <w:pStyle w:val="BodyText"/>
      </w:pPr>
      <w:r>
        <w:t xml:space="preserve">The CORS block is not a server-side authentication failure — the browser can display the abstract pages normally via direct navigation (which does not trigger CORS checks). The restriction is specific to programmatic cross-origin</w:t>
      </w:r>
      <w:r>
        <w:t xml:space="preserve"> </w:t>
      </w:r>
      <w:r>
        <w:rPr>
          <w:rStyle w:val="VerbatimChar"/>
        </w:rPr>
        <w:t xml:space="preserve">fetch()</w:t>
      </w:r>
      <w:r>
        <w:t xml:space="preserve"> </w:t>
      </w:r>
      <w:r>
        <w:t xml:space="preserve">calls initiated from JavaScript.</w:t>
      </w:r>
    </w:p>
    <w:p>
      <w:pPr>
        <w:pStyle w:val="BodyText"/>
      </w:pPr>
      <w:r>
        <w:rPr>
          <w:b/>
          <w:bCs/>
        </w:rPr>
        <w:t xml:space="preserve">Approach 3: Wayback Machine (not available)</w:t>
      </w:r>
    </w:p>
    <w:p>
      <w:pPr>
        <w:pStyle w:val="BodyText"/>
      </w:pPr>
      <w:r>
        <w:t xml:space="preserve">The Internet Archive was queried for cached snapshots of ScienceDirect abstract pages (</w:t>
      </w:r>
      <w:r>
        <w:rPr>
          <w:rStyle w:val="VerbatimChar"/>
        </w:rPr>
        <w:t xml:space="preserve">archive.org/wayback/available?url=sciencedirect.com/science/article/pii/S1553465017304533</w:t>
      </w:r>
      <w:r>
        <w:t xml:space="preserve">). No snapshots were available for any 2017 AAGL abstract page.</w:t>
      </w:r>
    </w:p>
    <w:p>
      <w:pPr>
        <w:pStyle w:val="BodyText"/>
      </w:pPr>
      <w:r>
        <w:rPr>
          <w:b/>
          <w:bCs/>
        </w:rPr>
        <w:t xml:space="preserve">Approach 4: Session-cookie–authenticated server-side scraping (not completed)</w:t>
      </w:r>
    </w:p>
    <w:p>
      <w:pPr>
        <w:pStyle w:val="BodyText"/>
      </w:pPr>
      <w:r>
        <w:t xml:space="preserve">A server-side R scraper using session cookies extracted from Chrome’s DevTools Application panel was designed as a fallback. This approach requires active AAGL/jmig.org authenticated session cookies, which are issued only after login with AAGL membership credentials. The cookies observed in the browser’s cookie store were Google analytics identifiers (</w:t>
      </w:r>
      <w:r>
        <w:rPr>
          <w:rStyle w:val="VerbatimChar"/>
        </w:rPr>
        <w:t xml:space="preserve">__eoi</w:t>
      </w:r>
      <w:r>
        <w:t xml:space="preserve">,</w:t>
      </w:r>
      <w:r>
        <w:t xml:space="preserve"> </w:t>
      </w:r>
      <w:r>
        <w:rPr>
          <w:rStyle w:val="VerbatimChar"/>
        </w:rPr>
        <w:t xml:space="preserve">__gads</w:t>
      </w:r>
      <w:r>
        <w:t xml:space="preserve">) rather than jmig.org session tokens, indicating the user was not authenticated at the time of inspection. This approach was not pursued further.</w:t>
      </w:r>
    </w:p>
    <w:bookmarkEnd w:id="46"/>
    <w:bookmarkStart w:id="47" w:name="a8.3-final-abstract-text-coverage"/>
    <w:p>
      <w:pPr>
        <w:pStyle w:val="Heading3"/>
      </w:pPr>
      <w:r>
        <w:t xml:space="preserve">A8.3 Final Abstract Text Coverage</w:t>
      </w:r>
    </w:p>
    <w:p>
      <w:pPr>
        <w:pStyle w:val="FirstParagraph"/>
      </w:pPr>
      <w:r>
        <w:t xml:space="preserve">The table below is computed from</w:t>
      </w:r>
      <w:r>
        <w:t xml:space="preserve"> </w:t>
      </w:r>
      <w:r>
        <w:rPr>
          <w:rStyle w:val="VerbatimChar"/>
        </w:rPr>
        <w:t xml:space="preserve">data/processed/abstracts_cleaned.csv</w:t>
      </w:r>
      <w:r>
        <w:t xml:space="preserve"> </w:t>
      </w:r>
      <w:r>
        <w:t xml:space="preserve">at</w:t>
      </w:r>
      <w:r>
        <w:t xml:space="preserve"> </w:t>
      </w:r>
      <w:r>
        <w:t xml:space="preserve">render time. A static version previously printed here reported 97 abstracts per</w:t>
      </w:r>
      <w:r>
        <w:t xml:space="preserve"> </w:t>
      </w:r>
      <w:r>
        <w:t xml:space="preserve">congress and 0% coverage for 2017; both were superseded and the static table has</w:t>
      </w:r>
      <w:r>
        <w:t xml:space="preserve"> </w:t>
      </w:r>
      <w:r>
        <w:t xml:space="preserve">been removed rather than maintained in parallel.</w:t>
      </w:r>
    </w:p>
    <w:p>
      <w:pPr>
        <w:pStyle w:val="TableCaption"/>
      </w:pPr>
      <w:r>
        <w:t xml:space="preserve">Abstract text coverage by congress year</w:t>
      </w:r>
    </w:p>
    <w:tbl>
      <w:tblPr>
        <w:tblStyle w:val="Table"/>
        <w:tblW w:type="auto" w:w="0"/>
        <w:tblLook w:firstRow="1" w:lastRow="0" w:firstColumn="0" w:lastColumn="0" w:noHBand="0" w:noVBand="0" w:val="0020"/>
        <w:tblCaption w:val="Abstract text coverage by congress year"/>
      </w:tblPr>
      <w:tblGrid>
        <w:gridCol w:w="1980"/>
        <w:gridCol w:w="1980"/>
        <w:gridCol w:w="1980"/>
        <w:gridCol w:w="1980"/>
      </w:tblGrid>
      <w:tr>
        <w:trPr>
          <w:tblHeader w:val="on"/>
        </w:trPr>
        <w:tc>
          <w:tcPr/>
          <w:p>
            <w:pPr>
              <w:pStyle w:val="Compact"/>
              <w:jc w:val="right"/>
            </w:pPr>
            <w:r>
              <w:t xml:space="preserve">Year</w:t>
            </w:r>
          </w:p>
        </w:tc>
        <w:tc>
          <w:tcPr/>
          <w:p>
            <w:pPr>
              <w:pStyle w:val="Compact"/>
              <w:jc w:val="right"/>
            </w:pPr>
            <w:r>
              <w:t xml:space="preserve">N</w:t>
            </w:r>
          </w:p>
        </w:tc>
        <w:tc>
          <w:tcPr/>
          <w:p>
            <w:pPr>
              <w:pStyle w:val="Compact"/>
              <w:jc w:val="right"/>
            </w:pPr>
            <w:r>
              <w:t xml:space="preserve">Has Text</w:t>
            </w:r>
          </w:p>
        </w:tc>
        <w:tc>
          <w:tcPr/>
          <w:p>
            <w:pPr>
              <w:pStyle w:val="Compact"/>
              <w:jc w:val="left"/>
            </w:pPr>
            <w:r>
              <w:t xml:space="preserve">Coverage</w:t>
            </w:r>
          </w:p>
        </w:tc>
      </w:tr>
      <w:tr>
        <w:tc>
          <w:tcPr/>
          <w:p>
            <w:pPr>
              <w:pStyle w:val="Compact"/>
              <w:jc w:val="right"/>
            </w:pPr>
            <w:r>
              <w:t xml:space="preserve">2012</w:t>
            </w:r>
          </w:p>
        </w:tc>
        <w:tc>
          <w:tcPr/>
          <w:p>
            <w:pPr>
              <w:pStyle w:val="Compact"/>
              <w:jc w:val="right"/>
            </w:pPr>
            <w:r>
              <w:t xml:space="preserve">95</w:t>
            </w:r>
          </w:p>
        </w:tc>
        <w:tc>
          <w:tcPr/>
          <w:p>
            <w:pPr>
              <w:pStyle w:val="Compact"/>
              <w:jc w:val="right"/>
            </w:pPr>
            <w:r>
              <w:t xml:space="preserve">84</w:t>
            </w:r>
          </w:p>
        </w:tc>
        <w:tc>
          <w:tcPr/>
          <w:p>
            <w:pPr>
              <w:pStyle w:val="Compact"/>
              <w:jc w:val="left"/>
            </w:pPr>
            <w:r>
              <w:t xml:space="preserve">88.4%</w:t>
            </w:r>
          </w:p>
        </w:tc>
      </w:tr>
      <w:tr>
        <w:tc>
          <w:tcPr/>
          <w:p>
            <w:pPr>
              <w:pStyle w:val="Compact"/>
              <w:jc w:val="right"/>
            </w:pPr>
            <w:r>
              <w:t xml:space="preserve">2013</w:t>
            </w:r>
          </w:p>
        </w:tc>
        <w:tc>
          <w:tcPr/>
          <w:p>
            <w:pPr>
              <w:pStyle w:val="Compact"/>
              <w:jc w:val="right"/>
            </w:pPr>
            <w:r>
              <w:t xml:space="preserve">96</w:t>
            </w:r>
          </w:p>
        </w:tc>
        <w:tc>
          <w:tcPr/>
          <w:p>
            <w:pPr>
              <w:pStyle w:val="Compact"/>
              <w:jc w:val="right"/>
            </w:pPr>
            <w:r>
              <w:t xml:space="preserve">86</w:t>
            </w:r>
          </w:p>
        </w:tc>
        <w:tc>
          <w:tcPr/>
          <w:p>
            <w:pPr>
              <w:pStyle w:val="Compact"/>
              <w:jc w:val="left"/>
            </w:pPr>
            <w:r>
              <w:t xml:space="preserve">89.6%</w:t>
            </w:r>
          </w:p>
        </w:tc>
      </w:tr>
      <w:tr>
        <w:tc>
          <w:tcPr/>
          <w:p>
            <w:pPr>
              <w:pStyle w:val="Compact"/>
              <w:jc w:val="right"/>
            </w:pPr>
            <w:r>
              <w:t xml:space="preserve">2014</w:t>
            </w:r>
          </w:p>
        </w:tc>
        <w:tc>
          <w:tcPr/>
          <w:p>
            <w:pPr>
              <w:pStyle w:val="Compact"/>
              <w:jc w:val="right"/>
            </w:pPr>
            <w:r>
              <w:t xml:space="preserve">93</w:t>
            </w:r>
          </w:p>
        </w:tc>
        <w:tc>
          <w:tcPr/>
          <w:p>
            <w:pPr>
              <w:pStyle w:val="Compact"/>
              <w:jc w:val="right"/>
            </w:pPr>
            <w:r>
              <w:t xml:space="preserve">55</w:t>
            </w:r>
          </w:p>
        </w:tc>
        <w:tc>
          <w:tcPr/>
          <w:p>
            <w:pPr>
              <w:pStyle w:val="Compact"/>
              <w:jc w:val="left"/>
            </w:pPr>
            <w:r>
              <w:t xml:space="preserve">59.1%</w:t>
            </w:r>
          </w:p>
        </w:tc>
      </w:tr>
      <w:tr>
        <w:tc>
          <w:tcPr/>
          <w:p>
            <w:pPr>
              <w:pStyle w:val="Compact"/>
              <w:jc w:val="right"/>
            </w:pPr>
            <w:r>
              <w:t xml:space="preserve">2015</w:t>
            </w:r>
          </w:p>
        </w:tc>
        <w:tc>
          <w:tcPr/>
          <w:p>
            <w:pPr>
              <w:pStyle w:val="Compact"/>
              <w:jc w:val="right"/>
            </w:pPr>
            <w:r>
              <w:t xml:space="preserve">95</w:t>
            </w:r>
          </w:p>
        </w:tc>
        <w:tc>
          <w:tcPr/>
          <w:p>
            <w:pPr>
              <w:pStyle w:val="Compact"/>
              <w:jc w:val="right"/>
            </w:pPr>
            <w:r>
              <w:t xml:space="preserve">79</w:t>
            </w:r>
          </w:p>
        </w:tc>
        <w:tc>
          <w:tcPr/>
          <w:p>
            <w:pPr>
              <w:pStyle w:val="Compact"/>
              <w:jc w:val="left"/>
            </w:pPr>
            <w:r>
              <w:t xml:space="preserve">83.2%</w:t>
            </w:r>
          </w:p>
        </w:tc>
      </w:tr>
      <w:tr>
        <w:tc>
          <w:tcPr/>
          <w:p>
            <w:pPr>
              <w:pStyle w:val="Compact"/>
              <w:jc w:val="right"/>
            </w:pPr>
            <w:r>
              <w:t xml:space="preserve">2016</w:t>
            </w:r>
          </w:p>
        </w:tc>
        <w:tc>
          <w:tcPr/>
          <w:p>
            <w:pPr>
              <w:pStyle w:val="Compact"/>
              <w:jc w:val="right"/>
            </w:pPr>
            <w:r>
              <w:t xml:space="preserve">96</w:t>
            </w:r>
          </w:p>
        </w:tc>
        <w:tc>
          <w:tcPr/>
          <w:p>
            <w:pPr>
              <w:pStyle w:val="Compact"/>
              <w:jc w:val="right"/>
            </w:pPr>
            <w:r>
              <w:t xml:space="preserve">83</w:t>
            </w:r>
          </w:p>
        </w:tc>
        <w:tc>
          <w:tcPr/>
          <w:p>
            <w:pPr>
              <w:pStyle w:val="Compact"/>
              <w:jc w:val="left"/>
            </w:pPr>
            <w:r>
              <w:t xml:space="preserve">86.5%</w:t>
            </w:r>
          </w:p>
        </w:tc>
      </w:tr>
      <w:tr>
        <w:tc>
          <w:tcPr/>
          <w:p>
            <w:pPr>
              <w:pStyle w:val="Compact"/>
              <w:jc w:val="right"/>
            </w:pPr>
            <w:r>
              <w:t xml:space="preserve">2017</w:t>
            </w:r>
          </w:p>
        </w:tc>
        <w:tc>
          <w:tcPr/>
          <w:p>
            <w:pPr>
              <w:pStyle w:val="Compact"/>
              <w:jc w:val="right"/>
            </w:pPr>
            <w:r>
              <w:t xml:space="preserve">97</w:t>
            </w:r>
          </w:p>
        </w:tc>
        <w:tc>
          <w:tcPr/>
          <w:p>
            <w:pPr>
              <w:pStyle w:val="Compact"/>
              <w:jc w:val="right"/>
            </w:pPr>
            <w:r>
              <w:t xml:space="preserve">0</w:t>
            </w:r>
          </w:p>
        </w:tc>
        <w:tc>
          <w:tcPr/>
          <w:p>
            <w:pPr>
              <w:pStyle w:val="Compact"/>
              <w:jc w:val="left"/>
            </w:pPr>
            <w:r>
              <w:t xml:space="preserve">0%</w:t>
            </w:r>
          </w:p>
        </w:tc>
      </w:tr>
      <w:tr>
        <w:tc>
          <w:tcPr/>
          <w:p>
            <w:pPr>
              <w:pStyle w:val="Compact"/>
              <w:jc w:val="right"/>
            </w:pPr>
            <w:r>
              <w:t xml:space="preserve">2018</w:t>
            </w:r>
          </w:p>
        </w:tc>
        <w:tc>
          <w:tcPr/>
          <w:p>
            <w:pPr>
              <w:pStyle w:val="Compact"/>
              <w:jc w:val="right"/>
            </w:pPr>
            <w:r>
              <w:t xml:space="preserve">95</w:t>
            </w:r>
          </w:p>
        </w:tc>
        <w:tc>
          <w:tcPr/>
          <w:p>
            <w:pPr>
              <w:pStyle w:val="Compact"/>
              <w:jc w:val="right"/>
            </w:pPr>
            <w:r>
              <w:t xml:space="preserve">0</w:t>
            </w:r>
          </w:p>
        </w:tc>
        <w:tc>
          <w:tcPr/>
          <w:p>
            <w:pPr>
              <w:pStyle w:val="Compact"/>
              <w:jc w:val="left"/>
            </w:pPr>
            <w:r>
              <w:t xml:space="preserve">0%</w:t>
            </w:r>
          </w:p>
        </w:tc>
      </w:tr>
      <w:tr>
        <w:tc>
          <w:tcPr/>
          <w:p>
            <w:pPr>
              <w:pStyle w:val="Compact"/>
              <w:jc w:val="right"/>
            </w:pPr>
            <w:r>
              <w:t xml:space="preserve">2019</w:t>
            </w:r>
          </w:p>
        </w:tc>
        <w:tc>
          <w:tcPr/>
          <w:p>
            <w:pPr>
              <w:pStyle w:val="Compact"/>
              <w:jc w:val="right"/>
            </w:pPr>
            <w:r>
              <w:t xml:space="preserve">96</w:t>
            </w:r>
          </w:p>
        </w:tc>
        <w:tc>
          <w:tcPr/>
          <w:p>
            <w:pPr>
              <w:pStyle w:val="Compact"/>
              <w:jc w:val="right"/>
            </w:pPr>
            <w:r>
              <w:t xml:space="preserve">96</w:t>
            </w:r>
          </w:p>
        </w:tc>
        <w:tc>
          <w:tcPr/>
          <w:p>
            <w:pPr>
              <w:pStyle w:val="Compact"/>
              <w:jc w:val="left"/>
            </w:pPr>
            <w:r>
              <w:t xml:space="preserve">100%</w:t>
            </w:r>
          </w:p>
        </w:tc>
      </w:tr>
      <w:tr>
        <w:tc>
          <w:tcPr/>
          <w:p>
            <w:pPr>
              <w:pStyle w:val="Compact"/>
              <w:jc w:val="right"/>
            </w:pPr>
            <w:r>
              <w:t xml:space="preserve">2020</w:t>
            </w:r>
          </w:p>
        </w:tc>
        <w:tc>
          <w:tcPr/>
          <w:p>
            <w:pPr>
              <w:pStyle w:val="Compact"/>
              <w:jc w:val="right"/>
            </w:pPr>
            <w:r>
              <w:t xml:space="preserve">95</w:t>
            </w:r>
          </w:p>
        </w:tc>
        <w:tc>
          <w:tcPr/>
          <w:p>
            <w:pPr>
              <w:pStyle w:val="Compact"/>
              <w:jc w:val="right"/>
            </w:pPr>
            <w:r>
              <w:t xml:space="preserve">95</w:t>
            </w:r>
          </w:p>
        </w:tc>
        <w:tc>
          <w:tcPr/>
          <w:p>
            <w:pPr>
              <w:pStyle w:val="Compact"/>
              <w:jc w:val="left"/>
            </w:pPr>
            <w:r>
              <w:t xml:space="preserve">100%</w:t>
            </w:r>
          </w:p>
        </w:tc>
      </w:tr>
      <w:tr>
        <w:tc>
          <w:tcPr/>
          <w:p>
            <w:pPr>
              <w:pStyle w:val="Compact"/>
              <w:jc w:val="right"/>
            </w:pPr>
            <w:r>
              <w:t xml:space="preserve">2021</w:t>
            </w:r>
          </w:p>
        </w:tc>
        <w:tc>
          <w:tcPr/>
          <w:p>
            <w:pPr>
              <w:pStyle w:val="Compact"/>
              <w:jc w:val="right"/>
            </w:pPr>
            <w:r>
              <w:t xml:space="preserve">98</w:t>
            </w:r>
          </w:p>
        </w:tc>
        <w:tc>
          <w:tcPr/>
          <w:p>
            <w:pPr>
              <w:pStyle w:val="Compact"/>
              <w:jc w:val="right"/>
            </w:pPr>
            <w:r>
              <w:t xml:space="preserve">98</w:t>
            </w:r>
          </w:p>
        </w:tc>
        <w:tc>
          <w:tcPr/>
          <w:p>
            <w:pPr>
              <w:pStyle w:val="Compact"/>
              <w:jc w:val="left"/>
            </w:pPr>
            <w:r>
              <w:t xml:space="preserve">100%</w:t>
            </w:r>
          </w:p>
        </w:tc>
      </w:tr>
      <w:tr>
        <w:tc>
          <w:tcPr/>
          <w:p>
            <w:pPr>
              <w:pStyle w:val="Compact"/>
              <w:jc w:val="right"/>
            </w:pPr>
            <w:r>
              <w:t xml:space="preserve">2022</w:t>
            </w:r>
          </w:p>
        </w:tc>
        <w:tc>
          <w:tcPr/>
          <w:p>
            <w:pPr>
              <w:pStyle w:val="Compact"/>
              <w:jc w:val="right"/>
            </w:pPr>
            <w:r>
              <w:t xml:space="preserve">90</w:t>
            </w:r>
          </w:p>
        </w:tc>
        <w:tc>
          <w:tcPr/>
          <w:p>
            <w:pPr>
              <w:pStyle w:val="Compact"/>
              <w:jc w:val="right"/>
            </w:pPr>
            <w:r>
              <w:t xml:space="preserve">90</w:t>
            </w:r>
          </w:p>
        </w:tc>
        <w:tc>
          <w:tcPr/>
          <w:p>
            <w:pPr>
              <w:pStyle w:val="Compact"/>
              <w:jc w:val="left"/>
            </w:pPr>
            <w:r>
              <w:t xml:space="preserve">100%</w:t>
            </w:r>
          </w:p>
        </w:tc>
      </w:tr>
      <w:tr>
        <w:tc>
          <w:tcPr/>
          <w:p>
            <w:pPr>
              <w:pStyle w:val="Compact"/>
              <w:jc w:val="right"/>
            </w:pPr>
            <w:r>
              <w:t xml:space="preserve">2023</w:t>
            </w:r>
          </w:p>
        </w:tc>
        <w:tc>
          <w:tcPr/>
          <w:p>
            <w:pPr>
              <w:pStyle w:val="Compact"/>
              <w:jc w:val="right"/>
            </w:pPr>
            <w:r>
              <w:t xml:space="preserve">60</w:t>
            </w:r>
          </w:p>
        </w:tc>
        <w:tc>
          <w:tcPr/>
          <w:p>
            <w:pPr>
              <w:pStyle w:val="Compact"/>
              <w:jc w:val="right"/>
            </w:pPr>
            <w:r>
              <w:t xml:space="preserve">60</w:t>
            </w:r>
          </w:p>
        </w:tc>
        <w:tc>
          <w:tcPr/>
          <w:p>
            <w:pPr>
              <w:pStyle w:val="Compact"/>
              <w:jc w:val="left"/>
            </w:pPr>
            <w:r>
              <w:t xml:space="preserve">100%</w:t>
            </w:r>
          </w:p>
        </w:tc>
      </w:tr>
    </w:tbl>
    <w:bookmarkEnd w:id="47"/>
    <w:bookmarkStart w:id="48" w:name="a8.4-impact-on-matching-algorithm"/>
    <w:p>
      <w:pPr>
        <w:pStyle w:val="Heading3"/>
      </w:pPr>
      <w:r>
        <w:t xml:space="preserve">A8.4 Impact on Matching Algorithm</w:t>
      </w:r>
    </w:p>
    <w:p>
      <w:pPr>
        <w:pStyle w:val="FirstParagraph"/>
      </w:pPr>
      <w:r>
        <w:t xml:space="preserve">For abstracts lacking text, the matching algorithm operated in title-and-author–only mode: the abstract semantic similarity component contributed 0 points, and the no-text penalty (−2 points) was applied when neither title nor abstract similarity exceeded threshold. This reduced the maximum achievable composite score from 14 to 10 points for 2012–2018 abstracts and required lower effective thresholds for definite and probable classification. The 2017 year (1 of 97 abstracts with text) is therefore expected to show lower classification confidence and a higher proportion of probable/possible classifications relative to other years; it has the lowest mean composite score (2.62) and the lowest publication rate (5.6%) of any congress.</w:t>
      </w:r>
    </w:p>
    <w:p>
      <w:pPr>
        <w:pStyle w:val="BodyText"/>
      </w:pPr>
      <w:r>
        <w:t xml:space="preserve">A second consequence was not recognised at the time and is more serious.</w:t>
      </w:r>
      <w:r>
        <w:t xml:space="preserve"> </w:t>
      </w:r>
      <w:r>
        <w:rPr>
          <w:rStyle w:val="VerbatimChar"/>
        </w:rPr>
        <w:t xml:space="preserve">R/02_clean_abstracts.R</w:t>
      </w:r>
      <w:r>
        <w:t xml:space="preserve"> </w:t>
      </w:r>
      <w:r>
        <w:t xml:space="preserve">derives every text-based predictor</w:t>
      </w:r>
      <w:r>
        <w:t xml:space="preserve"> </w:t>
      </w:r>
      <w:r>
        <w:rPr>
          <w:i/>
          <w:iCs/>
        </w:rPr>
        <w:t xml:space="preserve">before</w:t>
      </w:r>
      <w:r>
        <w:t xml:space="preserve"> </w:t>
      </w:r>
      <w:r>
        <w:t xml:space="preserve">the recovery steps in A8.2 run, and never recomputes them, so the recovered text improved matching but not variable extraction. The resulting step change at 2018/2019 in</w:t>
      </w:r>
      <w:r>
        <w:t xml:space="preserve"> </w:t>
      </w:r>
      <w:r>
        <w:rPr>
          <w:rStyle w:val="VerbatimChar"/>
        </w:rPr>
        <w:t xml:space="preserve">is_us_based</w:t>
      </w:r>
      <w:r>
        <w:t xml:space="preserve">,</w:t>
      </w:r>
      <w:r>
        <w:t xml:space="preserve"> </w:t>
      </w:r>
      <w:r>
        <w:rPr>
          <w:rStyle w:val="VerbatimChar"/>
        </w:rPr>
        <w:t xml:space="preserve">is_academic</w:t>
      </w:r>
      <w:r>
        <w:t xml:space="preserve">,</w:t>
      </w:r>
      <w:r>
        <w:t xml:space="preserve"> </w:t>
      </w:r>
      <w:r>
        <w:rPr>
          <w:rStyle w:val="VerbatimChar"/>
        </w:rPr>
        <w:t xml:space="preserve">sample_size</w:t>
      </w:r>
      <w:r>
        <w:t xml:space="preserve">,</w:t>
      </w:r>
      <w:r>
        <w:t xml:space="preserve"> </w:t>
      </w:r>
      <w:r>
        <w:rPr>
          <w:rStyle w:val="VerbatimChar"/>
        </w:rPr>
        <w:t xml:space="preserve">study_design</w:t>
      </w:r>
      <w:r>
        <w:t xml:space="preserve"> </w:t>
      </w:r>
      <w:r>
        <w:t xml:space="preserve">and</w:t>
      </w:r>
      <w:r>
        <w:t xml:space="preserve"> </w:t>
      </w:r>
      <w:r>
        <w:rPr>
          <w:rStyle w:val="VerbatimChar"/>
        </w:rPr>
        <w:t xml:space="preserve">has_numeric_results</w:t>
      </w:r>
      <w:r>
        <w:t xml:space="preserve"> </w:t>
      </w:r>
      <w:r>
        <w:t xml:space="preserve">is documented as F3 in</w:t>
      </w:r>
      <w:r>
        <w:t xml:space="preserve"> </w:t>
      </w:r>
      <w:r>
        <w:rPr>
          <w:rStyle w:val="VerbatimChar"/>
        </w:rPr>
        <w:t xml:space="preserve">docs/FAILURE_MODES.md</w:t>
      </w:r>
      <w:r>
        <w:t xml:space="preserve"> </w:t>
      </w:r>
      <w:r>
        <w:t xml:space="preserve">and affects every coefficient in the Cox and logistic models.</w:t>
      </w:r>
    </w:p>
    <w:bookmarkEnd w:id="48"/>
    <w:bookmarkStart w:id="49" w:name="X7ee2d09a8d90a58ddd6764d4580c92a2c41651b"/>
    <w:p>
      <w:pPr>
        <w:pStyle w:val="Heading3"/>
      </w:pPr>
      <w:r>
        <w:t xml:space="preserve">A8.5 Recommended Path for Future Recovery</w:t>
      </w:r>
    </w:p>
    <w:p>
      <w:pPr>
        <w:pStyle w:val="FirstParagraph"/>
      </w:pPr>
      <w:r>
        <w:t xml:space="preserve">The most efficient recovery path for 2017 abstract text is downloading the JMIG Volume 24, Issue 7 Supplement S1 PDF from ScienceDirect using institutional library credentials (the supplement is a single PDF file containing all 96 AAGL 2017 congress abstracts). The</w:t>
      </w:r>
      <w:r>
        <w:t xml:space="preserve"> </w:t>
      </w:r>
      <w:r>
        <w:rPr>
          <w:rStyle w:val="VerbatimChar"/>
        </w:rPr>
        <w:t xml:space="preserve">pdftools</w:t>
      </w:r>
      <w:r>
        <w:t xml:space="preserve"> </w:t>
      </w:r>
      <w:r>
        <w:t xml:space="preserve">R package can extract structured text from this PDF; section headings (Study Objective, Design, Setting, etc.) provide reliable delimiters for splitting individual abstracts. This task was deferred pending library access.</w:t>
      </w:r>
    </w:p>
    <w:p>
      <w:r>
        <w:pict>
          <v:rect style="width:0;height:1.5pt" o:hralign="center" o:hrstd="t" o:hr="t"/>
        </w:pict>
      </w:r>
    </w:p>
    <w:bookmarkEnd w:id="49"/>
    <w:bookmarkEnd w:id="50"/>
    <w:bookmarkStart w:id="54" w:name="a9.-reproducibility"/>
    <w:p>
      <w:pPr>
        <w:pStyle w:val="Heading2"/>
      </w:pPr>
      <w:r>
        <w:t xml:space="preserve">A9. Reproducibility</w:t>
      </w:r>
    </w:p>
    <w:p>
      <w:pPr>
        <w:pStyle w:val="FirstParagraph"/>
      </w:pPr>
      <w:r>
        <w:t xml:space="preserve">The complete pipeline can be reproduced by executing</w:t>
      </w:r>
      <w:r>
        <w:t xml:space="preserve"> </w:t>
      </w:r>
      <w:r>
        <w:rPr>
          <w:rStyle w:val="VerbatimChar"/>
        </w:rPr>
        <w:t xml:space="preserve">Rscript 00_run_all.R</w:t>
      </w:r>
      <w:r>
        <w:t xml:space="preserve"> </w:t>
      </w:r>
      <w:r>
        <w:t xml:space="preserve">from the repository root. The pipeline uses seed-based randomization (set.seed(42)) for reproducible sampling operations. All API responses are cached to disk; a full re-run with populated caches completes in approximately 30 minutes (compared to 3-4 hours for a cold run).</w:t>
      </w:r>
    </w:p>
    <w:bookmarkStart w:id="51" w:name="a9.1-testing"/>
    <w:p>
      <w:pPr>
        <w:pStyle w:val="Heading3"/>
      </w:pPr>
      <w:r>
        <w:t xml:space="preserve">A9.1 Testing</w:t>
      </w:r>
    </w:p>
    <w:p>
      <w:pPr>
        <w:pStyle w:val="FirstParagraph"/>
      </w:pPr>
      <w:r>
        <w:t xml:space="preserve">The codebase includes 391 automated tests across 12 test files:</w:t>
      </w:r>
    </w:p>
    <w:p>
      <w:pPr>
        <w:pStyle w:val="Compact"/>
        <w:numPr>
          <w:ilvl w:val="0"/>
          <w:numId w:val="1004"/>
        </w:numPr>
      </w:pPr>
      <w:r>
        <w:rPr>
          <w:b/>
          <w:bCs/>
        </w:rPr>
        <w:t xml:space="preserve">Unit tests</w:t>
      </w:r>
      <w:r>
        <w:t xml:space="preserve"> </w:t>
      </w:r>
      <w:r>
        <w:t xml:space="preserve">(8 files): Text normalization, author parsing, Jaccard/cosine similarity, ACOG district mapping, US state parsing, publication type canonicalization, result positivity classification, practice type and subspecialty classification, study design and research category classification</w:t>
      </w:r>
    </w:p>
    <w:p>
      <w:pPr>
        <w:pStyle w:val="Compact"/>
        <w:numPr>
          <w:ilvl w:val="0"/>
          <w:numId w:val="1004"/>
        </w:numPr>
      </w:pPr>
      <w:r>
        <w:rPr>
          <w:b/>
          <w:bCs/>
        </w:rPr>
        <w:t xml:space="preserve">Semantic tests</w:t>
      </w:r>
      <w:r>
        <w:t xml:space="preserve"> </w:t>
      </w:r>
      <w:r>
        <w:t xml:space="preserve">(1 file): Pipeline output plausibility checks against Cochrane MR000005 benchmarks, including publication rate bounds, time-to-publication bounds, classification vocabulary validation, cross-file consistency, predictor coverage thresholds, and Cox PH model validity</w:t>
      </w:r>
    </w:p>
    <w:p>
      <w:pPr>
        <w:pStyle w:val="Compact"/>
        <w:numPr>
          <w:ilvl w:val="0"/>
          <w:numId w:val="1004"/>
        </w:numPr>
      </w:pPr>
      <w:r>
        <w:rPr>
          <w:b/>
          <w:bCs/>
        </w:rPr>
        <w:t xml:space="preserve">Integration tests</w:t>
      </w:r>
      <w:r>
        <w:t xml:space="preserve"> </w:t>
      </w:r>
      <w:r>
        <w:t xml:space="preserve">(3 files): Shiny app data integrity, Google Sheets schema consistency, bundle synchronization</w:t>
      </w:r>
    </w:p>
    <w:bookmarkEnd w:id="51"/>
    <w:bookmarkStart w:id="52" w:name="a9.2-data-dictionary"/>
    <w:p>
      <w:pPr>
        <w:pStyle w:val="Heading3"/>
      </w:pPr>
      <w:r>
        <w:t xml:space="preserve">A9.2 Data Dictionary</w:t>
      </w:r>
    </w:p>
    <w:p>
      <w:pPr>
        <w:pStyle w:val="FirstParagraph"/>
      </w:pPr>
      <w:r>
        <w:t xml:space="preserve">The primary output file (</w:t>
      </w:r>
      <w:r>
        <w:rPr>
          <w:rStyle w:val="VerbatimChar"/>
        </w:rPr>
        <w:t xml:space="preserve">output/abstracts_with_matches.csv</w:t>
      </w:r>
      <w:r>
        <w:t xml:space="preserve">) contains 88 columns per abstract:</w:t>
      </w:r>
    </w:p>
    <w:tbl>
      <w:tblPr>
        <w:tblStyle w:val="Table"/>
        <w:tblW w:type="pct" w:w="5000"/>
        <w:tblLayout w:type="fixed"/>
        <w:tblLook w:firstRow="1" w:lastRow="0" w:firstColumn="0" w:lastColumn="0" w:noHBand="0" w:noVBand="0" w:val="0020"/>
      </w:tblPr>
      <w:tblGrid>
        <w:gridCol w:w="3217"/>
        <w:gridCol w:w="2722"/>
        <w:gridCol w:w="1980"/>
      </w:tblGrid>
      <w:tr>
        <w:trPr>
          <w:tblHeader w:val="on"/>
        </w:trPr>
        <w:tc>
          <w:tcPr/>
          <w:p>
            <w:pPr>
              <w:pStyle w:val="Compact"/>
            </w:pPr>
            <w:r>
              <w:t xml:space="preserve">Column Group</w:t>
            </w:r>
          </w:p>
        </w:tc>
        <w:tc>
          <w:tcPr/>
          <w:p>
            <w:pPr>
              <w:pStyle w:val="Compact"/>
            </w:pPr>
            <w:r>
              <w:t xml:space="preserve">Variables</w:t>
            </w:r>
          </w:p>
        </w:tc>
        <w:tc>
          <w:tcPr/>
          <w:p>
            <w:pPr>
              <w:pStyle w:val="Compact"/>
            </w:pPr>
            <w:r>
              <w:t xml:space="preserve">Source</w:t>
            </w:r>
          </w:p>
        </w:tc>
      </w:tr>
      <w:tr>
        <w:tc>
          <w:tcPr/>
          <w:p>
            <w:pPr>
              <w:pStyle w:val="Compact"/>
            </w:pPr>
            <w:r>
              <w:t xml:space="preserve">Identifiers</w:t>
            </w:r>
          </w:p>
        </w:tc>
        <w:tc>
          <w:tcPr/>
          <w:p>
            <w:pPr>
              <w:pStyle w:val="Compact"/>
            </w:pPr>
            <w:r>
              <w:t xml:space="preserve">abstract_id, congress_year, title</w:t>
            </w:r>
          </w:p>
        </w:tc>
        <w:tc>
          <w:tcPr/>
          <w:p>
            <w:pPr>
              <w:pStyle w:val="Compact"/>
            </w:pPr>
            <w:r>
              <w:t xml:space="preserve">ScienceDirect</w:t>
            </w:r>
          </w:p>
        </w:tc>
      </w:tr>
      <w:tr>
        <w:tc>
          <w:tcPr/>
          <w:p>
            <w:pPr>
              <w:pStyle w:val="Compact"/>
            </w:pPr>
            <w:r>
              <w:t xml:space="preserve">Authors</w:t>
            </w:r>
          </w:p>
        </w:tc>
        <w:tc>
          <w:tcPr/>
          <w:p>
            <w:pPr>
              <w:pStyle w:val="Compact"/>
            </w:pPr>
            <w:r>
              <w:t xml:space="preserve">first/last_author_normalized, author_count</w:t>
            </w:r>
          </w:p>
        </w:tc>
        <w:tc>
          <w:tcPr/>
          <w:p>
            <w:pPr>
              <w:pStyle w:val="Compact"/>
            </w:pPr>
            <w:r>
              <w:t xml:space="preserve">ScienceDirect + PubMed</w:t>
            </w:r>
          </w:p>
        </w:tc>
      </w:tr>
      <w:tr>
        <w:tc>
          <w:tcPr/>
          <w:p>
            <w:pPr>
              <w:pStyle w:val="Compact"/>
            </w:pPr>
            <w:r>
              <w:t xml:space="preserve">Study characteristics</w:t>
            </w:r>
          </w:p>
        </w:tc>
        <w:tc>
          <w:tcPr/>
          <w:p>
            <w:pPr>
              <w:pStyle w:val="Compact"/>
            </w:pPr>
            <w:r>
              <w:t xml:space="preserve">is_rct, sample_size, study_design, research_category, primary_procedure</w:t>
            </w:r>
          </w:p>
        </w:tc>
        <w:tc>
          <w:tcPr/>
          <w:p>
            <w:pPr>
              <w:pStyle w:val="Compact"/>
            </w:pPr>
            <w:r>
              <w:t xml:space="preserve">NLP extraction</w:t>
            </w:r>
          </w:p>
        </w:tc>
      </w:tr>
      <w:tr>
        <w:tc>
          <w:tcPr/>
          <w:p>
            <w:pPr>
              <w:pStyle w:val="Compact"/>
            </w:pPr>
            <w:r>
              <w:t xml:space="preserve">Presentation</w:t>
            </w:r>
          </w:p>
        </w:tc>
        <w:tc>
          <w:tcPr/>
          <w:p>
            <w:pPr>
              <w:pStyle w:val="Compact"/>
            </w:pPr>
            <w:r>
              <w:t xml:space="preserve">session_type</w:t>
            </w:r>
          </w:p>
        </w:tc>
        <w:tc>
          <w:tcPr/>
          <w:p>
            <w:pPr>
              <w:pStyle w:val="Compact"/>
            </w:pPr>
            <w:r>
              <w:t xml:space="preserve">JMIG TOC</w:t>
            </w:r>
          </w:p>
        </w:tc>
      </w:tr>
      <w:tr>
        <w:tc>
          <w:tcPr/>
          <w:p>
            <w:pPr>
              <w:pStyle w:val="Compact"/>
            </w:pPr>
            <w:r>
              <w:t xml:space="preserve">Cochrane variables</w:t>
            </w:r>
          </w:p>
        </w:tc>
        <w:tc>
          <w:tcPr/>
          <w:p>
            <w:pPr>
              <w:pStyle w:val="Compact"/>
            </w:pPr>
            <w:r>
              <w:t xml:space="preserve">is_multicenter, has_funding, stat_sig_reported, has_numeric_results, is_database_study, has_industry, has_trial_registration, has_irb_statement, result_positivity</w:t>
            </w:r>
          </w:p>
        </w:tc>
        <w:tc>
          <w:tcPr/>
          <w:p>
            <w:pPr>
              <w:pStyle w:val="Compact"/>
            </w:pPr>
            <w:r>
              <w:t xml:space="preserve">NLP extraction</w:t>
            </w:r>
          </w:p>
        </w:tc>
      </w:tr>
      <w:tr>
        <w:tc>
          <w:tcPr/>
          <w:p>
            <w:pPr>
              <w:pStyle w:val="Compact"/>
            </w:pPr>
            <w:r>
              <w:t xml:space="preserve">Matching</w:t>
            </w:r>
          </w:p>
        </w:tc>
        <w:tc>
          <w:tcPr/>
          <w:p>
            <w:pPr>
              <w:pStyle w:val="Compact"/>
            </w:pPr>
            <w:r>
              <w:t xml:space="preserve">best_pmid, best_score, classification, has_tie, n_candidates, 10 score components</w:t>
            </w:r>
          </w:p>
        </w:tc>
        <w:tc>
          <w:tcPr/>
          <w:p>
            <w:pPr>
              <w:pStyle w:val="Compact"/>
            </w:pPr>
            <w:r>
              <w:t xml:space="preserve">Pipeline scoring</w:t>
            </w:r>
          </w:p>
        </w:tc>
      </w:tr>
      <w:tr>
        <w:tc>
          <w:tcPr/>
          <w:p>
            <w:pPr>
              <w:pStyle w:val="Compact"/>
            </w:pPr>
            <w:r>
              <w:t xml:space="preserve">Publication</w:t>
            </w:r>
          </w:p>
        </w:tc>
        <w:tc>
          <w:tcPr/>
          <w:p>
            <w:pPr>
              <w:pStyle w:val="Compact"/>
            </w:pPr>
            <w:r>
              <w:t xml:space="preserve">pub_title, pub_journal, pub_year, pub_doi, pub_first_author, months_to_pub, pub_type_canonical</w:t>
            </w:r>
          </w:p>
        </w:tc>
        <w:tc>
          <w:tcPr/>
          <w:p>
            <w:pPr>
              <w:pStyle w:val="Compact"/>
            </w:pPr>
            <w:r>
              <w:t xml:space="preserve">PubMed</w:t>
            </w:r>
          </w:p>
        </w:tc>
      </w:tr>
      <w:tr>
        <w:tc>
          <w:tcPr/>
          <w:p>
            <w:pPr>
              <w:pStyle w:val="Compact"/>
            </w:pPr>
            <w:r>
              <w:t xml:space="preserve">Author demographics</w:t>
            </w:r>
          </w:p>
        </w:tc>
        <w:tc>
          <w:tcPr/>
          <w:p>
            <w:pPr>
              <w:pStyle w:val="Compact"/>
            </w:pPr>
            <w:r>
              <w:t xml:space="preserve">gender_unified, first_author_state, first_author_acog_district, practice_type, subspecialty, career_stage, n_unique_affiliations</w:t>
            </w:r>
          </w:p>
        </w:tc>
        <w:tc>
          <w:tcPr/>
          <w:p>
            <w:pPr>
              <w:pStyle w:val="Compact"/>
            </w:pPr>
            <w:r>
              <w:t xml:space="preserve">PubMed XML + SSA + ACGME</w:t>
            </w:r>
          </w:p>
        </w:tc>
      </w:tr>
    </w:tbl>
    <w:bookmarkEnd w:id="52"/>
    <w:bookmarkStart w:id="53" w:name="a9.3-stress-testing"/>
    <w:p>
      <w:pPr>
        <w:pStyle w:val="Heading3"/>
      </w:pPr>
      <w:r>
        <w:t xml:space="preserve">A9.3 Stress Testing</w:t>
      </w:r>
    </w:p>
    <w:p>
      <w:pPr>
        <w:pStyle w:val="FirstParagraph"/>
      </w:pPr>
      <w:r>
        <w:t xml:space="preserve">The deployed Shiny application was stress-tested under simulated load:</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Test</w:t>
            </w:r>
          </w:p>
        </w:tc>
        <w:tc>
          <w:tcPr/>
          <w:p>
            <w:pPr>
              <w:pStyle w:val="Compact"/>
            </w:pPr>
            <w:r>
              <w:t xml:space="preserve">Result</w:t>
            </w:r>
          </w:p>
        </w:tc>
      </w:tr>
      <w:tr>
        <w:tc>
          <w:tcPr/>
          <w:p>
            <w:pPr>
              <w:pStyle w:val="Compact"/>
            </w:pPr>
            <w:r>
              <w:t xml:space="preserve">Single request</w:t>
            </w:r>
          </w:p>
        </w:tc>
        <w:tc>
          <w:tcPr/>
          <w:p>
            <w:pPr>
              <w:pStyle w:val="Compact"/>
            </w:pPr>
            <w:r>
              <w:t xml:space="preserve">200 OK, 500-650ms response</w:t>
            </w:r>
          </w:p>
        </w:tc>
      </w:tr>
      <w:tr>
        <w:tc>
          <w:tcPr/>
          <w:p>
            <w:pPr>
              <w:pStyle w:val="Compact"/>
            </w:pPr>
            <w:r>
              <w:t xml:space="preserve">10 concurrent requests</w:t>
            </w:r>
          </w:p>
        </w:tc>
        <w:tc>
          <w:tcPr/>
          <w:p>
            <w:pPr>
              <w:pStyle w:val="Compact"/>
            </w:pPr>
            <w:r>
              <w:t xml:space="preserve">10/10 success, 0.6-2.7s</w:t>
            </w:r>
          </w:p>
        </w:tc>
      </w:tr>
      <w:tr>
        <w:tc>
          <w:tcPr/>
          <w:p>
            <w:pPr>
              <w:pStyle w:val="Compact"/>
            </w:pPr>
            <w:r>
              <w:t xml:space="preserve">20 concurrent requests</w:t>
            </w:r>
          </w:p>
        </w:tc>
        <w:tc>
          <w:tcPr/>
          <w:p>
            <w:pPr>
              <w:pStyle w:val="Compact"/>
            </w:pPr>
            <w:r>
              <w:t xml:space="preserve">17/20 success, 3 x 503 (platform connection limit)</w:t>
            </w:r>
          </w:p>
        </w:tc>
      </w:tr>
      <w:tr>
        <w:tc>
          <w:tcPr/>
          <w:p>
            <w:pPr>
              <w:pStyle w:val="Compact"/>
            </w:pPr>
            <w:r>
              <w:t xml:space="preserve">50 sequential requests</w:t>
            </w:r>
          </w:p>
        </w:tc>
        <w:tc>
          <w:tcPr/>
          <w:p>
            <w:pPr>
              <w:pStyle w:val="Compact"/>
            </w:pPr>
            <w:r>
              <w:t xml:space="preserve">50/50 success, 0 errors</w:t>
            </w:r>
          </w:p>
        </w:tc>
      </w:tr>
      <w:tr>
        <w:tc>
          <w:tcPr/>
          <w:p>
            <w:pPr>
              <w:pStyle w:val="Compact"/>
            </w:pPr>
            <w:r>
              <w:t xml:space="preserve">Sustained rapid switching</w:t>
            </w:r>
          </w:p>
        </w:tc>
        <w:tc>
          <w:tcPr/>
          <w:p>
            <w:pPr>
              <w:pStyle w:val="Compact"/>
            </w:pPr>
            <w:r>
              <w:t xml:space="preserve">30/30 success</w:t>
            </w:r>
          </w:p>
        </w:tc>
      </w:tr>
    </w:tbl>
    <w:p>
      <w:pPr>
        <w:pStyle w:val="BodyText"/>
      </w:pPr>
      <w:r>
        <w:t xml:space="preserve">The application supports 2-3 concurrent reviewers without degradation. The 503 responses under 20-concurrent load reflect the shinyapps.io single-worker instance limit, not an application defect.</w:t>
      </w:r>
    </w:p>
    <w:bookmarkEnd w:id="53"/>
    <w:bookmarkEnd w:id="54"/>
    <w:bookmarkStart w:id="70" w:name="a10.-npi-identity-resolution"/>
    <w:p>
      <w:pPr>
        <w:pStyle w:val="Heading2"/>
      </w:pPr>
      <w:r>
        <w:t xml:space="preserve">A10. NPI Identity Resolution</w:t>
      </w:r>
    </w:p>
    <w:bookmarkStart w:id="55" w:name="a10.1-overview"/>
    <w:p>
      <w:pPr>
        <w:pStyle w:val="Heading3"/>
      </w:pPr>
      <w:r>
        <w:t xml:space="preserve">A10.1 Overview</w:t>
      </w:r>
    </w:p>
    <w:p>
      <w:pPr>
        <w:pStyle w:val="FirstParagraph"/>
      </w:pPr>
      <w:r>
        <w:t xml:space="preserve">To obtain physician-level demographics independent of the abstract-to-publication matching pipeline, first authors with US-based affiliations were linked to National Provider Identifiers (NPIs) using a probabilistic identity resolution approach. This linkage provides NPI-verified gender, practice state, and subspecialty certification for each matched author, bypassing the limitation that PubMed-derived demographics are only available for confirmed publication matches.</w:t>
      </w:r>
    </w:p>
    <w:bookmarkEnd w:id="55"/>
    <w:bookmarkStart w:id="56" w:name="a10.2-candidate-pool"/>
    <w:p>
      <w:pPr>
        <w:pStyle w:val="Heading3"/>
      </w:pPr>
      <w:r>
        <w:t xml:space="preserve">A10.2 Candidate Pool</w:t>
      </w:r>
    </w:p>
    <w:p>
      <w:pPr>
        <w:pStyle w:val="FirstParagraph"/>
      </w:pPr>
      <w:r>
        <w:t xml:space="preserve">Rather than searching the full NPPES registry (2.1 million providers, 213,000 with OB/GYN taxonomy codes), candidates were drawn from the isochrones project’s canonical ABOG-NPI dataset: 60,846 board-certified obstetrician-gynecologists with validated NPI linkages, full names, practice states, gender, and ABOG subspecialty certifications (Generalist, MIG [minimally invasive gynecology], Female Pelvic Medicine &amp; Reconstructive Surgery, Gynecologic Oncology, Maternal-Fetal Medicine, Reproductive Endocrinology and Infertility, Complex Family Planning, and others). This smaller, more relevant pool dramatically reduced name collisions compared to raw NPPES queries.</w:t>
      </w:r>
    </w:p>
    <w:bookmarkEnd w:id="56"/>
    <w:bookmarkStart w:id="57" w:name="a10.3-name-parsing"/>
    <w:p>
      <w:pPr>
        <w:pStyle w:val="Heading3"/>
      </w:pPr>
      <w:r>
        <w:t xml:space="preserve">A10.3 Name Parsing</w:t>
      </w:r>
    </w:p>
    <w:p>
      <w:pPr>
        <w:pStyle w:val="FirstParagraph"/>
      </w:pPr>
      <w:r>
        <w:t xml:space="preserve">Author names from the AAGL abstract listings (e.g.,</w:t>
      </w:r>
      <w:r>
        <w:t xml:space="preserve"> </w:t>
      </w:r>
      <w:r>
        <w:t xml:space="preserve">“R.S. Guido”</w:t>
      </w:r>
      <w:r>
        <w:t xml:space="preserve">,</w:t>
      </w:r>
      <w:r>
        <w:t xml:space="preserve"> </w:t>
      </w:r>
      <w:r>
        <w:t xml:space="preserve">“E. Chapman-Davis”</w:t>
      </w:r>
      <w:r>
        <w:t xml:space="preserve">,</w:t>
      </w:r>
      <w:r>
        <w:t xml:space="preserve"> </w:t>
      </w:r>
      <w:r>
        <w:t xml:space="preserve">“J.P.M. Penninx”</w:t>
      </w:r>
      <w:r>
        <w:t xml:space="preserve">) were parsed using the</w:t>
      </w:r>
      <w:r>
        <w:t xml:space="preserve"> </w:t>
      </w:r>
      <w:r>
        <w:rPr>
          <w:rStyle w:val="VerbatimChar"/>
        </w:rPr>
        <w:t xml:space="preserve">humaniformat</w:t>
      </w:r>
      <w:r>
        <w:t xml:space="preserve"> </w:t>
      </w:r>
      <w:r>
        <w:t xml:space="preserve">R package, which correctly handles compound surnames (El Hachem, Chapman-Davis, St. Louis), multi-initial first names, and suffixes. A fallback to regex-based normalization was applied for edge cases. For the 129 confirmed-match abstracts where the PubMed first author’s last name matched the AAGL first author’s last name, the full PubMed first name was used instead of the initial.</w:t>
      </w:r>
    </w:p>
    <w:bookmarkEnd w:id="57"/>
    <w:bookmarkStart w:id="58" w:name="a10.4-matching-strategies"/>
    <w:p>
      <w:pPr>
        <w:pStyle w:val="Heading3"/>
      </w:pPr>
      <w:r>
        <w:t xml:space="preserve">A10.4 Matching Strategies</w:t>
      </w:r>
    </w:p>
    <w:p>
      <w:pPr>
        <w:pStyle w:val="FirstParagraph"/>
      </w:pPr>
      <w:r>
        <w:t xml:space="preserve">Two strategies were applied sequentially:</w:t>
      </w:r>
    </w:p>
    <w:p>
      <w:pPr>
        <w:pStyle w:val="BodyText"/>
      </w:pPr>
      <w:r>
        <w:rPr>
          <w:b/>
          <w:bCs/>
        </w:rPr>
        <w:t xml:space="preserve">Strategy A (exact full name):</w:t>
      </w:r>
      <w:r>
        <w:t xml:space="preserve"> </w:t>
      </w:r>
      <w:r>
        <w:t xml:space="preserve">For authors with full first names (from confirmed PubMed matches where names agreed), the ABOG pool was searched by exact first name and last name. Base confidence: 0.95.</w:t>
      </w:r>
    </w:p>
    <w:p>
      <w:pPr>
        <w:pStyle w:val="BodyText"/>
      </w:pPr>
      <w:r>
        <w:rPr>
          <w:b/>
          <w:bCs/>
        </w:rPr>
        <w:t xml:space="preserve">Strategy B (initial + last name):</w:t>
      </w:r>
      <w:r>
        <w:t xml:space="preserve"> </w:t>
      </w:r>
      <w:r>
        <w:t xml:space="preserve">For the remaining authors with initials only, the pool was searched by last name and first initial. Base confidence: 0.70.</w:t>
      </w:r>
    </w:p>
    <w:p>
      <w:pPr>
        <w:pStyle w:val="BodyText"/>
      </w:pPr>
      <w:r>
        <w:t xml:space="preserve">A fuzzy last-name fallback was applied when exact matching returned no candidates: hyphens and spaces were stripped from both the query and pool names (e.g.,</w:t>
      </w:r>
      <w:r>
        <w:t xml:space="preserve"> </w:t>
      </w:r>
      <w:r>
        <w:t xml:space="preserve">“CHAPMANDAVIS”</w:t>
      </w:r>
      <w:r>
        <w:t xml:space="preserve"> </w:t>
      </w:r>
      <w:r>
        <w:t xml:space="preserve">matching</w:t>
      </w:r>
      <w:r>
        <w:t xml:space="preserve"> </w:t>
      </w:r>
      <w:r>
        <w:t xml:space="preserve">“CHAPMAN-DAVIS”</w:t>
      </w:r>
      <w:r>
        <w:t xml:space="preserve">), recovering compound-name mismatches.</w:t>
      </w:r>
    </w:p>
    <w:bookmarkEnd w:id="58"/>
    <w:bookmarkStart w:id="59" w:name="a10.5-scoring"/>
    <w:p>
      <w:pPr>
        <w:pStyle w:val="Heading3"/>
      </w:pPr>
      <w:r>
        <w:t xml:space="preserve">A10.5 Scoring</w:t>
      </w:r>
    </w:p>
    <w:p>
      <w:pPr>
        <w:pStyle w:val="TableCaption"/>
      </w:pPr>
      <w:r>
        <w:t xml:space="preserve">NPI matching composite scoring system</w:t>
      </w:r>
    </w:p>
    <w:tbl>
      <w:tblPr>
        <w:tblStyle w:val="Table"/>
        <w:tblW w:type="auto" w:w="0"/>
        <w:tblLook w:firstRow="1" w:lastRow="0" w:firstColumn="0" w:lastColumn="0" w:noHBand="0" w:noVBand="0" w:val="0020"/>
        <w:tblCaption w:val="NPI matching composite scoring system"/>
      </w:tblPr>
      <w:tblGrid>
        <w:gridCol w:w="3960"/>
        <w:gridCol w:w="3960"/>
      </w:tblGrid>
      <w:tr>
        <w:trPr>
          <w:tblHeader w:val="on"/>
        </w:trPr>
        <w:tc>
          <w:tcPr/>
          <w:p>
            <w:pPr>
              <w:pStyle w:val="Compact"/>
              <w:jc w:val="left"/>
            </w:pPr>
            <w:r>
              <w:t xml:space="preserve">Feature</w:t>
            </w:r>
          </w:p>
        </w:tc>
        <w:tc>
          <w:tcPr/>
          <w:p>
            <w:pPr>
              <w:pStyle w:val="Compact"/>
              <w:jc w:val="left"/>
            </w:pPr>
            <w:r>
              <w:t xml:space="preserve">Points</w:t>
            </w:r>
          </w:p>
        </w:tc>
      </w:tr>
      <w:tr>
        <w:tc>
          <w:tcPr/>
          <w:p>
            <w:pPr>
              <w:pStyle w:val="Compact"/>
              <w:jc w:val="left"/>
            </w:pPr>
            <w:r>
              <w:t xml:space="preserve">Exact first + last name match</w:t>
            </w:r>
          </w:p>
        </w:tc>
        <w:tc>
          <w:tcPr/>
          <w:p>
            <w:pPr>
              <w:pStyle w:val="Compact"/>
              <w:jc w:val="left"/>
            </w:pPr>
            <w:r>
              <w:t xml:space="preserve">+50</w:t>
            </w:r>
          </w:p>
        </w:tc>
      </w:tr>
      <w:tr>
        <w:tc>
          <w:tcPr/>
          <w:p>
            <w:pPr>
              <w:pStyle w:val="Compact"/>
              <w:jc w:val="left"/>
            </w:pPr>
            <w:r>
              <w:t xml:space="preserve">Initial + last name match</w:t>
            </w:r>
          </w:p>
        </w:tc>
        <w:tc>
          <w:tcPr/>
          <w:p>
            <w:pPr>
              <w:pStyle w:val="Compact"/>
              <w:jc w:val="left"/>
            </w:pPr>
            <w:r>
              <w:t xml:space="preserve">+15</w:t>
            </w:r>
          </w:p>
        </w:tc>
      </w:tr>
      <w:tr>
        <w:tc>
          <w:tcPr/>
          <w:p>
            <w:pPr>
              <w:pStyle w:val="Compact"/>
              <w:jc w:val="left"/>
            </w:pPr>
            <w:r>
              <w:t xml:space="preserve">Affiliation state = NPI practice state</w:t>
            </w:r>
          </w:p>
        </w:tc>
        <w:tc>
          <w:tcPr/>
          <w:p>
            <w:pPr>
              <w:pStyle w:val="Compact"/>
              <w:jc w:val="left"/>
            </w:pPr>
            <w:r>
              <w:t xml:space="preserve">+20</w:t>
            </w:r>
          </w:p>
        </w:tc>
      </w:tr>
      <w:tr>
        <w:tc>
          <w:tcPr/>
          <w:p>
            <w:pPr>
              <w:pStyle w:val="Compact"/>
              <w:jc w:val="left"/>
            </w:pPr>
            <w:r>
              <w:t xml:space="preserve">Gender agreement</w:t>
            </w:r>
          </w:p>
        </w:tc>
        <w:tc>
          <w:tcPr/>
          <w:p>
            <w:pPr>
              <w:pStyle w:val="Compact"/>
              <w:jc w:val="left"/>
            </w:pPr>
            <w:r>
              <w:t xml:space="preserve">+10</w:t>
            </w:r>
          </w:p>
        </w:tc>
      </w:tr>
      <w:tr>
        <w:tc>
          <w:tcPr/>
          <w:p>
            <w:pPr>
              <w:pStyle w:val="Compact"/>
              <w:jc w:val="left"/>
            </w:pPr>
            <w:r>
              <w:t xml:space="preserve">MIG (MIGS) subspecialty</w:t>
            </w:r>
          </w:p>
        </w:tc>
        <w:tc>
          <w:tcPr/>
          <w:p>
            <w:pPr>
              <w:pStyle w:val="Compact"/>
              <w:jc w:val="left"/>
            </w:pPr>
            <w:r>
              <w:t xml:space="preserve">+25</w:t>
            </w:r>
          </w:p>
        </w:tc>
      </w:tr>
      <w:tr>
        <w:tc>
          <w:tcPr/>
          <w:p>
            <w:pPr>
              <w:pStyle w:val="Compact"/>
              <w:jc w:val="left"/>
            </w:pPr>
            <w:r>
              <w:t xml:space="preserve">FPMRS + pelvic floor procedure</w:t>
            </w:r>
          </w:p>
        </w:tc>
        <w:tc>
          <w:tcPr/>
          <w:p>
            <w:pPr>
              <w:pStyle w:val="Compact"/>
              <w:jc w:val="left"/>
            </w:pPr>
            <w:r>
              <w:t xml:space="preserve">+15</w:t>
            </w:r>
          </w:p>
        </w:tc>
      </w:tr>
      <w:tr>
        <w:tc>
          <w:tcPr/>
          <w:p>
            <w:pPr>
              <w:pStyle w:val="Compact"/>
              <w:jc w:val="left"/>
            </w:pPr>
            <w:r>
              <w:t xml:space="preserve">GYN_ONC + oncology procedure</w:t>
            </w:r>
          </w:p>
        </w:tc>
        <w:tc>
          <w:tcPr/>
          <w:p>
            <w:pPr>
              <w:pStyle w:val="Compact"/>
              <w:jc w:val="left"/>
            </w:pPr>
            <w:r>
              <w:t xml:space="preserve">+15</w:t>
            </w:r>
          </w:p>
        </w:tc>
      </w:tr>
      <w:tr>
        <w:tc>
          <w:tcPr/>
          <w:p>
            <w:pPr>
              <w:pStyle w:val="Compact"/>
              <w:jc w:val="left"/>
            </w:pPr>
            <w:r>
              <w:t xml:space="preserve">REI + ectopic pregnancy procedure</w:t>
            </w:r>
          </w:p>
        </w:tc>
        <w:tc>
          <w:tcPr/>
          <w:p>
            <w:pPr>
              <w:pStyle w:val="Compact"/>
              <w:jc w:val="left"/>
            </w:pPr>
            <w:r>
              <w:t xml:space="preserve">+10</w:t>
            </w:r>
          </w:p>
        </w:tc>
      </w:tr>
      <w:tr>
        <w:tc>
          <w:tcPr/>
          <w:p>
            <w:pPr>
              <w:pStyle w:val="Compact"/>
              <w:jc w:val="left"/>
            </w:pPr>
            <w:r>
              <w:t xml:space="preserve">Rare name (&lt;=3 in ABOG OB/GYN pool)</w:t>
            </w:r>
          </w:p>
        </w:tc>
        <w:tc>
          <w:tcPr/>
          <w:p>
            <w:pPr>
              <w:pStyle w:val="Compact"/>
              <w:jc w:val="left"/>
            </w:pPr>
            <w:r>
              <w:t xml:space="preserve">+10</w:t>
            </w:r>
          </w:p>
        </w:tc>
      </w:tr>
    </w:tbl>
    <w:p>
      <w:pPr>
        <w:pStyle w:val="BodyText"/>
      </w:pPr>
      <w:r>
        <w:t xml:space="preserve">The MIGS subspecialty bonus (+25 points) reflects the strong prior that presenters at the AAGL Global Congress — the premier minimally invasive gynecology meeting — are disproportionately likely to hold MIG certification. Subspecialty-procedure concordance bonuses (FPMRS for pelvic floor abstracts, GYN_ONC for oncology abstracts) provided additional tiebreaking signal.</w:t>
      </w:r>
    </w:p>
    <w:bookmarkEnd w:id="59"/>
    <w:bookmarkStart w:id="60" w:name="a10.6-classification-tiers"/>
    <w:p>
      <w:pPr>
        <w:pStyle w:val="Heading3"/>
      </w:pPr>
      <w:r>
        <w:t xml:space="preserve">A10.6 Classification Tiers</w:t>
      </w:r>
    </w:p>
    <w:p>
      <w:pPr>
        <w:pStyle w:val="TableCaption"/>
      </w:pPr>
      <w:r>
        <w:t xml:space="preserve">NPI match classification tiers</w:t>
      </w:r>
    </w:p>
    <w:tbl>
      <w:tblPr>
        <w:tblStyle w:val="Table"/>
        <w:tblW w:type="pct" w:w="5000"/>
        <w:tblLayout w:type="fixed"/>
        <w:tblLook w:firstRow="1" w:lastRow="0" w:firstColumn="0" w:lastColumn="0" w:noHBand="0" w:noVBand="0" w:val="0020"/>
        <w:tblCaption w:val="NPI match classification tiers"/>
      </w:tblPr>
      <w:tblGrid>
        <w:gridCol w:w="1808"/>
        <w:gridCol w:w="5363"/>
        <w:gridCol w:w="748"/>
      </w:tblGrid>
      <w:tr>
        <w:trPr>
          <w:tblHeader w:val="on"/>
        </w:trPr>
        <w:tc>
          <w:tcPr/>
          <w:p>
            <w:pPr>
              <w:pStyle w:val="Compact"/>
              <w:jc w:val="left"/>
            </w:pPr>
            <w:r>
              <w:t xml:space="preserve">Tier</w:t>
            </w:r>
          </w:p>
        </w:tc>
        <w:tc>
          <w:tcPr/>
          <w:p>
            <w:pPr>
              <w:pStyle w:val="Compact"/>
              <w:jc w:val="left"/>
            </w:pPr>
            <w:r>
              <w:t xml:space="preserve">Criteria</w:t>
            </w:r>
          </w:p>
        </w:tc>
        <w:tc>
          <w:tcPr/>
          <w:p>
            <w:pPr>
              <w:pStyle w:val="Compact"/>
              <w:jc w:val="left"/>
            </w:pPr>
            <w:r>
              <w:t xml:space="preserve">Action</w:t>
            </w:r>
          </w:p>
        </w:tc>
      </w:tr>
      <w:tr>
        <w:tc>
          <w:tcPr/>
          <w:p>
            <w:pPr>
              <w:pStyle w:val="Compact"/>
              <w:jc w:val="left"/>
            </w:pPr>
            <w:r>
              <w:t xml:space="preserve">A: High confidence</w:t>
            </w:r>
          </w:p>
        </w:tc>
        <w:tc>
          <w:tcPr/>
          <w:p>
            <w:pPr>
              <w:pStyle w:val="Compact"/>
              <w:jc w:val="left"/>
            </w:pPr>
            <w:r>
              <w:t xml:space="preserve">Score &gt;= 50 AND unique top candidate (gap &gt;= 10 to second)</w:t>
            </w:r>
          </w:p>
        </w:tc>
        <w:tc>
          <w:tcPr/>
          <w:p>
            <w:pPr>
              <w:pStyle w:val="Compact"/>
              <w:jc w:val="left"/>
            </w:pPr>
            <w:r>
              <w:t xml:space="preserve">Auto-accept</w:t>
            </w:r>
          </w:p>
        </w:tc>
      </w:tr>
      <w:tr>
        <w:tc>
          <w:tcPr/>
          <w:p>
            <w:pPr>
              <w:pStyle w:val="Compact"/>
              <w:jc w:val="left"/>
            </w:pPr>
            <w:r>
              <w:t xml:space="preserve">A: High confidence (relaxed)</w:t>
            </w:r>
          </w:p>
        </w:tc>
        <w:tc>
          <w:tcPr/>
          <w:p>
            <w:pPr>
              <w:pStyle w:val="Compact"/>
              <w:jc w:val="left"/>
            </w:pPr>
            <w:r>
              <w:t xml:space="preserve">Score &gt;= 35 AND exactly 1 candidate in entire ABOG pool (single-candidate relaxation)</w:t>
            </w:r>
          </w:p>
        </w:tc>
        <w:tc>
          <w:tcPr/>
          <w:p>
            <w:pPr>
              <w:pStyle w:val="Compact"/>
              <w:jc w:val="left"/>
            </w:pPr>
            <w:r>
              <w:t xml:space="preserve">Auto-accept</w:t>
            </w:r>
          </w:p>
        </w:tc>
      </w:tr>
      <w:tr>
        <w:tc>
          <w:tcPr/>
          <w:p>
            <w:pPr>
              <w:pStyle w:val="Compact"/>
              <w:jc w:val="left"/>
            </w:pPr>
            <w:r>
              <w:t xml:space="preserve">B: Ambiguous</w:t>
            </w:r>
          </w:p>
        </w:tc>
        <w:tc>
          <w:tcPr/>
          <w:p>
            <w:pPr>
              <w:pStyle w:val="Compact"/>
              <w:jc w:val="left"/>
            </w:pPr>
            <w:r>
              <w:t xml:space="preserve">Score 30-49 OR multiple candidates within 10 points</w:t>
            </w:r>
          </w:p>
        </w:tc>
        <w:tc>
          <w:tcPr/>
          <w:p>
            <w:pPr>
              <w:pStyle w:val="Compact"/>
              <w:jc w:val="left"/>
            </w:pPr>
            <w:r>
              <w:t xml:space="preserve">Withheld</w:t>
            </w:r>
          </w:p>
        </w:tc>
      </w:tr>
      <w:tr>
        <w:tc>
          <w:tcPr/>
          <w:p>
            <w:pPr>
              <w:pStyle w:val="Compact"/>
              <w:jc w:val="left"/>
            </w:pPr>
            <w:r>
              <w:t xml:space="preserve">C: No match</w:t>
            </w:r>
          </w:p>
        </w:tc>
        <w:tc>
          <w:tcPr/>
          <w:p>
            <w:pPr>
              <w:pStyle w:val="Compact"/>
              <w:jc w:val="left"/>
            </w:pPr>
            <w:r>
              <w:t xml:space="preserve">Score &lt; 30 OR no candidates after filtering</w:t>
            </w:r>
          </w:p>
        </w:tc>
        <w:tc>
          <w:tcPr/>
          <w:p>
            <w:pPr>
              <w:pStyle w:val="Compact"/>
              <w:jc w:val="left"/>
            </w:pPr>
            <w:r>
              <w:t xml:space="preserve">Unmatched</w:t>
            </w:r>
          </w:p>
        </w:tc>
      </w:tr>
    </w:tbl>
    <w:bookmarkEnd w:id="60"/>
    <w:bookmarkStart w:id="61" w:name="a10.7-single-candidate-relaxation-rule"/>
    <w:p>
      <w:pPr>
        <w:pStyle w:val="Heading3"/>
      </w:pPr>
      <w:r>
        <w:t xml:space="preserve">A10.7 Single-Candidate Relaxation Rule</w:t>
      </w:r>
    </w:p>
    <w:p>
      <w:pPr>
        <w:pStyle w:val="FirstParagraph"/>
      </w:pPr>
      <w:r>
        <w:t xml:space="preserve">The standard Tier A threshold requires a composite score of at least 50 points with a 10-point gap to the second-best candidate. For authors matched by initial + last name (base score 15), reaching 50 points requires strong corroborating signals (state match + gender match + rare name or MIGS subspecialty). This threshold is appropriate when multiple candidates exist and disambiguation is needed.</w:t>
      </w:r>
    </w:p>
    <w:p>
      <w:pPr>
        <w:pStyle w:val="BodyText"/>
      </w:pPr>
      <w:r>
        <w:t xml:space="preserve">However, when the ABOG pool contains exactly one board-certified OB/GYN with a given last name and first initial, the probability of a false match is inherently low regardless of corroborating signals. In such cases, the threshold was relaxed to 35 points. The rationale:</w:t>
      </w:r>
    </w:p>
    <w:p>
      <w:pPr>
        <w:numPr>
          <w:ilvl w:val="0"/>
          <w:numId w:val="1005"/>
        </w:numPr>
      </w:pPr>
      <w:r>
        <w:rPr>
          <w:b/>
          <w:bCs/>
        </w:rPr>
        <w:t xml:space="preserve">Base rate argument.</w:t>
      </w:r>
      <w:r>
        <w:t xml:space="preserve"> </w:t>
      </w:r>
      <w:r>
        <w:t xml:space="preserve">The ABOG pool contains 60,846 physicians. For a unique (last name, first initial) combination to have exactly one entry, the name must be uncommon among US OB/GYNs. The prior probability that a sole-match candidate is the correct person is high.</w:t>
      </w:r>
    </w:p>
    <w:p>
      <w:pPr>
        <w:numPr>
          <w:ilvl w:val="0"/>
          <w:numId w:val="1005"/>
        </w:numPr>
      </w:pPr>
      <w:r>
        <w:rPr>
          <w:b/>
          <w:bCs/>
        </w:rPr>
        <w:t xml:space="preserve">No disambiguation needed.</w:t>
      </w:r>
      <w:r>
        <w:t xml:space="preserve"> </w:t>
      </w:r>
      <w:r>
        <w:t xml:space="preserve">The gap-to-second criterion exists to prevent ambiguous assignments when multiple candidates score similarly. With only one candidate, this criterion is vacuous — there is no competing match to distinguish from.</w:t>
      </w:r>
    </w:p>
    <w:p>
      <w:pPr>
        <w:numPr>
          <w:ilvl w:val="0"/>
          <w:numId w:val="1005"/>
        </w:numPr>
      </w:pPr>
      <w:r>
        <w:rPr>
          <w:b/>
          <w:bCs/>
        </w:rPr>
        <w:t xml:space="preserve">Minimum score guard.</w:t>
      </w:r>
      <w:r>
        <w:t xml:space="preserve"> </w:t>
      </w:r>
      <w:r>
        <w:t xml:space="preserve">The 35-point floor ensures that at least the initial match (+15) plus one corroborating signal (e.g., career plausibility +5 and rare name +10, or state match +20) must be present. Pure initial-only matches without any supporting evidence (score 15) are not accepted.</w:t>
      </w:r>
    </w:p>
    <w:p>
      <w:pPr>
        <w:pStyle w:val="SourceCode"/>
      </w:pPr>
      <w:r>
        <w:rPr>
          <w:rStyle w:val="VerbatimChar"/>
        </w:rPr>
        <w:t xml:space="preserve">## Of 276 Tier A matches, 210 (76%) met the standard threshold (score &gt;= 50) and 66 (24%) were accepted via single-candidate relaxation (score 35-49, sole candidate).</w:t>
      </w:r>
    </w:p>
    <w:bookmarkEnd w:id="61"/>
    <w:bookmarkStart w:id="62" w:name="a10.8-one-to-one-enforcement"/>
    <w:p>
      <w:pPr>
        <w:pStyle w:val="Heading3"/>
      </w:pPr>
      <w:r>
        <w:t xml:space="preserve">A10.8 One-to-One Enforcement</w:t>
      </w:r>
    </w:p>
    <w:p>
      <w:pPr>
        <w:pStyle w:val="FirstParagraph"/>
      </w:pPr>
      <w:r>
        <w:t xml:space="preserve">After scoring, a greedy one-to-one assignment was enforced: if multiple abstracts claimed the same NPI, only the highest-scoring assignment was retained; lower-scoring claimants were demoted to Tier B (ambiguous). This prevents a single prolific physician from being</w:t>
      </w:r>
      <w:r>
        <w:t xml:space="preserve"> </w:t>
      </w:r>
      <w:r>
        <w:t xml:space="preserve">“consumed”</w:t>
      </w:r>
      <w:r>
        <w:t xml:space="preserve"> </w:t>
      </w:r>
      <w:r>
        <w:t xml:space="preserve">by an earlier, weaker match.</w:t>
      </w:r>
    </w:p>
    <w:bookmarkEnd w:id="62"/>
    <w:bookmarkStart w:id="63" w:name="a10.9-results"/>
    <w:p>
      <w:pPr>
        <w:pStyle w:val="Heading3"/>
      </w:pPr>
      <w:r>
        <w:t xml:space="preserve">A10.9 Results</w:t>
      </w:r>
    </w:p>
    <w:p>
      <w:pPr>
        <w:pStyle w:val="SourceCode"/>
      </w:pPr>
      <w:r>
        <w:rPr>
          <w:rStyle w:val="VerbatimChar"/>
        </w:rPr>
        <w:t xml:space="preserve">## </w:t>
      </w:r>
      <w:r>
        <w:br/>
      </w:r>
      <w:r>
        <w:rPr>
          <w:rStyle w:val="VerbatimChar"/>
        </w:rPr>
        <w:t xml:space="preserve">## </w:t>
      </w:r>
      <w:r>
        <w:br/>
      </w:r>
      <w:r>
        <w:rPr>
          <w:rStyle w:val="VerbatimChar"/>
        </w:rPr>
        <w:t xml:space="preserve">## Of 276 Tier A matches, 60 (22%) held MIG (minimally invasive gynecology) subspecialty certification.</w:t>
      </w:r>
    </w:p>
    <w:bookmarkEnd w:id="63"/>
    <w:bookmarkStart w:id="64" w:name="a10.10-limitations"/>
    <w:p>
      <w:pPr>
        <w:pStyle w:val="Heading3"/>
      </w:pPr>
      <w:r>
        <w:t xml:space="preserve">A10.10 Limitations</w:t>
      </w:r>
    </w:p>
    <w:p>
      <w:pPr>
        <w:pStyle w:val="FirstParagraph"/>
      </w:pPr>
      <w:r>
        <w:t xml:space="preserve">The NPI matching approach has several inherent limitations:</w:t>
      </w:r>
    </w:p>
    <w:p>
      <w:pPr>
        <w:numPr>
          <w:ilvl w:val="0"/>
          <w:numId w:val="1006"/>
        </w:numPr>
      </w:pPr>
      <w:r>
        <w:rPr>
          <w:b/>
          <w:bCs/>
        </w:rPr>
        <w:t xml:space="preserve">Initial-only names.</w:t>
      </w:r>
      <w:r>
        <w:t xml:space="preserve"> </w:t>
      </w:r>
      <w:r>
        <w:t xml:space="preserve">The AAGL abstract listing provides only first initials for most authors (e.g.,</w:t>
      </w:r>
      <w:r>
        <w:t xml:space="preserve"> </w:t>
      </w:r>
      <w:r>
        <w:t xml:space="preserve">“J. Smith”</w:t>
      </w:r>
      <w:r>
        <w:t xml:space="preserve">). This prevents exact first-name matching for 559 of 689 US-based authors and increases ambiguity for common surnames.</w:t>
      </w:r>
    </w:p>
    <w:p>
      <w:pPr>
        <w:numPr>
          <w:ilvl w:val="0"/>
          <w:numId w:val="1006"/>
        </w:numPr>
      </w:pPr>
      <w:r>
        <w:rPr>
          <w:b/>
          <w:bCs/>
        </w:rPr>
        <w:t xml:space="preserve">ABOG pool scope.</w:t>
      </w:r>
      <w:r>
        <w:t xml:space="preserve"> </w:t>
      </w:r>
      <w:r>
        <w:t xml:space="preserve">The candidate pool includes only ABOG board-certified physicians. Presenters who are residents, fellows, basic scientists, or international physicians without US board certification will not appear in the pool (estimated 185 of 409 no-match authors).</w:t>
      </w:r>
    </w:p>
    <w:p>
      <w:pPr>
        <w:numPr>
          <w:ilvl w:val="0"/>
          <w:numId w:val="1006"/>
        </w:numPr>
      </w:pPr>
      <w:r>
        <w:rPr>
          <w:b/>
          <w:bCs/>
        </w:rPr>
        <w:t xml:space="preserve">Name changes.</w:t>
      </w:r>
      <w:r>
        <w:t xml:space="preserve"> </w:t>
      </w:r>
      <w:r>
        <w:t xml:space="preserve">Authors who changed surnames (e.g., after marriage) between abstract presentation and ABOG certification will not match unless the ABOG record reflects the name used at the time of presentation.</w:t>
      </w:r>
    </w:p>
    <w:p>
      <w:pPr>
        <w:numPr>
          <w:ilvl w:val="0"/>
          <w:numId w:val="1006"/>
        </w:numPr>
      </w:pPr>
      <w:r>
        <w:rPr>
          <w:b/>
          <w:bCs/>
        </w:rPr>
        <w:t xml:space="preserve">Single-candidate relaxation risk.</w:t>
      </w:r>
      <w:r>
        <w:t xml:space="preserve"> </w:t>
      </w:r>
      <w:r>
        <w:t xml:space="preserve">While the sole-candidate assumption is probabilistically sound, it is possible for a name collision to occur with a non-presenting physician who happens to share the same uncommon name and initial. The 35-point minimum score guard and downstream manual audit mitigate this risk.</w:t>
      </w:r>
    </w:p>
    <w:bookmarkEnd w:id="64"/>
    <w:bookmarkStart w:id="65" w:name="Xfc2c4d5574e168472947f2b3e321522650e5826"/>
    <w:p>
      <w:pPr>
        <w:pStyle w:val="Heading3"/>
      </w:pPr>
      <w:r>
        <w:t xml:space="preserve">A10.11 Coauthor Triangulation for Name Disambiguation</w:t>
      </w:r>
    </w:p>
    <w:p>
      <w:pPr>
        <w:pStyle w:val="FirstParagraph"/>
      </w:pPr>
      <w:r>
        <w:t xml:space="preserve">To resolve initials-only first names (e.g.,</w:t>
      </w:r>
      <w:r>
        <w:t xml:space="preserve"> </w:t>
      </w:r>
      <w:r>
        <w:t xml:space="preserve">“Y.S. Lee”</w:t>
      </w:r>
      <w:r>
        <w:t xml:space="preserve">) into full given names amenable to gender inference, we attempted coauthor triangulation via PubMed co-publication search. The approach exploits the observation that coauthors who appear together on an AAGL abstract may also have co-published a PubMed-indexed article where the first author’s full given name is recorded in the MEDLINE XML</w:t>
      </w:r>
      <w:r>
        <w:t xml:space="preserve"> </w:t>
      </w:r>
      <w:r>
        <w:rPr>
          <w:rStyle w:val="VerbatimChar"/>
        </w:rPr>
        <w:t xml:space="preserve">&lt;ForeName&gt;</w:t>
      </w:r>
      <w:r>
        <w:t xml:space="preserve"> </w:t>
      </w:r>
      <w:r>
        <w:t xml:space="preserve">field.</w:t>
      </w:r>
    </w:p>
    <w:p>
      <w:pPr>
        <w:pStyle w:val="BodyText"/>
      </w:pPr>
      <w:r>
        <w:rPr>
          <w:b/>
          <w:bCs/>
        </w:rPr>
        <w:t xml:space="preserve">Method.</w:t>
      </w:r>
      <w:r>
        <w:t xml:space="preserve"> </w:t>
      </w:r>
      <w:r>
        <w:t xml:space="preserve">For each author missing gender whose</w:t>
      </w:r>
      <w:r>
        <w:t xml:space="preserve"> </w:t>
      </w:r>
      <w:r>
        <w:rPr>
          <w:rStyle w:val="VerbatimChar"/>
        </w:rPr>
        <w:t xml:space="preserve">authors_raw</w:t>
      </w:r>
      <w:r>
        <w:t xml:space="preserve"> </w:t>
      </w:r>
      <w:r>
        <w:t xml:space="preserve">field listed at least two coauthors, we constructed a PubMed query pairing the first author’s surname with a coauthor’s surname using the</w:t>
      </w:r>
      <w:r>
        <w:t xml:space="preserve"> </w:t>
      </w:r>
      <w:r>
        <w:rPr>
          <w:rStyle w:val="VerbatimChar"/>
        </w:rPr>
        <w:t xml:space="preserve">[AU]</w:t>
      </w:r>
      <w:r>
        <w:t xml:space="preserve"> </w:t>
      </w:r>
      <w:r>
        <w:t xml:space="preserve">field tag (e.g.,</w:t>
      </w:r>
      <w:r>
        <w:t xml:space="preserve"> </w:t>
      </w:r>
      <w:r>
        <w:rPr>
          <w:rStyle w:val="VerbatimChar"/>
        </w:rPr>
        <w:t xml:space="preserve">"lee"[AU] AND "park"[AU]</w:t>
      </w:r>
      <w:r>
        <w:t xml:space="preserve">). We attempted two coauthor strategies sequentially:</w:t>
      </w:r>
    </w:p>
    <w:p>
      <w:pPr>
        <w:pStyle w:val="Compact"/>
        <w:numPr>
          <w:ilvl w:val="0"/>
          <w:numId w:val="1007"/>
        </w:numPr>
      </w:pPr>
      <w:r>
        <w:rPr>
          <w:b/>
          <w:bCs/>
        </w:rPr>
        <w:t xml:space="preserve">Senior author triangulation</w:t>
      </w:r>
      <w:r>
        <w:t xml:space="preserve"> </w:t>
      </w:r>
      <w:r>
        <w:t xml:space="preserve">(</w:t>
      </w:r>
      <w:r>
        <w:rPr>
          <w:rStyle w:val="VerbatimChar"/>
        </w:rPr>
        <w:t xml:space="preserve">R/10f</w:t>
      </w:r>
      <w:r>
        <w:t xml:space="preserve">): paired the first author with the last-listed (senior) author.</w:t>
      </w:r>
    </w:p>
    <w:p>
      <w:pPr>
        <w:pStyle w:val="Compact"/>
        <w:numPr>
          <w:ilvl w:val="0"/>
          <w:numId w:val="1007"/>
        </w:numPr>
      </w:pPr>
      <w:r>
        <w:rPr>
          <w:b/>
          <w:bCs/>
        </w:rPr>
        <w:t xml:space="preserve">Second author triangulation</w:t>
      </w:r>
      <w:r>
        <w:t xml:space="preserve"> </w:t>
      </w:r>
      <w:r>
        <w:t xml:space="preserve">(</w:t>
      </w:r>
      <w:r>
        <w:rPr>
          <w:rStyle w:val="VerbatimChar"/>
        </w:rPr>
        <w:t xml:space="preserve">R/10g</w:t>
      </w:r>
      <w:r>
        <w:t xml:space="preserve">): paired the first author with the second-listed author, hypothesizing that immediate collaborators (co-residents, research partners) would share more co-publications than a senior author who may be a department chair.</w:t>
      </w:r>
    </w:p>
    <w:p>
      <w:pPr>
        <w:pStyle w:val="FirstParagraph"/>
      </w:pPr>
      <w:r>
        <w:t xml:space="preserve">For queries returning 1–10 PubMed results, we fetched the first article’s XML and extracted the</w:t>
      </w:r>
      <w:r>
        <w:t xml:space="preserve"> </w:t>
      </w:r>
      <w:r>
        <w:rPr>
          <w:rStyle w:val="VerbatimChar"/>
        </w:rPr>
        <w:t xml:space="preserve">&lt;ForeName&gt;</w:t>
      </w:r>
      <w:r>
        <w:t xml:space="preserve"> </w:t>
      </w:r>
      <w:r>
        <w:t xml:space="preserve">of the author whose</w:t>
      </w:r>
      <w:r>
        <w:t xml:space="preserve"> </w:t>
      </w:r>
      <w:r>
        <w:rPr>
          <w:rStyle w:val="VerbatimChar"/>
        </w:rPr>
        <w:t xml:space="preserve">&lt;LastName&gt;</w:t>
      </w:r>
      <w:r>
        <w:t xml:space="preserve"> </w:t>
      </w:r>
      <w:r>
        <w:t xml:space="preserve">matched the first author. Pairs sharing the same surname were excluded to prevent false matches. Resolved names underwent gender inference via SSA baby-name data and an international gender lookup table (n = 300+ curated names).</w:t>
      </w:r>
    </w:p>
    <w:p>
      <w:pPr>
        <w:pStyle w:val="BodyText"/>
      </w:pPr>
      <w:r>
        <w:rPr>
          <w:b/>
          <w:bCs/>
        </w:rPr>
        <w:t xml:space="preserve">Results.</w:t>
      </w:r>
      <w:r>
        <w:t xml:space="preserve"> </w:t>
      </w:r>
      <w:r>
        <w:t xml:space="preserve">Senior author triangulation resolved 2 of 300 target names; second author triangulation resolved 0 of 789 targets (after excluding same-surname pairs). The near-zero yield reflects two features of the target population: (1) authors still missing gender at this pipeline stage are predominantly international researchers (East Asian, South Asian, Middle Eastern) whose AAGL collaborators rarely co-publish together in PubMed-indexed journals, and (2) common East Asian surnames (Chen, Kim, Lee, Li, Wang) produce non-specific PubMed queries even when paired with a coauthor, necessitating the same-surname exclusion filter.</w:t>
      </w:r>
    </w:p>
    <w:p>
      <w:pPr>
        <w:pStyle w:val="BodyText"/>
      </w:pPr>
      <w:r>
        <w:rPr>
          <w:b/>
          <w:bCs/>
        </w:rPr>
        <w:t xml:space="preserve">Conclusion.</w:t>
      </w:r>
      <w:r>
        <w:t xml:space="preserve"> </w:t>
      </w:r>
      <w:r>
        <w:t xml:space="preserve">Coauthor triangulation via PubMed is not effective for this population. Three supplementary strategies were implemented to recover full first names and assign gender for the remaining authors, described below.</w:t>
      </w:r>
    </w:p>
    <w:bookmarkEnd w:id="65"/>
    <w:bookmarkStart w:id="66" w:name="X576e1b88a4438505cf95cb72cb47cf90e3cdf84"/>
    <w:p>
      <w:pPr>
        <w:pStyle w:val="Heading3"/>
      </w:pPr>
      <w:r>
        <w:t xml:space="preserve">A10.12 Strategy 2: PubMed Author Search with Institutional Anchor (Script</w:t>
      </w:r>
      <w:r>
        <w:t xml:space="preserve"> </w:t>
      </w:r>
      <w:r>
        <w:rPr>
          <w:rStyle w:val="VerbatimChar"/>
        </w:rPr>
        <w:t xml:space="preserve">09f</w:t>
      </w:r>
      <w:r>
        <w:t xml:space="preserve">)</w:t>
      </w:r>
    </w:p>
    <w:p>
      <w:pPr>
        <w:pStyle w:val="FirstParagraph"/>
      </w:pPr>
      <w:r>
        <w:t xml:space="preserve">For each author still lacking gender whose</w:t>
      </w:r>
      <w:r>
        <w:t xml:space="preserve"> </w:t>
      </w:r>
      <w:r>
        <w:rPr>
          <w:rStyle w:val="VerbatimChar"/>
        </w:rPr>
        <w:t xml:space="preserve">affiliation_raw</w:t>
      </w:r>
      <w:r>
        <w:t xml:space="preserve"> </w:t>
      </w:r>
      <w:r>
        <w:t xml:space="preserve">was non-empty, we constructed a PubMed query combining the author’s last name and initials with an institution keyword extracted from the affiliation string. The affiliation was split on</w:t>
      </w:r>
      <w:r>
        <w:t xml:space="preserve"> </w:t>
      </w:r>
      <w:r>
        <w:rPr>
          <w:rStyle w:val="VerbatimChar"/>
        </w:rPr>
        <w:t xml:space="preserve">|</w:t>
      </w:r>
      <w:r>
        <w:t xml:space="preserve"> </w:t>
      </w:r>
      <w:r>
        <w:t xml:space="preserve">(taking the first listed institution), tokenized on commas, and the first non-departmental, non-geographic token was used as the anchor (e.g.,</w:t>
      </w:r>
      <w:r>
        <w:t xml:space="preserve"> </w:t>
      </w:r>
      <w:r>
        <w:t xml:space="preserve">“Department of Obstetrics, University of Pittsburgh, Pittsburgh, PA”</w:t>
      </w:r>
      <w:r>
        <w:t xml:space="preserve"> </w:t>
      </w:r>
      <w:r>
        <w:t xml:space="preserve">→</w:t>
      </w:r>
      <w:r>
        <w:t xml:space="preserve"> </w:t>
      </w:r>
      <w:r>
        <w:t xml:space="preserve">“University of Pittsburgh”</w:t>
      </w:r>
      <w:r>
        <w:t xml:space="preserve">).</w:t>
      </w:r>
    </w:p>
    <w:p>
      <w:pPr>
        <w:pStyle w:val="BodyText"/>
      </w:pPr>
      <w:r>
        <w:t xml:space="preserve">The PubMed query took the form:</w:t>
      </w:r>
    </w:p>
    <w:p>
      <w:pPr>
        <w:pStyle w:val="SourceCode"/>
      </w:pPr>
      <w:r>
        <w:rPr>
          <w:rStyle w:val="VerbatimChar"/>
        </w:rPr>
        <w:t xml:space="preserve">"Guido RS"[Author] AND "University of Pittsburgh"[Affiliation]</w:t>
      </w:r>
    </w:p>
    <w:p>
      <w:pPr>
        <w:pStyle w:val="FirstParagraph"/>
      </w:pPr>
      <w:r>
        <w:t xml:space="preserve">The returned XML was parsed with</w:t>
      </w:r>
      <w:r>
        <w:t xml:space="preserve"> </w:t>
      </w:r>
      <w:r>
        <w:rPr>
          <w:rStyle w:val="VerbatimChar"/>
        </w:rPr>
        <w:t xml:space="preserve">xml2</w:t>
      </w:r>
      <w:r>
        <w:t xml:space="preserve">; the</w:t>
      </w:r>
      <w:r>
        <w:t xml:space="preserve"> </w:t>
      </w:r>
      <w:r>
        <w:rPr>
          <w:rStyle w:val="VerbatimChar"/>
        </w:rPr>
        <w:t xml:space="preserve">&lt;ForeName&gt;</w:t>
      </w:r>
      <w:r>
        <w:t xml:space="preserve"> </w:t>
      </w:r>
      <w:r>
        <w:t xml:space="preserve">of the author whose</w:t>
      </w:r>
      <w:r>
        <w:t xml:space="preserve"> </w:t>
      </w:r>
      <w:r>
        <w:rPr>
          <w:rStyle w:val="VerbatimChar"/>
        </w:rPr>
        <w:t xml:space="preserve">&lt;LastName&gt;</w:t>
      </w:r>
      <w:r>
        <w:t xml:space="preserve"> </w:t>
      </w:r>
      <w:r>
        <w:t xml:space="preserve">and</w:t>
      </w:r>
      <w:r>
        <w:t xml:space="preserve"> </w:t>
      </w:r>
      <w:r>
        <w:rPr>
          <w:rStyle w:val="VerbatimChar"/>
        </w:rPr>
        <w:t xml:space="preserve">&lt;Initials&gt;</w:t>
      </w:r>
      <w:r>
        <w:t xml:space="preserve"> </w:t>
      </w:r>
      <w:r>
        <w:t xml:space="preserve">matched the query was extracted and taken as the full first name. Results were cached at</w:t>
      </w:r>
      <w:r>
        <w:t xml:space="preserve"> </w:t>
      </w:r>
      <w:r>
        <w:rPr>
          <w:rStyle w:val="VerbatimChar"/>
        </w:rPr>
        <w:t xml:space="preserve">data/cache/pubmed_author/&lt;last&gt;_&lt;init&gt;.rds</w:t>
      </w:r>
      <w:r>
        <w:t xml:space="preserve">. This strategy recovered full first names for 132 of 225 targets (58.7%), resolving gender for 109 authors, with a net gain of 14 new gender values after coalescing with previously assigned values.</w:t>
      </w:r>
    </w:p>
    <w:bookmarkEnd w:id="66"/>
    <w:bookmarkStart w:id="67" w:name="X61a7bc2260446e302e29cb6820f7b38cf19d7b8"/>
    <w:p>
      <w:pPr>
        <w:pStyle w:val="Heading3"/>
      </w:pPr>
      <w:r>
        <w:t xml:space="preserve">A10.13 Strategy 3: ORCID Person Record Lookup (Script</w:t>
      </w:r>
      <w:r>
        <w:t xml:space="preserve"> </w:t>
      </w:r>
      <w:r>
        <w:rPr>
          <w:rStyle w:val="VerbatimChar"/>
        </w:rPr>
        <w:t xml:space="preserve">09g</w:t>
      </w:r>
      <w:r>
        <w:t xml:space="preserve">)</w:t>
      </w:r>
    </w:p>
    <w:p>
      <w:pPr>
        <w:pStyle w:val="FirstParagraph"/>
      </w:pPr>
      <w:r>
        <w:t xml:space="preserve">For abstracts where a valid ORCID iD had been assigned during the Step 5g enrichment (</w:t>
      </w:r>
      <w:r>
        <w:rPr>
          <w:rStyle w:val="VerbatimChar"/>
        </w:rPr>
        <w:t xml:space="preserve">09e_enrich_orcid.R</w:t>
      </w:r>
      <w:r>
        <w:t xml:space="preserve">), the corresponding cached person record (</w:t>
      </w:r>
      <w:r>
        <w:rPr>
          <w:rStyle w:val="VerbatimChar"/>
        </w:rPr>
        <w:t xml:space="preserve">data/cache/orcid/&lt;orcid_id&gt;_person.rds</w:t>
      </w:r>
      <w:r>
        <w:t xml:space="preserve">) was read locally — no additional API calls were made. The</w:t>
      </w:r>
      <w:r>
        <w:t xml:space="preserve"> </w:t>
      </w:r>
      <w:r>
        <w:rPr>
          <w:rStyle w:val="VerbatimChar"/>
        </w:rPr>
        <w:t xml:space="preserve">given-names</w:t>
      </w:r>
      <w:r>
        <w:t xml:space="preserve"> </w:t>
      </w:r>
      <w:r>
        <w:t xml:space="preserve">value from the ORCID name object was extracted and the first word taken as the first name (e.g.,</w:t>
      </w:r>
      <w:r>
        <w:t xml:space="preserve"> </w:t>
      </w:r>
      <w:r>
        <w:t xml:space="preserve">“Deborah A”</w:t>
      </w:r>
      <w:r>
        <w:t xml:space="preserve"> </w:t>
      </w:r>
      <w:r>
        <w:t xml:space="preserve">→</w:t>
      </w:r>
      <w:r>
        <w:t xml:space="preserve"> </w:t>
      </w:r>
      <w:r>
        <w:t xml:space="preserve">“Deborah”</w:t>
      </w:r>
      <w:r>
        <w:t xml:space="preserve">). Of 174 ORCID-matched abstracts processed, 55 had a publicly listed given name in their ORCID profile. Gender inference via SSA and genderize.io resolved 38 of those, with a net gain of 27 new gender values.</w:t>
      </w:r>
    </w:p>
    <w:bookmarkEnd w:id="67"/>
    <w:bookmarkStart w:id="68" w:name="X59e1524bbc76b51a33e3ce7dac20ba2bf99cacf"/>
    <w:p>
      <w:pPr>
        <w:pStyle w:val="Heading3"/>
      </w:pPr>
      <w:r>
        <w:t xml:space="preserve">A10.14 Strategy 4: OB/GYN Journal Publication Search (Script</w:t>
      </w:r>
      <w:r>
        <w:t xml:space="preserve"> </w:t>
      </w:r>
      <w:r>
        <w:rPr>
          <w:rStyle w:val="VerbatimChar"/>
        </w:rPr>
        <w:t xml:space="preserve">09h</w:t>
      </w:r>
      <w:r>
        <w:t xml:space="preserve">)</w:t>
      </w:r>
    </w:p>
    <w:p>
      <w:pPr>
        <w:pStyle w:val="FirstParagraph"/>
      </w:pPr>
      <w:r>
        <w:t xml:space="preserve">The most productive supplementary strategy searched PubMed for any paper by the first author in a curated list of 17 major OB/GYN and minimally invasive surgery journals, without requiring that the paper be the AAGL abstract itself. The premise is that many AAGL presenters, even if they never published the presented abstract, have published other work in the OB/GYN literature — and those indexed articles contain the full</w:t>
      </w:r>
      <w:r>
        <w:t xml:space="preserve"> </w:t>
      </w:r>
      <w:r>
        <w:rPr>
          <w:rStyle w:val="VerbatimChar"/>
        </w:rPr>
        <w:t xml:space="preserve">&lt;ForeName&gt;</w:t>
      </w:r>
      <w:r>
        <w:t xml:space="preserve"> </w:t>
      </w:r>
      <w:r>
        <w:t xml:space="preserve">in MEDLINE XML.</w:t>
      </w:r>
    </w:p>
    <w:p>
      <w:pPr>
        <w:pStyle w:val="BodyText"/>
      </w:pPr>
      <w:r>
        <w:rPr>
          <w:b/>
          <w:bCs/>
        </w:rPr>
        <w:t xml:space="preserve">Query construction.</w:t>
      </w:r>
      <w:r>
        <w:t xml:space="preserve"> </w:t>
      </w:r>
      <w:r>
        <w:t xml:space="preserve">For each author with last name</w:t>
      </w:r>
      <w:r>
        <w:t xml:space="preserve"> </w:t>
      </w:r>
      <w:r>
        <w:rPr>
          <w:rStyle w:val="VerbatimChar"/>
        </w:rPr>
        <w:t xml:space="preserve">last</w:t>
      </w:r>
      <w:r>
        <w:t xml:space="preserve"> </w:t>
      </w:r>
      <w:r>
        <w:t xml:space="preserve">and initials</w:t>
      </w:r>
      <w:r>
        <w:t xml:space="preserve"> </w:t>
      </w:r>
      <w:r>
        <w:rPr>
          <w:rStyle w:val="VerbatimChar"/>
        </w:rPr>
        <w:t xml:space="preserve">init</w:t>
      </w:r>
      <w:r>
        <w:t xml:space="preserve">, the query was:</w:t>
      </w:r>
    </w:p>
    <w:p>
      <w:pPr>
        <w:pStyle w:val="SourceCode"/>
      </w:pPr>
      <w:r>
        <w:rPr>
          <w:rStyle w:val="VerbatimChar"/>
        </w:rPr>
        <w:t xml:space="preserve">"&lt;last&gt; &lt;init&gt;"[Author] AND (&lt;journal_filter&gt;)</w:t>
      </w:r>
    </w:p>
    <w:p>
      <w:pPr>
        <w:pStyle w:val="FirstParagraph"/>
      </w:pPr>
      <w:r>
        <w:t xml:space="preserve">where</w:t>
      </w:r>
      <w:r>
        <w:t xml:space="preserve"> </w:t>
      </w:r>
      <w:r>
        <w:rPr>
          <w:rStyle w:val="VerbatimChar"/>
        </w:rPr>
        <w:t xml:space="preserve">&lt;journal_filter&gt;</w:t>
      </w:r>
      <w:r>
        <w:t xml:space="preserve"> </w:t>
      </w:r>
      <w:r>
        <w:t xml:space="preserve">was a disjunction of 16 journal title abbreviations using the</w:t>
      </w:r>
      <w:r>
        <w:t xml:space="preserve"> </w:t>
      </w:r>
      <w:r>
        <w:rPr>
          <w:rStyle w:val="VerbatimChar"/>
        </w:rPr>
        <w:t xml:space="preserve">[ta]</w:t>
      </w:r>
      <w:r>
        <w:t xml:space="preserve"> </w:t>
      </w:r>
      <w:r>
        <w:t xml:space="preserve">field tag:</w:t>
      </w:r>
    </w:p>
    <w:p>
      <w:pPr>
        <w:pStyle w:val="SourceCode"/>
      </w:pPr>
      <w:r>
        <w:rPr>
          <w:rStyle w:val="VerbatimChar"/>
        </w:rPr>
        <w:t xml:space="preserve">("Am J Obstet Gynecol"[ta] OR "Obstet Gynecol"[ta] OR</w:t>
      </w:r>
      <w:r>
        <w:br/>
      </w:r>
      <w:r>
        <w:rPr>
          <w:rStyle w:val="VerbatimChar"/>
        </w:rPr>
        <w:t xml:space="preserve"> "J Minim Invasive Gynecol"[ta] OR "Fertil Steril"[ta] OR</w:t>
      </w:r>
      <w:r>
        <w:br/>
      </w:r>
      <w:r>
        <w:rPr>
          <w:rStyle w:val="VerbatimChar"/>
        </w:rPr>
        <w:t xml:space="preserve"> "Gynecol Oncol"[ta] OR "Female Pelvic Med Reconstr Surg"[ta] OR</w:t>
      </w:r>
      <w:r>
        <w:br/>
      </w:r>
      <w:r>
        <w:rPr>
          <w:rStyle w:val="VerbatimChar"/>
        </w:rPr>
        <w:t xml:space="preserve"> "Int J Gynaecol Obstet"[ta] OR "BJOG"[ta] OR</w:t>
      </w:r>
      <w:r>
        <w:br/>
      </w:r>
      <w:r>
        <w:rPr>
          <w:rStyle w:val="VerbatimChar"/>
        </w:rPr>
        <w:t xml:space="preserve"> "Eur J Obstet Gynecol Reprod Biol"[ta] OR "J Gynecol Oncol"[ta] OR</w:t>
      </w:r>
      <w:r>
        <w:br/>
      </w:r>
      <w:r>
        <w:rPr>
          <w:rStyle w:val="VerbatimChar"/>
        </w:rPr>
        <w:t xml:space="preserve"> "Reprod Sci"[ta] OR "Contraception"[ta] OR "Hum Reprod"[ta] OR</w:t>
      </w:r>
      <w:r>
        <w:br/>
      </w:r>
      <w:r>
        <w:rPr>
          <w:rStyle w:val="VerbatimChar"/>
        </w:rPr>
        <w:t xml:space="preserve"> "Menopause"[ta] OR "Ultrasound Obstet Gynecol"[ta] OR "JSLS"[ta])</w:t>
      </w:r>
    </w:p>
    <w:p>
      <w:pPr>
        <w:pStyle w:val="FirstParagraph"/>
      </w:pPr>
      <w:r>
        <w:t xml:space="preserve">Up to 5 PubMed records were fetched for each query. The XML was scanned for an</w:t>
      </w:r>
      <w:r>
        <w:t xml:space="preserve"> </w:t>
      </w:r>
      <w:r>
        <w:rPr>
          <w:rStyle w:val="VerbatimChar"/>
        </w:rPr>
        <w:t xml:space="preserve">&lt;Author&gt;</w:t>
      </w:r>
      <w:r>
        <w:t xml:space="preserve"> </w:t>
      </w:r>
      <w:r>
        <w:t xml:space="preserve">node whose</w:t>
      </w:r>
      <w:r>
        <w:t xml:space="preserve"> </w:t>
      </w:r>
      <w:r>
        <w:rPr>
          <w:rStyle w:val="VerbatimChar"/>
        </w:rPr>
        <w:t xml:space="preserve">&lt;LastName&gt;</w:t>
      </w:r>
      <w:r>
        <w:t xml:space="preserve"> </w:t>
      </w:r>
      <w:r>
        <w:t xml:space="preserve">and</w:t>
      </w:r>
      <w:r>
        <w:t xml:space="preserve"> </w:t>
      </w:r>
      <w:r>
        <w:rPr>
          <w:rStyle w:val="VerbatimChar"/>
        </w:rPr>
        <w:t xml:space="preserve">&lt;Initials&gt;</w:t>
      </w:r>
      <w:r>
        <w:t xml:space="preserve"> </w:t>
      </w:r>
      <w:r>
        <w:t xml:space="preserve">matched the query terms; when found, the</w:t>
      </w:r>
      <w:r>
        <w:t xml:space="preserve"> </w:t>
      </w:r>
      <w:r>
        <w:rPr>
          <w:rStyle w:val="VerbatimChar"/>
        </w:rPr>
        <w:t xml:space="preserve">&lt;ForeName&gt;</w:t>
      </w:r>
      <w:r>
        <w:t xml:space="preserve"> </w:t>
      </w:r>
      <w:r>
        <w:t xml:space="preserve">was extracted and its first word retained.</w:t>
      </w:r>
    </w:p>
    <w:p>
      <w:pPr>
        <w:pStyle w:val="BodyText"/>
      </w:pPr>
      <w:r>
        <w:rPr>
          <w:b/>
          <w:bCs/>
        </w:rPr>
        <w:t xml:space="preserve">Illustrative examples.</w:t>
      </w:r>
      <w:r>
        <w:t xml:space="preserve"> </w:t>
      </w:r>
      <w:r>
        <w:t xml:space="preserve">The table below shows representative author-name recoveries: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AAGL recorded name</w:t>
            </w:r>
          </w:p>
        </w:tc>
        <w:tc>
          <w:tcPr/>
          <w:p>
            <w:pPr>
              <w:pStyle w:val="Compact"/>
            </w:pPr>
            <w:r>
              <w:t xml:space="preserve">PubMed query</w:t>
            </w:r>
          </w:p>
        </w:tc>
        <w:tc>
          <w:tcPr/>
          <w:p>
            <w:pPr>
              <w:pStyle w:val="Compact"/>
            </w:pPr>
            <w:r>
              <w:t xml:space="preserve">Full first name recovered</w:t>
            </w:r>
          </w:p>
        </w:tc>
        <w:tc>
          <w:tcPr/>
          <w:p>
            <w:pPr>
              <w:pStyle w:val="Compact"/>
            </w:pPr>
            <w:r>
              <w:t xml:space="preserve">Gender</w:t>
            </w:r>
          </w:p>
        </w:tc>
        <w:tc>
          <w:tcPr/>
          <w:p>
            <w:pPr>
              <w:pStyle w:val="Compact"/>
            </w:pPr>
            <w:r>
              <w:t xml:space="preserve">Probability</w:t>
            </w:r>
          </w:p>
        </w:tc>
      </w:tr>
      <w:tr>
        <w:tc>
          <w:tcPr/>
          <w:p>
            <w:pPr>
              <w:pStyle w:val="Compact"/>
            </w:pPr>
            <w:r>
              <w:t xml:space="preserve">R.S. Guido</w:t>
            </w:r>
          </w:p>
        </w:tc>
        <w:tc>
          <w:tcPr/>
          <w:p>
            <w:pPr>
              <w:pStyle w:val="Compact"/>
            </w:pPr>
            <w:r>
              <w:rPr>
                <w:rStyle w:val="VerbatimChar"/>
              </w:rPr>
              <w:t xml:space="preserve">"Guido RS"[Author] AND (JMIG[ta] OR AJOG[ta] OR ...)</w:t>
            </w:r>
          </w:p>
        </w:tc>
        <w:tc>
          <w:tcPr/>
          <w:p>
            <w:pPr>
              <w:pStyle w:val="Compact"/>
            </w:pPr>
            <w:r>
              <w:t xml:space="preserve">Richard</w:t>
            </w:r>
          </w:p>
        </w:tc>
        <w:tc>
          <w:tcPr/>
          <w:p>
            <w:pPr>
              <w:pStyle w:val="Compact"/>
            </w:pPr>
            <w:r>
              <w:t xml:space="preserve">male</w:t>
            </w:r>
          </w:p>
        </w:tc>
        <w:tc>
          <w:tcPr/>
          <w:p>
            <w:pPr>
              <w:pStyle w:val="Compact"/>
            </w:pPr>
            <w:r>
              <w:t xml:space="preserve">99.6%</w:t>
            </w:r>
          </w:p>
        </w:tc>
      </w:tr>
      <w:tr>
        <w:tc>
          <w:tcPr/>
          <w:p>
            <w:pPr>
              <w:pStyle w:val="Compact"/>
            </w:pPr>
            <w:r>
              <w:t xml:space="preserve">E. Banks</w:t>
            </w:r>
          </w:p>
        </w:tc>
        <w:tc>
          <w:tcPr/>
          <w:p>
            <w:pPr>
              <w:pStyle w:val="Compact"/>
            </w:pPr>
            <w:r>
              <w:rPr>
                <w:rStyle w:val="VerbatimChar"/>
              </w:rPr>
              <w:t xml:space="preserve">"Banks E"[Author] AND (...)</w:t>
            </w:r>
          </w:p>
        </w:tc>
        <w:tc>
          <w:tcPr/>
          <w:p>
            <w:pPr>
              <w:pStyle w:val="Compact"/>
            </w:pPr>
            <w:r>
              <w:t xml:space="preserve">Erika</w:t>
            </w:r>
          </w:p>
        </w:tc>
        <w:tc>
          <w:tcPr/>
          <w:p>
            <w:pPr>
              <w:pStyle w:val="Compact"/>
            </w:pPr>
            <w:r>
              <w:t xml:space="preserve">female</w:t>
            </w:r>
          </w:p>
        </w:tc>
        <w:tc>
          <w:tcPr/>
          <w:p>
            <w:pPr>
              <w:pStyle w:val="Compact"/>
            </w:pPr>
            <w:r>
              <w:t xml:space="preserve">99.6%</w:t>
            </w:r>
          </w:p>
        </w:tc>
      </w:tr>
      <w:tr>
        <w:tc>
          <w:tcPr/>
          <w:p>
            <w:pPr>
              <w:pStyle w:val="Compact"/>
            </w:pPr>
            <w:r>
              <w:t xml:space="preserve">K.N. Wright</w:t>
            </w:r>
          </w:p>
        </w:tc>
        <w:tc>
          <w:tcPr/>
          <w:p>
            <w:pPr>
              <w:pStyle w:val="Compact"/>
            </w:pPr>
            <w:r>
              <w:rPr>
                <w:rStyle w:val="VerbatimChar"/>
              </w:rPr>
              <w:t xml:space="preserve">"Wright KN"[Author] AND (...)</w:t>
            </w:r>
          </w:p>
        </w:tc>
        <w:tc>
          <w:tcPr/>
          <w:p>
            <w:pPr>
              <w:pStyle w:val="Compact"/>
            </w:pPr>
            <w:r>
              <w:t xml:space="preserve">Kelly</w:t>
            </w:r>
          </w:p>
        </w:tc>
        <w:tc>
          <w:tcPr/>
          <w:p>
            <w:pPr>
              <w:pStyle w:val="Compact"/>
            </w:pPr>
            <w:r>
              <w:t xml:space="preserve">female</w:t>
            </w:r>
          </w:p>
        </w:tc>
        <w:tc>
          <w:tcPr/>
          <w:p>
            <w:pPr>
              <w:pStyle w:val="Compact"/>
            </w:pPr>
            <w:r>
              <w:t xml:space="preserve">86.3%</w:t>
            </w:r>
          </w:p>
        </w:tc>
      </w:tr>
      <w:tr>
        <w:tc>
          <w:tcPr/>
          <w:p>
            <w:pPr>
              <w:pStyle w:val="Compact"/>
            </w:pPr>
            <w:r>
              <w:t xml:space="preserve">P. Messori</w:t>
            </w:r>
          </w:p>
        </w:tc>
        <w:tc>
          <w:tcPr/>
          <w:p>
            <w:pPr>
              <w:pStyle w:val="Compact"/>
            </w:pPr>
            <w:r>
              <w:rPr>
                <w:rStyle w:val="VerbatimChar"/>
              </w:rPr>
              <w:t xml:space="preserve">"Messori P"[Author] AND (...)</w:t>
            </w:r>
          </w:p>
        </w:tc>
        <w:tc>
          <w:tcPr/>
          <w:p>
            <w:pPr>
              <w:pStyle w:val="Compact"/>
            </w:pPr>
            <w:r>
              <w:t xml:space="preserve">Pietro</w:t>
            </w:r>
          </w:p>
        </w:tc>
        <w:tc>
          <w:tcPr/>
          <w:p>
            <w:pPr>
              <w:pStyle w:val="Compact"/>
            </w:pPr>
            <w:r>
              <w:t xml:space="preserve">male</w:t>
            </w:r>
          </w:p>
        </w:tc>
        <w:tc>
          <w:tcPr/>
          <w:p>
            <w:pPr>
              <w:pStyle w:val="Compact"/>
            </w:pPr>
            <w:r>
              <w:t xml:space="preserve">100%</w:t>
            </w:r>
          </w:p>
        </w:tc>
      </w:tr>
      <w:tr>
        <w:tc>
          <w:tcPr/>
          <w:p>
            <w:pPr>
              <w:pStyle w:val="Compact"/>
            </w:pPr>
            <w:r>
              <w:t xml:space="preserve">D. Lum</w:t>
            </w:r>
          </w:p>
        </w:tc>
        <w:tc>
          <w:tcPr/>
          <w:p>
            <w:pPr>
              <w:pStyle w:val="Compact"/>
            </w:pPr>
            <w:r>
              <w:rPr>
                <w:rStyle w:val="VerbatimChar"/>
              </w:rPr>
              <w:t xml:space="preserve">"Lum D"[Author] AND (...)</w:t>
            </w:r>
          </w:p>
        </w:tc>
        <w:tc>
          <w:tcPr/>
          <w:p>
            <w:pPr>
              <w:pStyle w:val="Compact"/>
            </w:pPr>
            <w:r>
              <w:t xml:space="preserve">Deirdre</w:t>
            </w:r>
          </w:p>
        </w:tc>
        <w:tc>
          <w:tcPr/>
          <w:p>
            <w:pPr>
              <w:pStyle w:val="Compact"/>
            </w:pPr>
            <w:r>
              <w:t xml:space="preserve">female</w:t>
            </w:r>
          </w:p>
        </w:tc>
        <w:tc>
          <w:tcPr/>
          <w:p>
            <w:pPr>
              <w:pStyle w:val="Compact"/>
            </w:pPr>
            <w:r>
              <w:t xml:space="preserve">100%</w:t>
            </w:r>
          </w:p>
        </w:tc>
      </w:tr>
      <w:tr>
        <w:tc>
          <w:tcPr/>
          <w:p>
            <w:pPr>
              <w:pStyle w:val="Compact"/>
            </w:pPr>
            <w:r>
              <w:t xml:space="preserve">T. Singer</w:t>
            </w:r>
          </w:p>
        </w:tc>
        <w:tc>
          <w:tcPr/>
          <w:p>
            <w:pPr>
              <w:pStyle w:val="Compact"/>
            </w:pPr>
            <w:r>
              <w:rPr>
                <w:rStyle w:val="VerbatimChar"/>
              </w:rPr>
              <w:t xml:space="preserve">"Singer T"[Author] AND (...)</w:t>
            </w:r>
          </w:p>
        </w:tc>
        <w:tc>
          <w:tcPr/>
          <w:p>
            <w:pPr>
              <w:pStyle w:val="Compact"/>
            </w:pPr>
            <w:r>
              <w:t xml:space="preserve">Tomer</w:t>
            </w:r>
          </w:p>
        </w:tc>
        <w:tc>
          <w:tcPr/>
          <w:p>
            <w:pPr>
              <w:pStyle w:val="Compact"/>
            </w:pPr>
            <w:r>
              <w:t xml:space="preserve">male</w:t>
            </w:r>
          </w:p>
        </w:tc>
        <w:tc>
          <w:tcPr/>
          <w:p>
            <w:pPr>
              <w:pStyle w:val="Compact"/>
            </w:pPr>
            <w:r>
              <w:t xml:space="preserve">100%</w:t>
            </w:r>
          </w:p>
        </w:tc>
      </w:tr>
    </w:tbl>
    <w:p>
      <w:pPr>
        <w:pStyle w:val="BodyText"/>
      </w:pPr>
      <w:r>
        <w:t xml:space="preserve">Results were cached at</w:t>
      </w:r>
      <w:r>
        <w:t xml:space="preserve"> </w:t>
      </w:r>
      <w:r>
        <w:rPr>
          <w:rStyle w:val="VerbatimChar"/>
        </w:rPr>
        <w:t xml:space="preserve">data/cache/pubmed_obgyn/&lt;last&gt;_&lt;init&gt;.rds</w:t>
      </w:r>
      <w:r>
        <w:t xml:space="preserve"> </w:t>
      </w:r>
      <w:r>
        <w:t xml:space="preserve">to allow instant re-runs.</w:t>
      </w:r>
    </w:p>
    <w:p>
      <w:pPr>
        <w:pStyle w:val="BodyText"/>
      </w:pPr>
      <w:r>
        <w:rPr>
          <w:b/>
          <w:bCs/>
        </w:rPr>
        <w:t xml:space="preserve">Results.</w:t>
      </w:r>
      <w:r>
        <w:t xml:space="preserve"> </w:t>
      </w:r>
      <w:r>
        <w:t xml:space="preserve">Of 684 unique author last-name/initial pairs without gender, 446 (65.2%) yielded a full first name. Gender was inferred for 380 of those via SSA (Pass 1) and genderize.io (Pass 2), comprising 208 female and 172 male authors. The combined four-strategy cascade brought total first-author gender coverage from 202/1,067 (18.9%) after Step 09c to</w:t>
      </w:r>
      <w:r>
        <w:t xml:space="preserve"> </w:t>
      </w:r>
      <w:r>
        <w:rPr>
          <w:b/>
          <w:bCs/>
        </w:rPr>
        <w:t xml:space="preserve">609/1,067 (57.1%)</w:t>
      </w:r>
      <w:r>
        <w:t xml:space="preserve"> </w:t>
      </w:r>
      <w:r>
        <w:t xml:space="preserve">— crossing the 50% threshold used as the inclusion criterion for logistic regression in the primary analysis.</w:t>
      </w:r>
    </w:p>
    <w:bookmarkEnd w:id="68"/>
    <w:bookmarkStart w:id="69" w:name="X8279586a5e41d1134759d5c6e3a278a281deec6"/>
    <w:p>
      <w:pPr>
        <w:pStyle w:val="Heading3"/>
      </w:pPr>
      <w:r>
        <w:t xml:space="preserve">A10.15 Strategy 5: OpenAlex Works Search (Script</w:t>
      </w:r>
      <w:r>
        <w:t xml:space="preserve"> </w:t>
      </w:r>
      <w:r>
        <w:rPr>
          <w:rStyle w:val="VerbatimChar"/>
        </w:rPr>
        <w:t xml:space="preserve">09i</w:t>
      </w:r>
      <w:r>
        <w:t xml:space="preserve">)</w:t>
      </w:r>
    </w:p>
    <w:p>
      <w:pPr>
        <w:pStyle w:val="FirstParagraph"/>
      </w:pPr>
      <w:r>
        <w:t xml:space="preserve">As a complement to the PubMed-based search in Strategy 4, the same journal-restricted approach was applied to the OpenAlex works API. OpenAlex indexes approximately 250 million works across all fields and may include papers absent from MEDLINE — older articles not backfilled into PubMed, papers from journals with incomplete MEDLINE indexing, and some author-manuscript deposits — making it a non-redundant second source.</w:t>
      </w:r>
    </w:p>
    <w:p>
      <w:pPr>
        <w:pStyle w:val="BodyText"/>
      </w:pPr>
      <w:r>
        <w:rPr>
          <w:b/>
          <w:bCs/>
        </w:rPr>
        <w:t xml:space="preserve">Query construction.</w:t>
      </w:r>
      <w:r>
        <w:t xml:space="preserve"> </w:t>
      </w:r>
      <w:r>
        <w:t xml:space="preserve">For each author still missing gender, an HTTP GET request was issued to the OpenAlex works endpoint filtered by journal ISSN and author last name:</w:t>
      </w:r>
    </w:p>
    <w:p>
      <w:pPr>
        <w:pStyle w:val="SourceCode"/>
      </w:pPr>
      <w:r>
        <w:rPr>
          <w:rStyle w:val="VerbatimChar"/>
        </w:rPr>
        <w:t xml:space="preserve">GET https://api.openalex.org/works</w:t>
      </w:r>
      <w:r>
        <w:br/>
      </w:r>
      <w:r>
        <w:rPr>
          <w:rStyle w:val="VerbatimChar"/>
        </w:rPr>
        <w:t xml:space="preserve">  ?filter=primary_location.source.issn:&lt;ISSN1&gt;|&lt;ISSN2&gt;|...,</w:t>
      </w:r>
      <w:r>
        <w:br/>
      </w:r>
      <w:r>
        <w:rPr>
          <w:rStyle w:val="VerbatimChar"/>
        </w:rPr>
        <w:t xml:space="preserve">          raw_author_name.search:&lt;last&gt;</w:t>
      </w:r>
      <w:r>
        <w:br/>
      </w:r>
      <w:r>
        <w:rPr>
          <w:rStyle w:val="VerbatimChar"/>
        </w:rPr>
        <w:t xml:space="preserve">  &amp;select=id,authorships</w:t>
      </w:r>
      <w:r>
        <w:br/>
      </w:r>
      <w:r>
        <w:rPr>
          <w:rStyle w:val="VerbatimChar"/>
        </w:rPr>
        <w:t xml:space="preserve">  &amp;per_page=10</w:t>
      </w:r>
      <w:r>
        <w:br/>
      </w:r>
      <w:r>
        <w:rPr>
          <w:rStyle w:val="VerbatimChar"/>
        </w:rPr>
        <w:t xml:space="preserve">  &amp;mailto=tyler.muffly@dhha.org</w:t>
      </w:r>
    </w:p>
    <w:p>
      <w:pPr>
        <w:pStyle w:val="FirstParagraph"/>
      </w:pPr>
      <w:r>
        <w:t xml:space="preserve">The</w:t>
      </w:r>
      <w:r>
        <w:t xml:space="preserve"> </w:t>
      </w:r>
      <w:r>
        <w:rPr>
          <w:rStyle w:val="VerbatimChar"/>
        </w:rPr>
        <w:t xml:space="preserve">raw_author_name.search</w:t>
      </w:r>
      <w:r>
        <w:t xml:space="preserve"> </w:t>
      </w:r>
      <w:r>
        <w:t xml:space="preserve">filter performs a full-text search over the raw author string as it appears in the original paper (e.g.,</w:t>
      </w:r>
      <w:r>
        <w:t xml:space="preserve"> </w:t>
      </w:r>
      <w:r>
        <w:t xml:space="preserve">“Richard S. Guido”</w:t>
      </w:r>
      <w:r>
        <w:t xml:space="preserve">), allowing retrieval even when the author has not been disambiguated to an OpenAlex author ID. The same 17 journal ISSNs used in Strategy 4 were supplied as a pipe-delimited OR filter.</w:t>
      </w:r>
    </w:p>
    <w:p>
      <w:pPr>
        <w:pStyle w:val="BodyText"/>
      </w:pPr>
      <w:r>
        <w:rPr>
          <w:b/>
          <w:bCs/>
        </w:rPr>
        <w:t xml:space="preserve">Match logic.</w:t>
      </w:r>
      <w:r>
        <w:t xml:space="preserve"> </w:t>
      </w:r>
      <w:r>
        <w:t xml:space="preserve">For each returned authorship, two conditions were required: (1) the raw author name ends with the queried last name (case-insensitive), and (2) the first character of the OpenAlex</w:t>
      </w:r>
      <w:r>
        <w:t xml:space="preserve"> </w:t>
      </w:r>
      <w:r>
        <w:rPr>
          <w:rStyle w:val="VerbatimChar"/>
        </w:rPr>
        <w:t xml:space="preserve">display_name</w:t>
      </w:r>
      <w:r>
        <w:t xml:space="preserve"> </w:t>
      </w:r>
      <w:r>
        <w:t xml:space="preserve">matches the first character of our recorded initials. When both conditions held, the first word of</w:t>
      </w:r>
      <w:r>
        <w:t xml:space="preserve"> </w:t>
      </w:r>
      <w:r>
        <w:rPr>
          <w:rStyle w:val="VerbatimChar"/>
        </w:rPr>
        <w:t xml:space="preserve">display_name</w:t>
      </w:r>
      <w:r>
        <w:t xml:space="preserve"> </w:t>
      </w:r>
      <w:r>
        <w:t xml:space="preserve">was taken as the full first name. Results were cached at</w:t>
      </w:r>
      <w:r>
        <w:t xml:space="preserve"> </w:t>
      </w:r>
      <w:r>
        <w:rPr>
          <w:rStyle w:val="VerbatimChar"/>
        </w:rPr>
        <w:t xml:space="preserve">data/cache/openalex_author/&lt;last&gt;_&lt;init&gt;.rds</w:t>
      </w:r>
      <w:r>
        <w:t xml:space="preserve">.</w:t>
      </w:r>
    </w:p>
    <w:p>
      <w:pPr>
        <w:pStyle w:val="BodyText"/>
      </w:pPr>
      <w:r>
        <w:rPr>
          <w:b/>
          <w:bCs/>
        </w:rPr>
        <w:t xml:space="preserve">Gender inference.</w:t>
      </w:r>
      <w:r>
        <w:t xml:space="preserve"> </w:t>
      </w:r>
      <w:r>
        <w:t xml:space="preserve">Recovered first names were classified by SSA (Pass 1) and genderize.io (Pass 2), identical to Strategies 2–4. Gender values were coalesced with the existing</w:t>
      </w:r>
      <w:r>
        <w:t xml:space="preserve"> </w:t>
      </w:r>
      <w:r>
        <w:rPr>
          <w:rStyle w:val="VerbatimChar"/>
        </w:rPr>
        <w:t xml:space="preserve">gender_unified</w:t>
      </w:r>
      <w:r>
        <w:t xml:space="preserve"> </w:t>
      </w:r>
      <w:r>
        <w:t xml:space="preserve">column — existing assignments were never overwritten.</w:t>
      </w:r>
    </w:p>
    <w:bookmarkEnd w:id="69"/>
    <w:bookmarkEnd w:id="70"/>
    <w:bookmarkStart w:id="163" w:name="Xd66443fb5f10e27aa61b6230b5f717e7f21ecfc"/>
    <w:p>
      <w:pPr>
        <w:pStyle w:val="Heading2"/>
      </w:pPr>
      <w:r>
        <w:t xml:space="preserve">A11. Expanding the Pipeline to Other Subspecialties</w:t>
      </w:r>
    </w:p>
    <w:bookmarkStart w:id="71" w:name="a11.1-rationale"/>
    <w:p>
      <w:pPr>
        <w:pStyle w:val="Heading3"/>
      </w:pPr>
      <w:r>
        <w:t xml:space="preserve">A11.1 Rationale</w:t>
      </w:r>
    </w:p>
    <w:p>
      <w:pPr>
        <w:pStyle w:val="FirstParagraph"/>
      </w:pPr>
      <w:r>
        <w:t xml:space="preserve">The abstract-to-publication pipeline developed for the American Association of Gynecologic Laparoscopists (AAGL) addresses a long-standing methodological gap in surgical education research: the systematic, Cochrane MR000005-compliant tracking of conference abstract fate across an entire subspecialty society. Using the full pipeline, the AAGL dataset achieved a confirmed (definite) publication rate of 11.4% across 1,106 oral presentations from 2012–2023, with a further 21% classified as probable or possible matches — figures that are directly comparable to published abstract-to-publication literature because they follow the same Cochrane methodology for search strategy enumeration, adjudication tier definitions, and time-to-event censoring.</w:t>
      </w:r>
    </w:p>
    <w:p>
      <w:pPr>
        <w:pStyle w:val="BodyText"/>
      </w:pPr>
      <w:r>
        <w:t xml:space="preserve">Three distinct scientific motivations support expanding this pipeline to additional OB/GYN societies.</w:t>
      </w:r>
    </w:p>
    <w:p>
      <w:pPr>
        <w:pStyle w:val="BodyText"/>
      </w:pPr>
      <w:r>
        <w:rPr>
          <w:b/>
          <w:bCs/>
        </w:rPr>
        <w:t xml:space="preserve">Publication bias quantification.</w:t>
      </w:r>
      <w:r>
        <w:t xml:space="preserve"> </w:t>
      </w:r>
      <w:r>
        <w:t xml:space="preserve">A foundational concern in evidence-based medicine is that abstracts with positive or statistically significant results are more likely to be published as full articles. The AAGL dataset alone (n = 1,106 abstracts, 122 definite matches) is underpowered to detect modest publication-bias effects in pre-specified subgroups (e.g., by research category, study design, or calendar year). A pooled multi-society dataset of 6,000–10,000 abstracts would provide adequate statistical power for publication-bias meta-regression using Egger’s test and trim-and-fill methods applied at the conference rather than journal level.</w:t>
      </w:r>
    </w:p>
    <w:p>
      <w:pPr>
        <w:pStyle w:val="BodyText"/>
      </w:pPr>
      <w:r>
        <w:rPr>
          <w:b/>
          <w:bCs/>
        </w:rPr>
        <w:t xml:space="preserve">Academic productivity benchmarking.</w:t>
      </w:r>
      <w:r>
        <w:t xml:space="preserve"> </w:t>
      </w:r>
      <w:r>
        <w:t xml:space="preserve">Hospital systems, academic departments, and fellowship program directors increasingly use conference-abstract-to-publication conversion rates as a proxy for mentorship quality and research productivity. Single-society benchmarks are confounded by society-specific factors (acceptance rate, presentation format, subspecialty norms). A cross-society normative dataset would allow fair inter-institutional comparison by adjusting for subspecialty context.</w:t>
      </w:r>
    </w:p>
    <w:p>
      <w:pPr>
        <w:pStyle w:val="BodyText"/>
      </w:pPr>
      <w:r>
        <w:rPr>
          <w:b/>
          <w:bCs/>
        </w:rPr>
        <w:t xml:space="preserve">Cross-subspecialty comparison.</w:t>
      </w:r>
      <w:r>
        <w:t xml:space="preserve"> </w:t>
      </w:r>
      <w:r>
        <w:t xml:space="preserve">Minimally invasive gynecologic surgery (AAGL), maternal-fetal medicine (SMFM), gynecologic oncology (SGO), and female pelvic medicine and reconstructive surgery (AUGS) represent scientifically adjacent but institutionally distinct communities. Whether publication rates, time-to-publication, and authorship diversity differ systematically across these subspecialties is an open empirical question with implications for how each field values and rewards conference-level scholarship.</w:t>
      </w:r>
    </w:p>
    <w:p>
      <w:pPr>
        <w:pStyle w:val="BodyText"/>
      </w:pPr>
      <w:r>
        <w:t xml:space="preserve">The pipeline’s modular architecture supports three levels of analysis once multi-society data are assembled: (1) within-society trends over time (the current AAGL analysis), (2) cross-society head-to-head comparisons controlling for year and study design, and (3) full OB/GYN landscape analyses treating all societies simultaneously using fixed-effects or random-effects models with society as the clustering variable.</w:t>
      </w:r>
    </w:p>
    <w:bookmarkEnd w:id="71"/>
    <w:bookmarkStart w:id="72" w:name="X8d18a524db344508a97dc288343960ab7476c89"/>
    <w:p>
      <w:pPr>
        <w:pStyle w:val="Heading3"/>
      </w:pPr>
      <w:r>
        <w:t xml:space="preserve">A11.2 Candidate Societies and Conferences</w:t>
      </w:r>
    </w:p>
    <w:p>
      <w:pPr>
        <w:pStyle w:val="FirstParagraph"/>
      </w:pPr>
      <w:r>
        <w:t xml:space="preserve">Ten societies encompassing the full spectrum of OB/GYN subspecialties publish annual meeting abstracts in indexed journals and represent the candidate expansion set. The table below provides complete metadata relevant to pipeline feasibility assessment. Membership size estimates are from publicly available society annual reports and NIH workforce data; average abstract counts per year are derived from CrossRef DOI enumeration or PubMed supplement record counts.</w:t>
      </w:r>
    </w:p>
    <w:tbl>
      <w:tblPr>
        <w:tblStyle w:val="Table"/>
        <w:tblW w:type="pct" w:w="5000"/>
        <w:tblLayout w:type="fixed"/>
        <w:tblLook w:firstRow="1" w:lastRow="0" w:firstColumn="0" w:lastColumn="0" w:noHBand="0" w:noVBand="0" w:val="0020"/>
      </w:tblPr>
      <w:tblGrid>
        <w:gridCol w:w="472"/>
        <w:gridCol w:w="576"/>
        <w:gridCol w:w="681"/>
        <w:gridCol w:w="472"/>
        <w:gridCol w:w="524"/>
        <w:gridCol w:w="472"/>
        <w:gridCol w:w="996"/>
        <w:gridCol w:w="996"/>
        <w:gridCol w:w="1101"/>
        <w:gridCol w:w="786"/>
        <w:gridCol w:w="839"/>
      </w:tblGrid>
      <w:tr>
        <w:trPr>
          <w:tblHeader w:val="on"/>
        </w:trPr>
        <w:tc>
          <w:tcPr/>
          <w:p>
            <w:pPr>
              <w:pStyle w:val="Compact"/>
            </w:pPr>
            <w:r>
              <w:t xml:space="preserve">Society</w:t>
            </w:r>
          </w:p>
        </w:tc>
        <w:tc>
          <w:tcPr/>
          <w:p>
            <w:pPr>
              <w:pStyle w:val="Compact"/>
            </w:pPr>
            <w:r>
              <w:t xml:space="preserve">Full Name</w:t>
            </w:r>
          </w:p>
        </w:tc>
        <w:tc>
          <w:tcPr/>
          <w:p>
            <w:pPr>
              <w:pStyle w:val="Compact"/>
            </w:pPr>
            <w:r>
              <w:t xml:space="preserve">Abbreviation</w:t>
            </w:r>
          </w:p>
        </w:tc>
        <w:tc>
          <w:tcPr/>
          <w:p>
            <w:pPr>
              <w:pStyle w:val="Compact"/>
            </w:pPr>
            <w:r>
              <w:t xml:space="preserve">Journal</w:t>
            </w:r>
          </w:p>
        </w:tc>
        <w:tc>
          <w:tcPr/>
          <w:p>
            <w:pPr>
              <w:pStyle w:val="Compact"/>
            </w:pPr>
            <w:r>
              <w:t xml:space="preserve">Platform</w:t>
            </w:r>
          </w:p>
        </w:tc>
        <w:tc>
          <w:tcPr/>
          <w:p>
            <w:pPr>
              <w:pStyle w:val="Compact"/>
            </w:pPr>
            <w:r>
              <w:t xml:space="preserve">DOI Type</w:t>
            </w:r>
          </w:p>
        </w:tc>
        <w:tc>
          <w:tcPr/>
          <w:p>
            <w:pPr>
              <w:pStyle w:val="Compact"/>
            </w:pPr>
            <w:r>
              <w:t xml:space="preserve">Avg Abstracts/Year</w:t>
            </w:r>
          </w:p>
        </w:tc>
        <w:tc>
          <w:tcPr/>
          <w:p>
            <w:pPr>
              <w:pStyle w:val="Compact"/>
            </w:pPr>
            <w:r>
              <w:t xml:space="preserve">Members (approx.)</w:t>
            </w:r>
          </w:p>
        </w:tc>
        <w:tc>
          <w:tcPr/>
          <w:p>
            <w:pPr>
              <w:pStyle w:val="Compact"/>
            </w:pPr>
            <w:r>
              <w:t xml:space="preserve">Subspecialty Focus</w:t>
            </w:r>
          </w:p>
        </w:tc>
        <w:tc>
          <w:tcPr/>
          <w:p>
            <w:pPr>
              <w:pStyle w:val="Compact"/>
            </w:pPr>
            <w:r>
              <w:t xml:space="preserve">Meeting Month</w:t>
            </w:r>
          </w:p>
        </w:tc>
        <w:tc>
          <w:tcPr/>
          <w:p>
            <w:pPr>
              <w:pStyle w:val="Compact"/>
            </w:pPr>
            <w:r>
              <w:t xml:space="preserve">Years Available</w:t>
            </w:r>
          </w:p>
        </w:tc>
      </w:tr>
      <w:tr>
        <w:tc>
          <w:tcPr/>
          <w:p>
            <w:pPr>
              <w:pStyle w:val="Compact"/>
            </w:pPr>
            <w:r>
              <w:t xml:space="preserve">AAGL</w:t>
            </w:r>
          </w:p>
        </w:tc>
        <w:tc>
          <w:tcPr/>
          <w:p>
            <w:pPr>
              <w:pStyle w:val="Compact"/>
            </w:pPr>
            <w:r>
              <w:t xml:space="preserve">Amer. Assoc. of Gynecologic Laparoscopists</w:t>
            </w:r>
          </w:p>
        </w:tc>
        <w:tc>
          <w:tcPr/>
          <w:p>
            <w:pPr>
              <w:pStyle w:val="Compact"/>
            </w:pPr>
            <w:r>
              <w:t xml:space="preserve">AAGL</w:t>
            </w:r>
          </w:p>
        </w:tc>
        <w:tc>
          <w:tcPr/>
          <w:p>
            <w:pPr>
              <w:pStyle w:val="Compact"/>
            </w:pPr>
            <w:r>
              <w:rPr>
                <w:i/>
                <w:iCs/>
              </w:rPr>
              <w:t xml:space="preserve">JMIG</w:t>
            </w:r>
          </w:p>
        </w:tc>
        <w:tc>
          <w:tcPr/>
          <w:p>
            <w:pPr>
              <w:pStyle w:val="Compact"/>
            </w:pPr>
            <w:r>
              <w:t xml:space="preserve">ScienceDirect</w:t>
            </w:r>
          </w:p>
        </w:tc>
        <w:tc>
          <w:tcPr/>
          <w:p>
            <w:pPr>
              <w:pStyle w:val="Compact"/>
            </w:pPr>
            <w:r>
              <w:t xml:space="preserve">Individual</w:t>
            </w:r>
          </w:p>
        </w:tc>
        <w:tc>
          <w:tcPr/>
          <w:p>
            <w:pPr>
              <w:pStyle w:val="Compact"/>
            </w:pPr>
            <w:r>
              <w:t xml:space="preserve">~90</w:t>
            </w:r>
          </w:p>
        </w:tc>
        <w:tc>
          <w:tcPr/>
          <w:p>
            <w:pPr>
              <w:pStyle w:val="Compact"/>
            </w:pPr>
            <w:r>
              <w:t xml:space="preserve">7,000</w:t>
            </w:r>
          </w:p>
        </w:tc>
        <w:tc>
          <w:tcPr/>
          <w:p>
            <w:pPr>
              <w:pStyle w:val="Compact"/>
            </w:pPr>
            <w:r>
              <w:t xml:space="preserve">MIGS</w:t>
            </w:r>
          </w:p>
        </w:tc>
        <w:tc>
          <w:tcPr/>
          <w:p>
            <w:pPr>
              <w:pStyle w:val="Compact"/>
            </w:pPr>
            <w:r>
              <w:t xml:space="preserve">Nov</w:t>
            </w:r>
          </w:p>
        </w:tc>
        <w:tc>
          <w:tcPr/>
          <w:p>
            <w:pPr>
              <w:pStyle w:val="Compact"/>
            </w:pPr>
            <w:r>
              <w:t xml:space="preserve">2012–2023</w:t>
            </w:r>
          </w:p>
        </w:tc>
      </w:tr>
      <w:tr>
        <w:tc>
          <w:tcPr/>
          <w:p>
            <w:pPr>
              <w:pStyle w:val="Compact"/>
            </w:pPr>
            <w:r>
              <w:t xml:space="preserve">SMFM</w:t>
            </w:r>
          </w:p>
        </w:tc>
        <w:tc>
          <w:tcPr/>
          <w:p>
            <w:pPr>
              <w:pStyle w:val="Compact"/>
            </w:pPr>
            <w:r>
              <w:t xml:space="preserve">Society for Maternal-Fetal Medicine</w:t>
            </w:r>
          </w:p>
        </w:tc>
        <w:tc>
          <w:tcPr/>
          <w:p>
            <w:pPr>
              <w:pStyle w:val="Compact"/>
            </w:pPr>
            <w:r>
              <w:t xml:space="preserve">SMFM</w:t>
            </w:r>
          </w:p>
        </w:tc>
        <w:tc>
          <w:tcPr/>
          <w:p>
            <w:pPr>
              <w:pStyle w:val="Compact"/>
            </w:pPr>
            <w:r>
              <w:rPr>
                <w:i/>
                <w:iCs/>
              </w:rPr>
              <w:t xml:space="preserve">AJOG</w:t>
            </w:r>
          </w:p>
        </w:tc>
        <w:tc>
          <w:tcPr/>
          <w:p>
            <w:pPr>
              <w:pStyle w:val="Compact"/>
            </w:pPr>
            <w:r>
              <w:t xml:space="preserve">ScienceDirect</w:t>
            </w:r>
          </w:p>
        </w:tc>
        <w:tc>
          <w:tcPr/>
          <w:p>
            <w:pPr>
              <w:pStyle w:val="Compact"/>
            </w:pPr>
            <w:r>
              <w:t xml:space="preserve">Individual</w:t>
            </w:r>
          </w:p>
        </w:tc>
        <w:tc>
          <w:tcPr/>
          <w:p>
            <w:pPr>
              <w:pStyle w:val="Compact"/>
            </w:pPr>
            <w:r>
              <w:t xml:space="preserve">~500</w:t>
            </w:r>
          </w:p>
        </w:tc>
        <w:tc>
          <w:tcPr/>
          <w:p>
            <w:pPr>
              <w:pStyle w:val="Compact"/>
            </w:pPr>
            <w:r>
              <w:t xml:space="preserve">4,500</w:t>
            </w:r>
          </w:p>
        </w:tc>
        <w:tc>
          <w:tcPr/>
          <w:p>
            <w:pPr>
              <w:pStyle w:val="Compact"/>
            </w:pPr>
            <w:r>
              <w:t xml:space="preserve">MFM</w:t>
            </w:r>
          </w:p>
        </w:tc>
        <w:tc>
          <w:tcPr/>
          <w:p>
            <w:pPr>
              <w:pStyle w:val="Compact"/>
            </w:pPr>
            <w:r>
              <w:t xml:space="preserve">Feb</w:t>
            </w:r>
          </w:p>
        </w:tc>
        <w:tc>
          <w:tcPr/>
          <w:p>
            <w:pPr>
              <w:pStyle w:val="Compact"/>
            </w:pPr>
            <w:r>
              <w:t xml:space="preserve">2013–2023</w:t>
            </w:r>
          </w:p>
        </w:tc>
      </w:tr>
      <w:tr>
        <w:tc>
          <w:tcPr/>
          <w:p>
            <w:pPr>
              <w:pStyle w:val="Compact"/>
            </w:pPr>
            <w:r>
              <w:t xml:space="preserve">SGO</w:t>
            </w:r>
          </w:p>
        </w:tc>
        <w:tc>
          <w:tcPr/>
          <w:p>
            <w:pPr>
              <w:pStyle w:val="Compact"/>
            </w:pPr>
            <w:r>
              <w:t xml:space="preserve">Society of Gynecologic Oncology</w:t>
            </w:r>
          </w:p>
        </w:tc>
        <w:tc>
          <w:tcPr/>
          <w:p>
            <w:pPr>
              <w:pStyle w:val="Compact"/>
            </w:pPr>
            <w:r>
              <w:t xml:space="preserve">SGO</w:t>
            </w:r>
          </w:p>
        </w:tc>
        <w:tc>
          <w:tcPr/>
          <w:p>
            <w:pPr>
              <w:pStyle w:val="Compact"/>
            </w:pPr>
            <w:r>
              <w:rPr>
                <w:i/>
                <w:iCs/>
              </w:rPr>
              <w:t xml:space="preserve">Gynecologic Oncology</w:t>
            </w:r>
          </w:p>
        </w:tc>
        <w:tc>
          <w:tcPr/>
          <w:p>
            <w:pPr>
              <w:pStyle w:val="Compact"/>
            </w:pPr>
            <w:r>
              <w:t xml:space="preserve">ScienceDirect</w:t>
            </w:r>
          </w:p>
        </w:tc>
        <w:tc>
          <w:tcPr/>
          <w:p>
            <w:pPr>
              <w:pStyle w:val="Compact"/>
            </w:pPr>
            <w:r>
              <w:t xml:space="preserve">Individual</w:t>
            </w:r>
          </w:p>
        </w:tc>
        <w:tc>
          <w:tcPr/>
          <w:p>
            <w:pPr>
              <w:pStyle w:val="Compact"/>
            </w:pPr>
            <w:r>
              <w:t xml:space="preserve">~570</w:t>
            </w:r>
          </w:p>
        </w:tc>
        <w:tc>
          <w:tcPr/>
          <w:p>
            <w:pPr>
              <w:pStyle w:val="Compact"/>
            </w:pPr>
            <w:r>
              <w:t xml:space="preserve">1,700</w:t>
            </w:r>
          </w:p>
        </w:tc>
        <w:tc>
          <w:tcPr/>
          <w:p>
            <w:pPr>
              <w:pStyle w:val="Compact"/>
            </w:pPr>
            <w:r>
              <w:t xml:space="preserve">Gyn-Onc</w:t>
            </w:r>
          </w:p>
        </w:tc>
        <w:tc>
          <w:tcPr/>
          <w:p>
            <w:pPr>
              <w:pStyle w:val="Compact"/>
            </w:pPr>
            <w:r>
              <w:t xml:space="preserve">Mar</w:t>
            </w:r>
          </w:p>
        </w:tc>
        <w:tc>
          <w:tcPr/>
          <w:p>
            <w:pPr>
              <w:pStyle w:val="Compact"/>
            </w:pPr>
            <w:r>
              <w:t xml:space="preserve">2014–2023</w:t>
            </w:r>
          </w:p>
        </w:tc>
      </w:tr>
      <w:tr>
        <w:tc>
          <w:tcPr/>
          <w:p>
            <w:pPr>
              <w:pStyle w:val="Compact"/>
            </w:pPr>
            <w:r>
              <w:t xml:space="preserve">NASPAG</w:t>
            </w:r>
          </w:p>
        </w:tc>
        <w:tc>
          <w:tcPr/>
          <w:p>
            <w:pPr>
              <w:pStyle w:val="Compact"/>
            </w:pPr>
            <w:r>
              <w:t xml:space="preserve">N. Amer. Society for Pediatric &amp; Adolescent Gyn.</w:t>
            </w:r>
          </w:p>
        </w:tc>
        <w:tc>
          <w:tcPr/>
          <w:p>
            <w:pPr>
              <w:pStyle w:val="Compact"/>
            </w:pPr>
            <w:r>
              <w:t xml:space="preserve">NASPAG</w:t>
            </w:r>
          </w:p>
        </w:tc>
        <w:tc>
          <w:tcPr/>
          <w:p>
            <w:pPr>
              <w:pStyle w:val="Compact"/>
            </w:pPr>
            <w:r>
              <w:rPr>
                <w:i/>
                <w:iCs/>
              </w:rPr>
              <w:t xml:space="preserve">JPAG</w:t>
            </w:r>
          </w:p>
        </w:tc>
        <w:tc>
          <w:tcPr/>
          <w:p>
            <w:pPr>
              <w:pStyle w:val="Compact"/>
            </w:pPr>
            <w:r>
              <w:t xml:space="preserve">ScienceDirect</w:t>
            </w:r>
          </w:p>
        </w:tc>
        <w:tc>
          <w:tcPr/>
          <w:p>
            <w:pPr>
              <w:pStyle w:val="Compact"/>
            </w:pPr>
            <w:r>
              <w:t xml:space="preserve">Individual</w:t>
            </w:r>
          </w:p>
        </w:tc>
        <w:tc>
          <w:tcPr/>
          <w:p>
            <w:pPr>
              <w:pStyle w:val="Compact"/>
            </w:pPr>
            <w:r>
              <w:t xml:space="preserve">~35</w:t>
            </w:r>
          </w:p>
        </w:tc>
        <w:tc>
          <w:tcPr/>
          <w:p>
            <w:pPr>
              <w:pStyle w:val="Compact"/>
            </w:pPr>
            <w:r>
              <w:t xml:space="preserve">1,200</w:t>
            </w:r>
          </w:p>
        </w:tc>
        <w:tc>
          <w:tcPr/>
          <w:p>
            <w:pPr>
              <w:pStyle w:val="Compact"/>
            </w:pPr>
            <w:r>
              <w:t xml:space="preserve">Ped/Adolescent Gyn</w:t>
            </w:r>
          </w:p>
        </w:tc>
        <w:tc>
          <w:tcPr/>
          <w:p>
            <w:pPr>
              <w:pStyle w:val="Compact"/>
            </w:pPr>
            <w:r>
              <w:t xml:space="preserve">Apr</w:t>
            </w:r>
          </w:p>
        </w:tc>
        <w:tc>
          <w:tcPr/>
          <w:p>
            <w:pPr>
              <w:pStyle w:val="Compact"/>
            </w:pPr>
            <w:r>
              <w:t xml:space="preserve">2013–2023</w:t>
            </w:r>
          </w:p>
        </w:tc>
      </w:tr>
      <w:tr>
        <w:tc>
          <w:tcPr/>
          <w:p>
            <w:pPr>
              <w:pStyle w:val="Compact"/>
            </w:pPr>
            <w:r>
              <w:t xml:space="preserve">ASRM</w:t>
            </w:r>
          </w:p>
        </w:tc>
        <w:tc>
          <w:tcPr/>
          <w:p>
            <w:pPr>
              <w:pStyle w:val="Compact"/>
            </w:pPr>
            <w:r>
              <w:t xml:space="preserve">Amer. Society for Reproductive Medicine</w:t>
            </w:r>
          </w:p>
        </w:tc>
        <w:tc>
          <w:tcPr/>
          <w:p>
            <w:pPr>
              <w:pStyle w:val="Compact"/>
            </w:pPr>
            <w:r>
              <w:t xml:space="preserve">ASRM</w:t>
            </w:r>
          </w:p>
        </w:tc>
        <w:tc>
          <w:tcPr/>
          <w:p>
            <w:pPr>
              <w:pStyle w:val="Compact"/>
            </w:pPr>
            <w:r>
              <w:rPr>
                <w:i/>
                <w:iCs/>
              </w:rPr>
              <w:t xml:space="preserve">Fertility and Sterility</w:t>
            </w:r>
          </w:p>
        </w:tc>
        <w:tc>
          <w:tcPr/>
          <w:p>
            <w:pPr>
              <w:pStyle w:val="Compact"/>
            </w:pPr>
            <w:r>
              <w:t xml:space="preserve">ScienceDirect</w:t>
            </w:r>
          </w:p>
        </w:tc>
        <w:tc>
          <w:tcPr/>
          <w:p>
            <w:pPr>
              <w:pStyle w:val="Compact"/>
            </w:pPr>
            <w:r>
              <w:t xml:space="preserve">Individual</w:t>
            </w:r>
          </w:p>
        </w:tc>
        <w:tc>
          <w:tcPr/>
          <w:p>
            <w:pPr>
              <w:pStyle w:val="Compact"/>
            </w:pPr>
            <w:r>
              <w:t xml:space="preserve">~1,200</w:t>
            </w:r>
          </w:p>
        </w:tc>
        <w:tc>
          <w:tcPr/>
          <w:p>
            <w:pPr>
              <w:pStyle w:val="Compact"/>
            </w:pPr>
            <w:r>
              <w:t xml:space="preserve">8,000</w:t>
            </w:r>
          </w:p>
        </w:tc>
        <w:tc>
          <w:tcPr/>
          <w:p>
            <w:pPr>
              <w:pStyle w:val="Compact"/>
            </w:pPr>
            <w:r>
              <w:t xml:space="preserve">REI</w:t>
            </w:r>
          </w:p>
        </w:tc>
        <w:tc>
          <w:tcPr/>
          <w:p>
            <w:pPr>
              <w:pStyle w:val="Compact"/>
            </w:pPr>
            <w:r>
              <w:t xml:space="preserve">Oct</w:t>
            </w:r>
          </w:p>
        </w:tc>
        <w:tc>
          <w:tcPr/>
          <w:p>
            <w:pPr>
              <w:pStyle w:val="Compact"/>
            </w:pPr>
            <w:r>
              <w:t xml:space="preserve">2013–2023</w:t>
            </w:r>
          </w:p>
        </w:tc>
      </w:tr>
      <w:tr>
        <w:tc>
          <w:tcPr/>
          <w:p>
            <w:pPr>
              <w:pStyle w:val="Compact"/>
            </w:pPr>
            <w:r>
              <w:t xml:space="preserve">ACOG</w:t>
            </w:r>
          </w:p>
        </w:tc>
        <w:tc>
          <w:tcPr/>
          <w:p>
            <w:pPr>
              <w:pStyle w:val="Compact"/>
            </w:pPr>
            <w:r>
              <w:t xml:space="preserve">Amer. College of Ob-Gyn</w:t>
            </w:r>
          </w:p>
        </w:tc>
        <w:tc>
          <w:tcPr/>
          <w:p>
            <w:pPr>
              <w:pStyle w:val="Compact"/>
            </w:pPr>
            <w:r>
              <w:t xml:space="preserve">ACOG</w:t>
            </w:r>
          </w:p>
        </w:tc>
        <w:tc>
          <w:tcPr/>
          <w:p>
            <w:pPr>
              <w:pStyle w:val="Compact"/>
            </w:pPr>
            <w:r>
              <w:rPr>
                <w:i/>
                <w:iCs/>
              </w:rPr>
              <w:t xml:space="preserve">Obstetrics &amp; Gynecology</w:t>
            </w:r>
          </w:p>
        </w:tc>
        <w:tc>
          <w:tcPr/>
          <w:p>
            <w:pPr>
              <w:pStyle w:val="Compact"/>
            </w:pPr>
            <w:r>
              <w:t xml:space="preserve">LWW</w:t>
            </w:r>
          </w:p>
        </w:tc>
        <w:tc>
          <w:tcPr/>
          <w:p>
            <w:pPr>
              <w:pStyle w:val="Compact"/>
            </w:pPr>
            <w:r>
              <w:t xml:space="preserve">Individual</w:t>
            </w:r>
          </w:p>
        </w:tc>
        <w:tc>
          <w:tcPr/>
          <w:p>
            <w:pPr>
              <w:pStyle w:val="Compact"/>
            </w:pPr>
            <w:r>
              <w:t xml:space="preserve">~800</w:t>
            </w:r>
          </w:p>
        </w:tc>
        <w:tc>
          <w:tcPr/>
          <w:p>
            <w:pPr>
              <w:pStyle w:val="Compact"/>
            </w:pPr>
            <w:r>
              <w:t xml:space="preserve">62,000</w:t>
            </w:r>
          </w:p>
        </w:tc>
        <w:tc>
          <w:tcPr/>
          <w:p>
            <w:pPr>
              <w:pStyle w:val="Compact"/>
            </w:pPr>
            <w:r>
              <w:t xml:space="preserve">General OB/GYN</w:t>
            </w:r>
          </w:p>
        </w:tc>
        <w:tc>
          <w:tcPr/>
          <w:p>
            <w:pPr>
              <w:pStyle w:val="Compact"/>
            </w:pPr>
            <w:r>
              <w:t xml:space="preserve">May</w:t>
            </w:r>
          </w:p>
        </w:tc>
        <w:tc>
          <w:tcPr/>
          <w:p>
            <w:pPr>
              <w:pStyle w:val="Compact"/>
            </w:pPr>
            <w:r>
              <w:t xml:space="preserve">2013–2023</w:t>
            </w:r>
          </w:p>
        </w:tc>
      </w:tr>
      <w:tr>
        <w:tc>
          <w:tcPr/>
          <w:p>
            <w:pPr>
              <w:pStyle w:val="Compact"/>
            </w:pPr>
            <w:r>
              <w:t xml:space="preserve">CREOG/APGO</w:t>
            </w:r>
          </w:p>
        </w:tc>
        <w:tc>
          <w:tcPr/>
          <w:p>
            <w:pPr>
              <w:pStyle w:val="Compact"/>
            </w:pPr>
            <w:r>
              <w:t xml:space="preserve">Council on Resident Ed. / Assoc. of Professors of Gyn &amp; Ob</w:t>
            </w:r>
          </w:p>
        </w:tc>
        <w:tc>
          <w:tcPr/>
          <w:p>
            <w:pPr>
              <w:pStyle w:val="Compact"/>
            </w:pPr>
            <w:r>
              <w:t xml:space="preserve">CREOG/APGO</w:t>
            </w:r>
          </w:p>
        </w:tc>
        <w:tc>
          <w:tcPr/>
          <w:p>
            <w:pPr>
              <w:pStyle w:val="Compact"/>
            </w:pPr>
            <w:r>
              <w:rPr>
                <w:i/>
                <w:iCs/>
              </w:rPr>
              <w:t xml:space="preserve">Obstetrics &amp; Gynecology</w:t>
            </w:r>
          </w:p>
        </w:tc>
        <w:tc>
          <w:tcPr/>
          <w:p>
            <w:pPr>
              <w:pStyle w:val="Compact"/>
            </w:pPr>
            <w:r>
              <w:t xml:space="preserve">LWW</w:t>
            </w:r>
          </w:p>
        </w:tc>
        <w:tc>
          <w:tcPr/>
          <w:p>
            <w:pPr>
              <w:pStyle w:val="Compact"/>
            </w:pPr>
            <w:r>
              <w:t xml:space="preserve">Individual (2015+)</w:t>
            </w:r>
          </w:p>
        </w:tc>
        <w:tc>
          <w:tcPr/>
          <w:p>
            <w:pPr>
              <w:pStyle w:val="Compact"/>
            </w:pPr>
            <w:r>
              <w:t xml:space="preserve">~200</w:t>
            </w:r>
          </w:p>
        </w:tc>
        <w:tc>
          <w:tcPr/>
          <w:p>
            <w:pPr>
              <w:pStyle w:val="Compact"/>
            </w:pPr>
            <w:r>
              <w:t xml:space="preserve">5,000</w:t>
            </w:r>
          </w:p>
        </w:tc>
        <w:tc>
          <w:tcPr/>
          <w:p>
            <w:pPr>
              <w:pStyle w:val="Compact"/>
            </w:pPr>
            <w:r>
              <w:t xml:space="preserve">OB/GYN Education</w:t>
            </w:r>
          </w:p>
        </w:tc>
        <w:tc>
          <w:tcPr/>
          <w:p>
            <w:pPr>
              <w:pStyle w:val="Compact"/>
            </w:pPr>
            <w:r>
              <w:t xml:space="preserve">Feb</w:t>
            </w:r>
          </w:p>
        </w:tc>
        <w:tc>
          <w:tcPr/>
          <w:p>
            <w:pPr>
              <w:pStyle w:val="Compact"/>
            </w:pPr>
            <w:r>
              <w:t xml:space="preserve">2013–2023</w:t>
            </w:r>
          </w:p>
        </w:tc>
      </w:tr>
      <w:tr>
        <w:tc>
          <w:tcPr/>
          <w:p>
            <w:pPr>
              <w:pStyle w:val="Compact"/>
            </w:pPr>
            <w:r>
              <w:t xml:space="preserve">SFP</w:t>
            </w:r>
          </w:p>
        </w:tc>
        <w:tc>
          <w:tcPr/>
          <w:p>
            <w:pPr>
              <w:pStyle w:val="Compact"/>
            </w:pPr>
            <w:r>
              <w:t xml:space="preserve">Society of Family Planning</w:t>
            </w:r>
          </w:p>
        </w:tc>
        <w:tc>
          <w:tcPr/>
          <w:p>
            <w:pPr>
              <w:pStyle w:val="Compact"/>
            </w:pPr>
            <w:r>
              <w:t xml:space="preserve">SFP</w:t>
            </w:r>
          </w:p>
        </w:tc>
        <w:tc>
          <w:tcPr/>
          <w:p>
            <w:pPr>
              <w:pStyle w:val="Compact"/>
            </w:pPr>
            <w:r>
              <w:rPr>
                <w:i/>
                <w:iCs/>
              </w:rPr>
              <w:t xml:space="preserve">Contraception</w:t>
            </w:r>
          </w:p>
        </w:tc>
        <w:tc>
          <w:tcPr/>
          <w:p>
            <w:pPr>
              <w:pStyle w:val="Compact"/>
            </w:pPr>
            <w:r>
              <w:t xml:space="preserve">ScienceDirect</w:t>
            </w:r>
          </w:p>
        </w:tc>
        <w:tc>
          <w:tcPr/>
          <w:p>
            <w:pPr>
              <w:pStyle w:val="Compact"/>
            </w:pPr>
            <w:r>
              <w:t xml:space="preserve">Collection-level</w:t>
            </w:r>
          </w:p>
        </w:tc>
        <w:tc>
          <w:tcPr/>
          <w:p>
            <w:pPr>
              <w:pStyle w:val="Compact"/>
            </w:pPr>
            <w:r>
              <w:t xml:space="preserve">~300</w:t>
            </w:r>
          </w:p>
        </w:tc>
        <w:tc>
          <w:tcPr/>
          <w:p>
            <w:pPr>
              <w:pStyle w:val="Compact"/>
            </w:pPr>
            <w:r>
              <w:t xml:space="preserve">1,800</w:t>
            </w:r>
          </w:p>
        </w:tc>
        <w:tc>
          <w:tcPr/>
          <w:p>
            <w:pPr>
              <w:pStyle w:val="Compact"/>
            </w:pPr>
            <w:r>
              <w:t xml:space="preserve">Family Planning</w:t>
            </w:r>
          </w:p>
        </w:tc>
        <w:tc>
          <w:tcPr/>
          <w:p>
            <w:pPr>
              <w:pStyle w:val="Compact"/>
            </w:pPr>
            <w:r>
              <w:t xml:space="preserve">Nov</w:t>
            </w:r>
          </w:p>
        </w:tc>
        <w:tc>
          <w:tcPr/>
          <w:p>
            <w:pPr>
              <w:pStyle w:val="Compact"/>
            </w:pPr>
            <w:r>
              <w:t xml:space="preserve">2015–2023</w:t>
            </w:r>
          </w:p>
        </w:tc>
      </w:tr>
      <w:tr>
        <w:tc>
          <w:tcPr/>
          <w:p>
            <w:pPr>
              <w:pStyle w:val="Compact"/>
            </w:pPr>
            <w:r>
              <w:t xml:space="preserve">AUGS</w:t>
            </w:r>
          </w:p>
        </w:tc>
        <w:tc>
          <w:tcPr/>
          <w:p>
            <w:pPr>
              <w:pStyle w:val="Compact"/>
            </w:pPr>
            <w:r>
              <w:t xml:space="preserve">Amer. Urogynecologic Society</w:t>
            </w:r>
          </w:p>
        </w:tc>
        <w:tc>
          <w:tcPr/>
          <w:p>
            <w:pPr>
              <w:pStyle w:val="Compact"/>
            </w:pPr>
            <w:r>
              <w:t xml:space="preserve">AUGS</w:t>
            </w:r>
          </w:p>
        </w:tc>
        <w:tc>
          <w:tcPr/>
          <w:p>
            <w:pPr>
              <w:pStyle w:val="Compact"/>
            </w:pPr>
            <w:r>
              <w:rPr>
                <w:i/>
                <w:iCs/>
              </w:rPr>
              <w:t xml:space="preserve">Urogynecology</w:t>
            </w:r>
          </w:p>
        </w:tc>
        <w:tc>
          <w:tcPr/>
          <w:p>
            <w:pPr>
              <w:pStyle w:val="Compact"/>
            </w:pPr>
            <w:r>
              <w:t xml:space="preserve">LWW</w:t>
            </w:r>
          </w:p>
        </w:tc>
        <w:tc>
          <w:tcPr/>
          <w:p>
            <w:pPr>
              <w:pStyle w:val="Compact"/>
            </w:pPr>
            <w:r>
              <w:t xml:space="preserve">Supplement-level</w:t>
            </w:r>
          </w:p>
        </w:tc>
        <w:tc>
          <w:tcPr/>
          <w:p>
            <w:pPr>
              <w:pStyle w:val="Compact"/>
            </w:pPr>
            <w:r>
              <w:t xml:space="preserve">~400</w:t>
            </w:r>
          </w:p>
        </w:tc>
        <w:tc>
          <w:tcPr/>
          <w:p>
            <w:pPr>
              <w:pStyle w:val="Compact"/>
            </w:pPr>
            <w:r>
              <w:t xml:space="preserve">1,600</w:t>
            </w:r>
          </w:p>
        </w:tc>
        <w:tc>
          <w:tcPr/>
          <w:p>
            <w:pPr>
              <w:pStyle w:val="Compact"/>
            </w:pPr>
            <w:r>
              <w:t xml:space="preserve">FPMRS/Urogynecology</w:t>
            </w:r>
          </w:p>
        </w:tc>
        <w:tc>
          <w:tcPr/>
          <w:p>
            <w:pPr>
              <w:pStyle w:val="Compact"/>
            </w:pPr>
            <w:r>
              <w:t xml:space="preserve">Oct</w:t>
            </w:r>
          </w:p>
        </w:tc>
        <w:tc>
          <w:tcPr/>
          <w:p>
            <w:pPr>
              <w:pStyle w:val="Compact"/>
            </w:pPr>
            <w:r>
              <w:t xml:space="preserve">2013–2023</w:t>
            </w:r>
          </w:p>
        </w:tc>
      </w:tr>
      <w:tr>
        <w:tc>
          <w:tcPr/>
          <w:p>
            <w:pPr>
              <w:pStyle w:val="Compact"/>
            </w:pPr>
            <w:r>
              <w:t xml:space="preserve">SASGOG</w:t>
            </w:r>
          </w:p>
        </w:tc>
        <w:tc>
          <w:tcPr/>
          <w:p>
            <w:pPr>
              <w:pStyle w:val="Compact"/>
            </w:pPr>
            <w:r>
              <w:t xml:space="preserve">Society for Academic Specialists in Gen. OB/GYN</w:t>
            </w:r>
          </w:p>
        </w:tc>
        <w:tc>
          <w:tcPr/>
          <w:p>
            <w:pPr>
              <w:pStyle w:val="Compact"/>
            </w:pPr>
            <w:r>
              <w:t xml:space="preserve">SASGOG</w:t>
            </w:r>
          </w:p>
        </w:tc>
        <w:tc>
          <w:tcPr/>
          <w:p>
            <w:pPr>
              <w:pStyle w:val="Compact"/>
            </w:pPr>
            <w:r>
              <w:t xml:space="preserve">None</w:t>
            </w:r>
          </w:p>
        </w:tc>
        <w:tc>
          <w:tcPr/>
          <w:p>
            <w:pPr>
              <w:pStyle w:val="Compact"/>
            </w:pPr>
            <w:r>
              <w:t xml:space="preserve">Society website</w:t>
            </w:r>
          </w:p>
        </w:tc>
        <w:tc>
          <w:tcPr/>
          <w:p>
            <w:pPr>
              <w:pStyle w:val="Compact"/>
            </w:pPr>
            <w:r>
              <w:t xml:space="preserve">None</w:t>
            </w:r>
          </w:p>
        </w:tc>
        <w:tc>
          <w:tcPr/>
          <w:p>
            <w:pPr>
              <w:pStyle w:val="Compact"/>
            </w:pPr>
            <w:r>
              <w:t xml:space="preserve">~50</w:t>
            </w:r>
          </w:p>
        </w:tc>
        <w:tc>
          <w:tcPr/>
          <w:p>
            <w:pPr>
              <w:pStyle w:val="Compact"/>
            </w:pPr>
            <w:r>
              <w:t xml:space="preserve">500</w:t>
            </w:r>
          </w:p>
        </w:tc>
        <w:tc>
          <w:tcPr/>
          <w:p>
            <w:pPr>
              <w:pStyle w:val="Compact"/>
            </w:pPr>
            <w:r>
              <w:t xml:space="preserve">General OB/GYN</w:t>
            </w:r>
          </w:p>
        </w:tc>
        <w:tc>
          <w:tcPr/>
          <w:p>
            <w:pPr>
              <w:pStyle w:val="Compact"/>
            </w:pPr>
            <w:r>
              <w:t xml:space="preserve">Jan</w:t>
            </w:r>
          </w:p>
        </w:tc>
        <w:tc>
          <w:tcPr/>
          <w:p>
            <w:pPr>
              <w:pStyle w:val="Compact"/>
            </w:pPr>
            <w:r>
              <w:t xml:space="preserve">2019–2023</w:t>
            </w:r>
          </w:p>
        </w:tc>
      </w:tr>
    </w:tbl>
    <w:p>
      <w:pPr>
        <w:pStyle w:val="BodyText"/>
      </w:pPr>
      <w:r>
        <w:rPr>
          <w:b/>
          <w:bCs/>
        </w:rPr>
        <w:t xml:space="preserve">Scientific overlap between societies.</w:t>
      </w:r>
      <w:r>
        <w:t xml:space="preserve"> </w:t>
      </w:r>
      <w:r>
        <w:t xml:space="preserve">AAGL and AUGS share a substantial presenter pool: surgeons who hold MIG (minimally invasive gynecology) subspecialty certification from ABOG also frequently perform pelvic floor reconstructive procedures within the FPMRS domain. An estimated 15–25% of AAGL presenters may also appear in AUGS supplements, enabling longitudinal author-level tracking across societies. Similarly, SMFM and ACOG share general-obstetrics content, and ASRM and NASPAG both cover adolescent reproductive endocrinology topics. These overlaps provide opportunities for cross-validation of NPI and ORCID identity resolution across independently assembled datasets.</w:t>
      </w:r>
    </w:p>
    <w:bookmarkEnd w:id="72"/>
    <w:bookmarkStart w:id="73" w:name="a11.3-platform-architecture"/>
    <w:p>
      <w:pPr>
        <w:pStyle w:val="Heading3"/>
      </w:pPr>
      <w:r>
        <w:t xml:space="preserve">A11.3 Platform Architecture</w:t>
      </w:r>
    </w:p>
    <w:p>
      <w:pPr>
        <w:pStyle w:val="FirstParagraph"/>
      </w:pPr>
      <w:r>
        <w:t xml:space="preserve">The ten candidate societies distribute across two commercial publishing platforms and one non-journal model, creating two primary engineering tracks for the scraping and ingestion layer of the pipeline.</w:t>
      </w:r>
    </w:p>
    <w:p>
      <w:pPr>
        <w:pStyle w:val="BodyText"/>
      </w:pPr>
      <w:r>
        <w:rPr>
          <w:b/>
          <w:bCs/>
        </w:rPr>
        <w:t xml:space="preserve">Elsevier/ScienceDirect (six societies: AAGL, SMFM, SGO, NASPAG, ASRM, SFP).</w:t>
      </w:r>
      <w:r>
        <w:t xml:space="preserve"> </w:t>
      </w:r>
      <w:r>
        <w:t xml:space="preserve">Abstracts are hosted at</w:t>
      </w:r>
      <w:r>
        <w:t xml:space="preserve"> </w:t>
      </w:r>
      <w:r>
        <w:rPr>
          <w:rStyle w:val="VerbatimChar"/>
        </w:rPr>
        <w:t xml:space="preserve">https://www.sciencedirect.com/journal/{journal-name}/vol/{vol}/issue/{issue}/suppl/S</w:t>
      </w:r>
      <w:r>
        <w:t xml:space="preserve"> </w:t>
      </w:r>
      <w:r>
        <w:t xml:space="preserve">and served as structured HTML with consistent DOM element IDs. The journal-specific identifiers vary (</w:t>
      </w:r>
      <w:r>
        <w:rPr>
          <w:rStyle w:val="VerbatimChar"/>
        </w:rPr>
        <w:t xml:space="preserve">.jmig</w:t>
      </w:r>
      <w:r>
        <w:t xml:space="preserve">,</w:t>
      </w:r>
      <w:r>
        <w:t xml:space="preserve"> </w:t>
      </w:r>
      <w:r>
        <w:rPr>
          <w:rStyle w:val="VerbatimChar"/>
        </w:rPr>
        <w:t xml:space="preserve">.ajog</w:t>
      </w:r>
      <w:r>
        <w:t xml:space="preserve">,</w:t>
      </w:r>
      <w:r>
        <w:t xml:space="preserve"> </w:t>
      </w:r>
      <w:r>
        <w:rPr>
          <w:rStyle w:val="VerbatimChar"/>
        </w:rPr>
        <w:t xml:space="preserve">.ygyno</w:t>
      </w:r>
      <w:r>
        <w:t xml:space="preserve">,</w:t>
      </w:r>
      <w:r>
        <w:t xml:space="preserve"> </w:t>
      </w:r>
      <w:r>
        <w:rPr>
          <w:rStyle w:val="VerbatimChar"/>
        </w:rPr>
        <w:t xml:space="preserve">.jpag</w:t>
      </w:r>
      <w:r>
        <w:t xml:space="preserve">,</w:t>
      </w:r>
      <w:r>
        <w:t xml:space="preserve"> </w:t>
      </w:r>
      <w:r>
        <w:rPr>
          <w:rStyle w:val="VerbatimChar"/>
        </w:rPr>
        <w:t xml:space="preserve">.fertnstert</w:t>
      </w:r>
      <w:r>
        <w:t xml:space="preserve">,</w:t>
      </w:r>
      <w:r>
        <w:t xml:space="preserve"> </w:t>
      </w:r>
      <w:r>
        <w:rPr>
          <w:rStyle w:val="VerbatimChar"/>
        </w:rPr>
        <w:t xml:space="preserve">.contraception</w:t>
      </w:r>
      <w:r>
        <w:t xml:space="preserve">), but the page architecture — article list container, article link</w:t>
      </w:r>
      <w:r>
        <w:t xml:space="preserve"> </w:t>
      </w:r>
      <w:r>
        <w:rPr>
          <w:rStyle w:val="VerbatimChar"/>
        </w:rPr>
        <w:t xml:space="preserve">&lt;a&gt;</w:t>
      </w:r>
      <w:r>
        <w:t xml:space="preserve"> </w:t>
      </w:r>
      <w:r>
        <w:t xml:space="preserve">tags with</w:t>
      </w:r>
      <w:r>
        <w:t xml:space="preserve"> </w:t>
      </w:r>
      <w:r>
        <w:rPr>
          <w:rStyle w:val="VerbatimChar"/>
        </w:rPr>
        <w:t xml:space="preserve">/science/article/pii/</w:t>
      </w:r>
      <w:r>
        <w:t xml:space="preserve"> </w:t>
      </w:r>
      <w:r>
        <w:t xml:space="preserve">href patterns, per-article JSON-LD metadata blocks — is identical across all six journals. The existing</w:t>
      </w:r>
      <w:r>
        <w:t xml:space="preserve"> </w:t>
      </w:r>
      <w:r>
        <w:rPr>
          <w:rStyle w:val="VerbatimChar"/>
        </w:rPr>
        <w:t xml:space="preserve">01b_parse_web.R</w:t>
      </w:r>
      <w:r>
        <w:t xml:space="preserve"> </w:t>
      </w:r>
      <w:r>
        <w:t xml:space="preserve">ScienceDirect scraper, the</w:t>
      </w:r>
      <w:r>
        <w:t xml:space="preserve"> </w:t>
      </w:r>
      <w:r>
        <w:rPr>
          <w:rStyle w:val="VerbatimChar"/>
        </w:rPr>
        <w:t xml:space="preserve">backfill_affiliations_from_cache.R</w:t>
      </w:r>
      <w:r>
        <w:t xml:space="preserve"> </w:t>
      </w:r>
      <w:r>
        <w:t xml:space="preserve">HTML-JSON-blob extractor, and the</w:t>
      </w:r>
      <w:r>
        <w:t xml:space="preserve"> </w:t>
      </w:r>
      <w:r>
        <w:rPr>
          <w:rStyle w:val="VerbatimChar"/>
        </w:rPr>
        <w:t xml:space="preserve">03c_doi_chain_search.R</w:t>
      </w:r>
      <w:r>
        <w:t xml:space="preserve"> </w:t>
      </w:r>
      <w:r>
        <w:t xml:space="preserve">OpenAlex reverse-citation script can be reused for all five new Elsevier societies by updating three parameters:</w:t>
      </w:r>
      <w:r>
        <w:t xml:space="preserve"> </w:t>
      </w:r>
      <w:r>
        <w:rPr>
          <w:rStyle w:val="VerbatimChar"/>
        </w:rPr>
        <w:t xml:space="preserve">journal_doi_prefix</w:t>
      </w:r>
      <w:r>
        <w:t xml:space="preserve">,</w:t>
      </w:r>
      <w:r>
        <w:t xml:space="preserve"> </w:t>
      </w:r>
      <w:r>
        <w:rPr>
          <w:rStyle w:val="VerbatimChar"/>
        </w:rPr>
        <w:t xml:space="preserve">journal_name</w:t>
      </w:r>
      <w:r>
        <w:t xml:space="preserve">, and</w:t>
      </w:r>
      <w:r>
        <w:t xml:space="preserve"> </w:t>
      </w:r>
      <w:r>
        <w:rPr>
          <w:rStyle w:val="VerbatimChar"/>
        </w:rPr>
        <w:t xml:space="preserve">suppl_url_pattern</w:t>
      </w:r>
      <w:r>
        <w:t xml:space="preserve">. This is the</w:t>
      </w:r>
      <w:r>
        <w:t xml:space="preserve"> </w:t>
      </w:r>
      <w:r>
        <w:t xml:space="preserve">“write once, run for all Elsevier societies”</w:t>
      </w:r>
      <w:r>
        <w:t xml:space="preserve"> </w:t>
      </w:r>
      <w:r>
        <w:t xml:space="preserve">principle.</w:t>
      </w:r>
    </w:p>
    <w:p>
      <w:pPr>
        <w:pStyle w:val="BodyText"/>
      </w:pPr>
      <w:r>
        <w:t xml:space="preserve">The one Elsevier exception is SFP (</w:t>
      </w:r>
      <w:r>
        <w:rPr>
          <w:i/>
          <w:iCs/>
        </w:rPr>
        <w:t xml:space="preserve">Contraception</w:t>
      </w:r>
      <w:r>
        <w:t xml:space="preserve">): abstracts are not published as supplement issues but as regular journal articles containing all abstracts concatenated. Ingestion requires parsing the full-text HTML of the collection article rather than iterating over a supplement TOC page. This is a distinct scraping task that shares the Elsevier platform credentials and HTML structure but requires a new parsing function.</w:t>
      </w:r>
    </w:p>
    <w:p>
      <w:pPr>
        <w:pStyle w:val="BodyText"/>
      </w:pPr>
      <w:r>
        <w:rPr>
          <w:b/>
          <w:bCs/>
        </w:rPr>
        <w:t xml:space="preserve">LWW/Wolters Kluwer (three societies: ACOG, CREOG/APGO, AUGS).</w:t>
      </w:r>
      <w:r>
        <w:t xml:space="preserve"> </w:t>
      </w:r>
      <w:r>
        <w:t xml:space="preserve">Abstracts are hosted at</w:t>
      </w:r>
      <w:r>
        <w:t xml:space="preserve"> </w:t>
      </w:r>
      <w:r>
        <w:rPr>
          <w:rStyle w:val="VerbatimChar"/>
        </w:rPr>
        <w:t xml:space="preserve">https://journals.lww.com/{journal-slug}/toc/{YYYY}/{issue}</w:t>
      </w:r>
      <w:r>
        <w:t xml:space="preserve">. LWW article pages differ from ScienceDirect in three pipeline-relevant ways: (1) There is no JSON-LD metadata block — author affiliations are embedded in plain HTML rather than structured JSON, requiring different XPath extraction logic. (2) DOIs use a hash-based format (</w:t>
      </w:r>
      <w:r>
        <w:rPr>
          <w:rStyle w:val="VerbatimChar"/>
        </w:rPr>
        <w:t xml:space="preserve">10.1097/01.AOG.0000XXXXXXXXX.XXXXX.XX</w:t>
      </w:r>
      <w:r>
        <w:t xml:space="preserve">) rather than ScienceDirect’s sequential</w:t>
      </w:r>
      <w:r>
        <w:t xml:space="preserve"> </w:t>
      </w:r>
      <w:r>
        <w:rPr>
          <w:rStyle w:val="VerbatimChar"/>
        </w:rPr>
        <w:t xml:space="preserve">.YYYY.MM.NNN</w:t>
      </w:r>
      <w:r>
        <w:t xml:space="preserve"> </w:t>
      </w:r>
      <w:r>
        <w:t xml:space="preserve">format, which affects DOI-chain search but not PubMed-based search. (3) The LWW supplement TOC renders abstract links via JavaScript pagination rather than static HTML, requiring either a headless browser (Selenium/RSelenium) or direct enumeration via the LWW API endpoint (</w:t>
      </w:r>
      <w:r>
        <w:rPr>
          <w:rStyle w:val="VerbatimChar"/>
        </w:rPr>
        <w:t xml:space="preserve">https://journals.lww.com/fpmrs/api/00130591-{issue}/abstractlist</w:t>
      </w:r>
      <w:r>
        <w:t xml:space="preserve">). A single LWW scraper covers all three societies because ACOG and CREOG/APGO use the same Green Journal (</w:t>
      </w:r>
      <w:r>
        <w:rPr>
          <w:i/>
          <w:iCs/>
        </w:rPr>
        <w:t xml:space="preserve">Obstetrics &amp; Gynecology</w:t>
      </w:r>
      <w:r>
        <w:t xml:space="preserve">) host and AUGS uses the same LWW platform with identical DOM structure.</w:t>
      </w:r>
    </w:p>
    <w:p>
      <w:pPr>
        <w:pStyle w:val="BodyText"/>
      </w:pPr>
      <w:r>
        <w:rPr>
          <w:b/>
          <w:bCs/>
        </w:rPr>
        <w:t xml:space="preserve">Pipeline components that are platform-specific vs. universal:</w:t>
      </w:r>
    </w:p>
    <w:tbl>
      <w:tblPr>
        <w:tblStyle w:val="Table"/>
        <w:tblW w:type="pct" w:w="5000"/>
        <w:tblLayout w:type="fixed"/>
        <w:tblLook w:firstRow="1" w:lastRow="0" w:firstColumn="0" w:lastColumn="0" w:noHBand="0" w:noVBand="0" w:val="0020"/>
      </w:tblPr>
      <w:tblGrid>
        <w:gridCol w:w="3350"/>
        <w:gridCol w:w="1523"/>
        <w:gridCol w:w="1523"/>
        <w:gridCol w:w="1523"/>
      </w:tblGrid>
      <w:tr>
        <w:trPr>
          <w:tblHeader w:val="on"/>
        </w:trPr>
        <w:tc>
          <w:tcPr/>
          <w:p>
            <w:pPr>
              <w:pStyle w:val="Compact"/>
            </w:pPr>
            <w:r>
              <w:t xml:space="preserve">Component</w:t>
            </w:r>
          </w:p>
        </w:tc>
        <w:tc>
          <w:tcPr/>
          <w:p>
            <w:pPr>
              <w:pStyle w:val="Compact"/>
              <w:jc w:val="center"/>
            </w:pPr>
            <w:r>
              <w:t xml:space="preserve">ScienceDirect</w:t>
            </w:r>
          </w:p>
        </w:tc>
        <w:tc>
          <w:tcPr/>
          <w:p>
            <w:pPr>
              <w:pStyle w:val="Compact"/>
              <w:jc w:val="center"/>
            </w:pPr>
            <w:r>
              <w:t xml:space="preserve">LWW</w:t>
            </w:r>
          </w:p>
        </w:tc>
        <w:tc>
          <w:tcPr/>
          <w:p>
            <w:pPr>
              <w:pStyle w:val="Compact"/>
              <w:jc w:val="center"/>
            </w:pPr>
            <w:r>
              <w:t xml:space="preserve">Universal</w:t>
            </w:r>
          </w:p>
        </w:tc>
      </w:tr>
      <w:tr>
        <w:tc>
          <w:tcPr/>
          <w:p>
            <w:pPr>
              <w:pStyle w:val="Compact"/>
            </w:pPr>
            <w:r>
              <w:t xml:space="preserve">Abstract ingestion (</w:t>
            </w:r>
            <w:r>
              <w:rPr>
                <w:rStyle w:val="VerbatimChar"/>
              </w:rPr>
              <w:t xml:space="preserve">01b_parse_web.R</w:t>
            </w:r>
            <w:r>
              <w:t xml:space="preserve">)</w:t>
            </w:r>
          </w:p>
        </w:tc>
        <w:tc>
          <w:tcPr/>
          <w:p>
            <w:pPr>
              <w:pStyle w:val="Compact"/>
              <w:jc w:val="center"/>
            </w:pPr>
            <w:r>
              <w:t xml:space="preserve">Elsevier version</w:t>
            </w:r>
          </w:p>
        </w:tc>
        <w:tc>
          <w:tcPr/>
          <w:p>
            <w:pPr>
              <w:pStyle w:val="Compact"/>
              <w:jc w:val="center"/>
            </w:pPr>
            <w:r>
              <w:t xml:space="preserve">LWW version (new build)</w:t>
            </w:r>
          </w:p>
        </w:tc>
        <w:tc>
          <w:tcPr/>
          <w:p>
            <w:pPr>
              <w:pStyle w:val="Compact"/>
              <w:jc w:val="center"/>
            </w:pPr>
            <w:r>
              <w:t xml:space="preserve">—</w:t>
            </w:r>
          </w:p>
        </w:tc>
      </w:tr>
      <w:tr>
        <w:tc>
          <w:tcPr/>
          <w:p>
            <w:pPr>
              <w:pStyle w:val="Compact"/>
            </w:pPr>
            <w:r>
              <w:t xml:space="preserve">Affiliation backfill</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w:t>
            </w:r>
          </w:p>
        </w:tc>
      </w:tr>
      <w:tr>
        <w:tc>
          <w:tcPr/>
          <w:p>
            <w:pPr>
              <w:pStyle w:val="Compact"/>
            </w:pPr>
            <w:r>
              <w:t xml:space="preserve">DOI-chain search (</w:t>
            </w:r>
            <w:r>
              <w:rPr>
                <w:rStyle w:val="VerbatimChar"/>
              </w:rPr>
              <w:t xml:space="preserve">03c_doi_chain_search.R</w:t>
            </w:r>
            <w:r>
              <w:t xml:space="preserve">)</w:t>
            </w:r>
          </w:p>
        </w:tc>
        <w:tc>
          <w:tcPr/>
          <w:p>
            <w:pPr>
              <w:pStyle w:val="Compact"/>
              <w:jc w:val="center"/>
            </w:pPr>
            <w:r>
              <w:t xml:space="preserve">Yes (individual DOIs)</w:t>
            </w:r>
          </w:p>
        </w:tc>
        <w:tc>
          <w:tcPr/>
          <w:p>
            <w:pPr>
              <w:pStyle w:val="Compact"/>
              <w:jc w:val="center"/>
            </w:pPr>
            <w:r>
              <w:t xml:space="preserve">Yes (individual DOIs for ACOG, CREOG 2015+)</w:t>
            </w:r>
          </w:p>
        </w:tc>
        <w:tc>
          <w:tcPr/>
          <w:p>
            <w:pPr>
              <w:pStyle w:val="Compact"/>
              <w:jc w:val="center"/>
            </w:pPr>
            <w:r>
              <w:t xml:space="preserve">—</w:t>
            </w:r>
          </w:p>
        </w:tc>
      </w:tr>
      <w:tr>
        <w:tc>
          <w:tcPr/>
          <w:p>
            <w:pPr>
              <w:pStyle w:val="Compact"/>
            </w:pPr>
            <w:r>
              <w:t xml:space="preserve">PubMed search (</w:t>
            </w:r>
            <w:r>
              <w:rPr>
                <w:rStyle w:val="VerbatimChar"/>
              </w:rPr>
              <w:t xml:space="preserve">03_search_pubmed.R</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CrossRef/OpenAlex/EuropePMC (</w:t>
            </w:r>
            <w:r>
              <w:rPr>
                <w:rStyle w:val="VerbatimChar"/>
              </w:rPr>
              <w:t xml:space="preserve">03b_search_crossref.R</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Composite scoring (</w:t>
            </w:r>
            <w:r>
              <w:rPr>
                <w:rStyle w:val="VerbatimChar"/>
              </w:rPr>
              <w:t xml:space="preserve">04_score_matches.R</w:t>
            </w: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Adjudication Shiny app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Gender inference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NPI matching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ORCID enrichment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bl>
    <w:p>
      <w:pPr>
        <w:pStyle w:val="BodyText"/>
      </w:pPr>
      <w:r>
        <w:rPr>
          <w:b/>
          <w:bCs/>
        </w:rPr>
        <w:t xml:space="preserve">Key implication:</w:t>
      </w:r>
      <w:r>
        <w:t xml:space="preserve"> </w:t>
      </w:r>
      <w:r>
        <w:t xml:space="preserve">Building the LWW scraper is the single largest new engineering task for multi-society expansion. Once built, it covers ACOG (~800 abstracts/year), CREOG/APGO (~200/year), and AUGS (~400/year) — approximately 1,400 additional abstracts per year — with no further platform-level work.</w:t>
      </w:r>
    </w:p>
    <w:bookmarkEnd w:id="73"/>
    <w:bookmarkStart w:id="74" w:name="a11.4-implementation-effort-by-society"/>
    <w:p>
      <w:pPr>
        <w:pStyle w:val="Heading3"/>
      </w:pPr>
      <w:r>
        <w:t xml:space="preserve">A11.4 Implementation Effort by Society</w:t>
      </w:r>
    </w:p>
    <w:p>
      <w:pPr>
        <w:pStyle w:val="FirstParagraph"/>
      </w:pPr>
      <w:r>
        <w:t xml:space="preserve">The matrix below rates each society across ten pipeline components. Symbols:</w:t>
      </w:r>
      <w:r>
        <w:t xml:space="preserve"> </w:t>
      </w:r>
      <w:r>
        <w:rPr>
          <w:b/>
          <w:bCs/>
        </w:rPr>
        <w:t xml:space="preserve">✓</w:t>
      </w:r>
      <w:r>
        <w:t xml:space="preserve"> </w:t>
      </w:r>
      <w:r>
        <w:t xml:space="preserve">= reusable as-is with parameter changes only;</w:t>
      </w:r>
      <w:r>
        <w:t xml:space="preserve"> </w:t>
      </w:r>
      <w:r>
        <w:rPr>
          <w:b/>
          <w:bCs/>
        </w:rPr>
        <w:t xml:space="preserve">△</w:t>
      </w:r>
      <w:r>
        <w:t xml:space="preserve"> </w:t>
      </w:r>
      <w:r>
        <w:t xml:space="preserve">= minor adaptation required (&lt; 1 day of work);</w:t>
      </w:r>
      <w:r>
        <w:t xml:space="preserve"> </w:t>
      </w:r>
      <w:r>
        <w:rPr>
          <w:b/>
          <w:bCs/>
        </w:rPr>
        <w:t xml:space="preserve">✗</w:t>
      </w:r>
      <w:r>
        <w:t xml:space="preserve"> </w:t>
      </w:r>
      <w:r>
        <w:t xml:space="preserve">= not applicable;</w:t>
      </w:r>
      <w:r>
        <w:t xml:space="preserve"> </w:t>
      </w:r>
      <w:r>
        <w:rPr>
          <w:b/>
          <w:bCs/>
        </w:rPr>
        <w:t xml:space="preserve">★</w:t>
      </w:r>
      <w:r>
        <w:t xml:space="preserve"> </w:t>
      </w:r>
      <w:r>
        <w:t xml:space="preserve">= new build required (&gt; 1 day of work).</w:t>
      </w:r>
    </w:p>
    <w:tbl>
      <w:tblPr>
        <w:tblStyle w:val="Table"/>
        <w:tblW w:type="pct" w:w="5000"/>
        <w:tblLayout w:type="fixed"/>
        <w:tblLook w:firstRow="1" w:lastRow="0" w:firstColumn="0" w:lastColumn="0" w:noHBand="0" w:noVBand="0" w:val="0020"/>
      </w:tblPr>
      <w:tblGrid>
        <w:gridCol w:w="1102"/>
        <w:gridCol w:w="601"/>
        <w:gridCol w:w="601"/>
        <w:gridCol w:w="501"/>
        <w:gridCol w:w="802"/>
        <w:gridCol w:w="601"/>
        <w:gridCol w:w="601"/>
        <w:gridCol w:w="1203"/>
        <w:gridCol w:w="501"/>
        <w:gridCol w:w="601"/>
        <w:gridCol w:w="802"/>
      </w:tblGrid>
      <w:tr>
        <w:trPr>
          <w:tblHeader w:val="on"/>
        </w:trPr>
        <w:tc>
          <w:tcPr/>
          <w:p>
            <w:pPr>
              <w:pStyle w:val="Compact"/>
            </w:pPr>
            <w:r>
              <w:t xml:space="preserve">Component</w:t>
            </w:r>
          </w:p>
        </w:tc>
        <w:tc>
          <w:tcPr/>
          <w:p>
            <w:pPr>
              <w:pStyle w:val="Compact"/>
              <w:jc w:val="center"/>
            </w:pPr>
            <w:r>
              <w:t xml:space="preserve">AAGL</w:t>
            </w:r>
          </w:p>
        </w:tc>
        <w:tc>
          <w:tcPr/>
          <w:p>
            <w:pPr>
              <w:pStyle w:val="Compact"/>
              <w:jc w:val="center"/>
            </w:pPr>
            <w:r>
              <w:t xml:space="preserve">SMFM</w:t>
            </w:r>
          </w:p>
        </w:tc>
        <w:tc>
          <w:tcPr/>
          <w:p>
            <w:pPr>
              <w:pStyle w:val="Compact"/>
              <w:jc w:val="center"/>
            </w:pPr>
            <w:r>
              <w:t xml:space="preserve">SGO</w:t>
            </w:r>
          </w:p>
        </w:tc>
        <w:tc>
          <w:tcPr/>
          <w:p>
            <w:pPr>
              <w:pStyle w:val="Compact"/>
              <w:jc w:val="center"/>
            </w:pPr>
            <w:r>
              <w:t xml:space="preserve">NASPAG</w:t>
            </w:r>
          </w:p>
        </w:tc>
        <w:tc>
          <w:tcPr/>
          <w:p>
            <w:pPr>
              <w:pStyle w:val="Compact"/>
              <w:jc w:val="center"/>
            </w:pPr>
            <w:r>
              <w:t xml:space="preserve">ASRM</w:t>
            </w:r>
          </w:p>
        </w:tc>
        <w:tc>
          <w:tcPr/>
          <w:p>
            <w:pPr>
              <w:pStyle w:val="Compact"/>
              <w:jc w:val="center"/>
            </w:pPr>
            <w:r>
              <w:t xml:space="preserve">ACOG</w:t>
            </w:r>
          </w:p>
        </w:tc>
        <w:tc>
          <w:tcPr/>
          <w:p>
            <w:pPr>
              <w:pStyle w:val="Compact"/>
              <w:jc w:val="center"/>
            </w:pPr>
            <w:r>
              <w:t xml:space="preserve">CREOG/APGO</w:t>
            </w:r>
          </w:p>
        </w:tc>
        <w:tc>
          <w:tcPr/>
          <w:p>
            <w:pPr>
              <w:pStyle w:val="Compact"/>
              <w:jc w:val="center"/>
            </w:pPr>
            <w:r>
              <w:t xml:space="preserve">SFP</w:t>
            </w:r>
          </w:p>
        </w:tc>
        <w:tc>
          <w:tcPr/>
          <w:p>
            <w:pPr>
              <w:pStyle w:val="Compact"/>
              <w:jc w:val="center"/>
            </w:pPr>
            <w:r>
              <w:t xml:space="preserve">AUGS</w:t>
            </w:r>
          </w:p>
        </w:tc>
        <w:tc>
          <w:tcPr/>
          <w:p>
            <w:pPr>
              <w:pStyle w:val="Compact"/>
              <w:jc w:val="center"/>
            </w:pPr>
            <w:r>
              <w:t xml:space="preserve">SASGOG</w:t>
            </w:r>
          </w:p>
        </w:tc>
      </w:tr>
      <w:tr>
        <w:tc>
          <w:tcPr/>
          <w:p>
            <w:pPr>
              <w:pStyle w:val="Compact"/>
            </w:pPr>
            <w:r>
              <w:t xml:space="preserve">Abstract ingestion</w:t>
            </w:r>
          </w:p>
        </w:tc>
        <w:tc>
          <w:tcPr/>
          <w:p>
            <w:pPr>
              <w:pStyle w:val="Compact"/>
              <w:jc w:val="center"/>
            </w:pPr>
            <w:r>
              <w:t xml:space="preserve">✓ Current</w:t>
            </w:r>
          </w:p>
        </w:tc>
        <w:tc>
          <w:tcPr/>
          <w:p>
            <w:pPr>
              <w:pStyle w:val="Compact"/>
              <w:jc w:val="center"/>
            </w:pPr>
            <w:r>
              <w:t xml:space="preserve">△ URL params</w:t>
            </w:r>
          </w:p>
        </w:tc>
        <w:tc>
          <w:tcPr/>
          <w:p>
            <w:pPr>
              <w:pStyle w:val="Compact"/>
              <w:jc w:val="center"/>
            </w:pPr>
            <w:r>
              <w:t xml:space="preserve">△ URL params</w:t>
            </w:r>
          </w:p>
        </w:tc>
        <w:tc>
          <w:tcPr/>
          <w:p>
            <w:pPr>
              <w:pStyle w:val="Compact"/>
              <w:jc w:val="center"/>
            </w:pPr>
            <w:r>
              <w:t xml:space="preserve">△ URL params</w:t>
            </w:r>
          </w:p>
        </w:tc>
        <w:tc>
          <w:tcPr/>
          <w:p>
            <w:pPr>
              <w:pStyle w:val="Compact"/>
              <w:jc w:val="center"/>
            </w:pPr>
            <w:r>
              <w:t xml:space="preserve">△ URL params + auth</w:t>
            </w:r>
          </w:p>
        </w:tc>
        <w:tc>
          <w:tcPr/>
          <w:p>
            <w:pPr>
              <w:pStyle w:val="Compact"/>
              <w:jc w:val="center"/>
            </w:pPr>
            <w:r>
              <w:t xml:space="preserve">★ LWW scraper</w:t>
            </w:r>
          </w:p>
        </w:tc>
        <w:tc>
          <w:tcPr/>
          <w:p>
            <w:pPr>
              <w:pStyle w:val="Compact"/>
              <w:jc w:val="center"/>
            </w:pPr>
            <w:r>
              <w:t xml:space="preserve">★ LWW scraper</w:t>
            </w:r>
          </w:p>
        </w:tc>
        <w:tc>
          <w:tcPr/>
          <w:p>
            <w:pPr>
              <w:pStyle w:val="Compact"/>
              <w:jc w:val="center"/>
            </w:pPr>
            <w:r>
              <w:t xml:space="preserve">△ Full-text parse</w:t>
            </w:r>
          </w:p>
        </w:tc>
        <w:tc>
          <w:tcPr/>
          <w:p>
            <w:pPr>
              <w:pStyle w:val="Compact"/>
              <w:jc w:val="center"/>
            </w:pPr>
            <w:r>
              <w:t xml:space="preserve">★ LWW scraper</w:t>
            </w:r>
          </w:p>
        </w:tc>
        <w:tc>
          <w:tcPr/>
          <w:p>
            <w:pPr>
              <w:pStyle w:val="Compact"/>
              <w:jc w:val="center"/>
            </w:pPr>
            <w:r>
              <w:t xml:space="preserve">★ Web scraper (no journal)</w:t>
            </w:r>
          </w:p>
        </w:tc>
      </w:tr>
      <w:tr>
        <w:tc>
          <w:tcPr/>
          <w:p>
            <w:pPr>
              <w:pStyle w:val="Compact"/>
            </w:pPr>
            <w:r>
              <w:t xml:space="preserve">PubMed search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CrossRef/OpenAlex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DOI-chain search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(2015+)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Composite scoring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Adjudication app</w:t>
            </w:r>
          </w:p>
        </w:tc>
        <w:tc>
          <w:tcPr/>
          <w:p>
            <w:pPr>
              <w:pStyle w:val="Compact"/>
              <w:jc w:val="center"/>
            </w:pPr>
            <w:r>
              <w:t xml:space="preserve">✓</w:t>
            </w:r>
          </w:p>
        </w:tc>
        <w:tc>
          <w:tcPr/>
          <w:p>
            <w:pPr>
              <w:pStyle w:val="Compact"/>
              <w:jc w:val="center"/>
            </w:pPr>
            <w:r>
              <w:t xml:space="preserve">△ Labels</w:t>
            </w:r>
          </w:p>
        </w:tc>
        <w:tc>
          <w:tcPr/>
          <w:p>
            <w:pPr>
              <w:pStyle w:val="Compact"/>
              <w:jc w:val="center"/>
            </w:pPr>
            <w:r>
              <w:t xml:space="preserve">△ Labels</w:t>
            </w:r>
          </w:p>
        </w:tc>
        <w:tc>
          <w:tcPr/>
          <w:p>
            <w:pPr>
              <w:pStyle w:val="Compact"/>
              <w:jc w:val="center"/>
            </w:pPr>
            <w:r>
              <w:t xml:space="preserve">△ Labels</w:t>
            </w:r>
          </w:p>
        </w:tc>
        <w:tc>
          <w:tcPr/>
          <w:p>
            <w:pPr>
              <w:pStyle w:val="Compact"/>
              <w:jc w:val="center"/>
            </w:pPr>
            <w:r>
              <w:t xml:space="preserve">△ Labels</w:t>
            </w:r>
          </w:p>
        </w:tc>
        <w:tc>
          <w:tcPr/>
          <w:p>
            <w:pPr>
              <w:pStyle w:val="Compact"/>
              <w:jc w:val="center"/>
            </w:pPr>
            <w:r>
              <w:t xml:space="preserve">△ Labels</w:t>
            </w:r>
          </w:p>
        </w:tc>
        <w:tc>
          <w:tcPr/>
          <w:p>
            <w:pPr>
              <w:pStyle w:val="Compact"/>
              <w:jc w:val="center"/>
            </w:pPr>
            <w:r>
              <w:t xml:space="preserve">△ Labels</w:t>
            </w:r>
          </w:p>
        </w:tc>
        <w:tc>
          <w:tcPr/>
          <w:p>
            <w:pPr>
              <w:pStyle w:val="Compact"/>
              <w:jc w:val="center"/>
            </w:pPr>
            <w:r>
              <w:t xml:space="preserve">△ Labels</w:t>
            </w:r>
          </w:p>
        </w:tc>
        <w:tc>
          <w:tcPr/>
          <w:p>
            <w:pPr>
              <w:pStyle w:val="Compact"/>
              <w:jc w:val="center"/>
            </w:pPr>
            <w:r>
              <w:t xml:space="preserve">△ Labels</w:t>
            </w:r>
          </w:p>
        </w:tc>
        <w:tc>
          <w:tcPr/>
          <w:p>
            <w:pPr>
              <w:pStyle w:val="Compact"/>
              <w:jc w:val="center"/>
            </w:pPr>
            <w:r>
              <w:t xml:space="preserve">△ Labels</w:t>
            </w:r>
          </w:p>
        </w:tc>
      </w:tr>
      <w:tr>
        <w:tc>
          <w:tcPr/>
          <w:p>
            <w:pPr>
              <w:pStyle w:val="Compact"/>
            </w:pPr>
            <w:r>
              <w:t xml:space="preserve">Gender inference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NPI matching</w:t>
            </w:r>
          </w:p>
        </w:tc>
        <w:tc>
          <w:tcPr/>
          <w:p>
            <w:pPr>
              <w:pStyle w:val="Compact"/>
              <w:jc w:val="center"/>
            </w:pPr>
            <w:r>
              <w:t xml:space="preserve">✓</w:t>
            </w:r>
          </w:p>
        </w:tc>
        <w:tc>
          <w:tcPr/>
          <w:p>
            <w:pPr>
              <w:pStyle w:val="Compact"/>
              <w:jc w:val="center"/>
            </w:pPr>
            <w:r>
              <w:t xml:space="preserve">△ Subspecialty filter</w:t>
            </w:r>
          </w:p>
        </w:tc>
        <w:tc>
          <w:tcPr/>
          <w:p>
            <w:pPr>
              <w:pStyle w:val="Compact"/>
              <w:jc w:val="center"/>
            </w:pPr>
            <w:r>
              <w:t xml:space="preserve">△ Subspecialty filter</w:t>
            </w:r>
          </w:p>
        </w:tc>
        <w:tc>
          <w:tcPr/>
          <w:p>
            <w:pPr>
              <w:pStyle w:val="Compact"/>
              <w:jc w:val="center"/>
            </w:pPr>
            <w:r>
              <w:t xml:space="preserve">△ Subspecialty filter</w:t>
            </w:r>
          </w:p>
        </w:tc>
        <w:tc>
          <w:tcPr/>
          <w:p>
            <w:pPr>
              <w:pStyle w:val="Compact"/>
              <w:jc w:val="center"/>
            </w:pPr>
            <w:r>
              <w:t xml:space="preserve">△ Subspecialty filter</w:t>
            </w:r>
          </w:p>
        </w:tc>
        <w:tc>
          <w:tcPr/>
          <w:p>
            <w:pPr>
              <w:pStyle w:val="Compact"/>
              <w:jc w:val="center"/>
            </w:pPr>
            <w:r>
              <w:t xml:space="preserve">△ Subspecialty filter</w:t>
            </w:r>
          </w:p>
        </w:tc>
        <w:tc>
          <w:tcPr/>
          <w:p>
            <w:pPr>
              <w:pStyle w:val="Compact"/>
              <w:jc w:val="center"/>
            </w:pPr>
            <w:r>
              <w:t xml:space="preserve">△ Subspecialty filter</w:t>
            </w:r>
          </w:p>
        </w:tc>
        <w:tc>
          <w:tcPr/>
          <w:p>
            <w:pPr>
              <w:pStyle w:val="Compact"/>
              <w:jc w:val="center"/>
            </w:pPr>
            <w:r>
              <w:t xml:space="preserve">△ Subspecialty filter</w:t>
            </w:r>
          </w:p>
        </w:tc>
        <w:tc>
          <w:tcPr/>
          <w:p>
            <w:pPr>
              <w:pStyle w:val="Compact"/>
              <w:jc w:val="center"/>
            </w:pPr>
            <w:r>
              <w:t xml:space="preserve">△ Subspecialty filter</w:t>
            </w:r>
          </w:p>
        </w:tc>
        <w:tc>
          <w:tcPr/>
          <w:p>
            <w:pPr>
              <w:pStyle w:val="Compact"/>
              <w:jc w:val="center"/>
            </w:pPr>
            <w:r>
              <w:t xml:space="preserve">✗</w:t>
            </w:r>
          </w:p>
        </w:tc>
      </w:tr>
      <w:tr>
        <w:tc>
          <w:tcPr/>
          <w:p>
            <w:pPr>
              <w:pStyle w:val="Compact"/>
            </w:pPr>
            <w:r>
              <w:t xml:space="preserve">ORCID enrichment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Affiliation backfill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Auth required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Partial</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Total new-build components by society:</w:t>
      </w:r>
      <w:r>
        <w:t xml:space="preserve"> </w:t>
      </w:r>
      <w:r>
        <w:t xml:space="preserve">SMFM = 0, SGO = 0, NASPAG = 0, ASRM = 0, ACOG = 1, CREOG/APGO = 1 (shared with ACOG), SFP = 1 (full-text parse only), AUGS = 1 (shared LWW scraper), SASGOG = 2.</w:t>
      </w:r>
    </w:p>
    <w:p>
      <w:pPr>
        <w:pStyle w:val="BodyText"/>
      </w:pPr>
      <w:r>
        <w:t xml:space="preserve">The SMFM–SGO–NASPAG–ASRM group requires no new engineering beyond parameter changes to existing scripts. The LWW group (ACOG, CREOG/APGO, AUGS) requires one new scraper shared across all three. SASGOG requires two new components and offers no DOI-based matching, making it the lowest return on implementation investment.</w:t>
      </w:r>
    </w:p>
    <w:bookmarkEnd w:id="74"/>
    <w:bookmarkStart w:id="75" w:name="a11.5-expected-match-rates"/>
    <w:p>
      <w:pPr>
        <w:pStyle w:val="Heading3"/>
      </w:pPr>
      <w:r>
        <w:t xml:space="preserve">A11.5 Expected Match Rates</w:t>
      </w:r>
    </w:p>
    <w:p>
      <w:pPr>
        <w:pStyle w:val="FirstParagraph"/>
      </w:pPr>
      <w:r>
        <w:t xml:space="preserve">The AAGL pipeline’s empirical match rates provide a baseline for projecting performance on other societies. The AAGL dataset achieved 11.4% definite matches and 21% combined probable/possible matches across 1,106 abstracts presented 2012–2023. These rates are depressed relative to their theoretical potential by three AAGL-specific factors: (1) initials-only author names limiting ORCID and name-based search, (2) no abstract text for 2012–2018 congresses limiting TF-IDF cosine similarity, and (3) a relatively small meeting (~90 abstracts/year) with a niche subspecialty focus that may attract higher proportions of preliminary clinical data less likely to be published.</w:t>
      </w:r>
    </w:p>
    <w:p>
      <w:pPr>
        <w:pStyle w:val="BodyText"/>
      </w:pPr>
      <w:r>
        <w:rPr>
          <w:b/>
          <w:bCs/>
        </w:rPr>
        <w:t xml:space="preserve">Projected improvements by pipeline feature for new societies:</w:t>
      </w:r>
    </w:p>
    <w:tbl>
      <w:tblPr>
        <w:tblStyle w:val="Table"/>
        <w:tblW w:type="pct" w:w="5000"/>
        <w:tblLayout w:type="fixed"/>
        <w:tblLook w:firstRow="1" w:lastRow="0" w:firstColumn="0" w:lastColumn="0" w:noHBand="0" w:noVBand="0" w:val="0020"/>
      </w:tblPr>
      <w:tblGrid>
        <w:gridCol w:w="1228"/>
        <w:gridCol w:w="2048"/>
        <w:gridCol w:w="1502"/>
        <w:gridCol w:w="3140"/>
      </w:tblGrid>
      <w:tr>
        <w:trPr>
          <w:tblHeader w:val="on"/>
        </w:trPr>
        <w:tc>
          <w:tcPr/>
          <w:p>
            <w:pPr>
              <w:pStyle w:val="Compact"/>
            </w:pPr>
            <w:r>
              <w:t xml:space="preserve">Feature</w:t>
            </w:r>
          </w:p>
        </w:tc>
        <w:tc>
          <w:tcPr/>
          <w:p>
            <w:pPr>
              <w:pStyle w:val="Compact"/>
              <w:jc w:val="center"/>
            </w:pPr>
            <w:r>
              <w:t xml:space="preserve">AAGL Baseline</w:t>
            </w:r>
          </w:p>
        </w:tc>
        <w:tc>
          <w:tcPr/>
          <w:p>
            <w:pPr>
              <w:pStyle w:val="Compact"/>
            </w:pPr>
            <w:r>
              <w:t xml:space="preserve">Mechanism</w:t>
            </w:r>
          </w:p>
        </w:tc>
        <w:tc>
          <w:tcPr/>
          <w:p>
            <w:pPr>
              <w:pStyle w:val="Compact"/>
              <w:jc w:val="right"/>
            </w:pPr>
            <w:r>
              <w:t xml:space="preserve">Projected Improvement</w:t>
            </w:r>
          </w:p>
        </w:tc>
      </w:tr>
      <w:tr>
        <w:tc>
          <w:tcPr/>
          <w:p>
            <w:pPr>
              <w:pStyle w:val="Compact"/>
            </w:pPr>
            <w:r>
              <w:t xml:space="preserve">Full first names (vs. initials only)</w:t>
            </w:r>
          </w:p>
        </w:tc>
        <w:tc>
          <w:tcPr/>
          <w:p>
            <w:pPr>
              <w:pStyle w:val="Compact"/>
              <w:jc w:val="center"/>
            </w:pPr>
            <w:r>
              <w:t xml:space="preserve">15.8% ORCID hit rate</w:t>
            </w:r>
          </w:p>
        </w:tc>
        <w:tc>
          <w:tcPr/>
          <w:p>
            <w:pPr>
              <w:pStyle w:val="Compact"/>
            </w:pPr>
            <w:r>
              <w:t xml:space="preserve">genderize.io and ORCID API use full names; exact NPI matching enabled</w:t>
            </w:r>
          </w:p>
        </w:tc>
        <w:tc>
          <w:tcPr/>
          <w:p>
            <w:pPr>
              <w:pStyle w:val="Compact"/>
              <w:jc w:val="right"/>
            </w:pPr>
            <w:r>
              <w:t xml:space="preserve">+5 to +8 percentage points (pp) publication rate</w:t>
            </w:r>
          </w:p>
        </w:tc>
      </w:tr>
      <w:tr>
        <w:tc>
          <w:tcPr/>
          <w:p>
            <w:pPr>
              <w:pStyle w:val="Compact"/>
            </w:pPr>
            <w:r>
              <w:t xml:space="preserve">Individual DOIs + DOI-chain search</w:t>
            </w:r>
          </w:p>
        </w:tc>
        <w:tc>
          <w:tcPr/>
          <w:p>
            <w:pPr>
              <w:pStyle w:val="Compact"/>
              <w:jc w:val="center"/>
            </w:pPr>
            <w:r>
              <w:t xml:space="preserve">Contributes ~22% of definite matches in AAGL</w:t>
            </w:r>
          </w:p>
        </w:tc>
        <w:tc>
          <w:tcPr/>
          <w:p>
            <w:pPr>
              <w:pStyle w:val="Compact"/>
            </w:pPr>
            <w:r>
              <w:t xml:space="preserve">Societies with individual DOIs (SMFM, SGO, NASPAG, ASRM, ACOG, CREOG 2015+) get this benefit</w:t>
            </w:r>
          </w:p>
        </w:tc>
        <w:tc>
          <w:tcPr/>
          <w:p>
            <w:pPr>
              <w:pStyle w:val="Compact"/>
              <w:jc w:val="right"/>
            </w:pPr>
            <w:r>
              <w:t xml:space="preserve">+3 to +5 pp</w:t>
            </w:r>
          </w:p>
        </w:tc>
      </w:tr>
      <w:tr>
        <w:tc>
          <w:tcPr/>
          <w:p>
            <w:pPr>
              <w:pStyle w:val="Compact"/>
            </w:pPr>
            <w:r>
              <w:t xml:space="preserve">Affiliation backfill (ScienceDirect)</w:t>
            </w:r>
          </w:p>
        </w:tc>
        <w:tc>
          <w:tcPr/>
          <w:p>
            <w:pPr>
              <w:pStyle w:val="Compact"/>
              <w:jc w:val="center"/>
            </w:pPr>
            <w:r>
              <w:t xml:space="preserve">52.7% coverage for AAGL</w:t>
            </w:r>
          </w:p>
        </w:tc>
        <w:tc>
          <w:tcPr/>
          <w:p>
            <w:pPr>
              <w:pStyle w:val="Compact"/>
            </w:pPr>
            <w:r>
              <w:t xml:space="preserve">Full affiliations available at ingestion for SMFM, SGO, NASPAG; improves author disambiguation</w:t>
            </w:r>
          </w:p>
        </w:tc>
        <w:tc>
          <w:tcPr/>
          <w:p>
            <w:pPr>
              <w:pStyle w:val="Compact"/>
              <w:jc w:val="right"/>
            </w:pPr>
            <w:r>
              <w:t xml:space="preserve">+2 to +3 pp</w:t>
            </w:r>
          </w:p>
        </w:tc>
      </w:tr>
      <w:tr>
        <w:tc>
          <w:tcPr/>
          <w:p>
            <w:pPr>
              <w:pStyle w:val="Compact"/>
            </w:pPr>
            <w:r>
              <w:t xml:space="preserve">Higher abstract volume</w:t>
            </w:r>
          </w:p>
        </w:tc>
        <w:tc>
          <w:tcPr/>
          <w:p>
            <w:pPr>
              <w:pStyle w:val="Compact"/>
              <w:jc w:val="center"/>
            </w:pPr>
            <w:r>
              <w:t xml:space="preserve">~90/year (AAGL) vs ~500–1,200/year (SMFM, ASRM)</w:t>
            </w:r>
          </w:p>
        </w:tc>
        <w:tc>
          <w:tcPr/>
          <w:p>
            <w:pPr>
              <w:pStyle w:val="Compact"/>
            </w:pPr>
            <w:r>
              <w:t xml:space="preserve">Larger N allows lower-false-positive scoring threshold because random noise averages out</w:t>
            </w:r>
          </w:p>
        </w:tc>
        <w:tc>
          <w:tcPr/>
          <w:p>
            <w:pPr>
              <w:pStyle w:val="Compact"/>
              <w:jc w:val="right"/>
            </w:pPr>
            <w:r>
              <w:t xml:space="preserve">Primarily power benefit, not rate benefit</w:t>
            </w:r>
          </w:p>
        </w:tc>
      </w:tr>
    </w:tbl>
    <w:p>
      <w:pPr>
        <w:pStyle w:val="BodyText"/>
      </w:pPr>
      <w:r>
        <w:rPr>
          <w:b/>
          <w:bCs/>
        </w:rPr>
        <w:t xml:space="preserve">Society-level projections.</w:t>
      </w:r>
      <w:r>
        <w:t xml:space="preserve"> </w:t>
      </w:r>
      <w:r>
        <w:t xml:space="preserve">SMFM and SGO: expected definite match rate 14–18% (full names + individual DOIs + full affiliations, no auth barrier). NASPAG: similar rate but high uncertainty due to small N (~35/year). ASRM: rate may be 12–16%; auth barrier limits affiliation backfill and reduces one enrichment pathway. ACOG: largest volume (~800/year) but broadest subspecialty scope (general OB/GYN), which may reduce per-abstract match confidence; expected rate 10–14%. AUGS: no DOI-chain search, no affiliation backfill; expected rate similar to AAGL (10–13%). CREOG/APGO: education-focused abstracts often describe curriculum innovations or simulation studies that may publish in education-specific journals less well indexed in PubMed; expected rate 8–12%.</w:t>
      </w:r>
    </w:p>
    <w:p>
      <w:pPr>
        <w:pStyle w:val="BodyText"/>
      </w:pPr>
      <w:r>
        <w:rPr>
          <w:b/>
          <w:bCs/>
        </w:rPr>
        <w:t xml:space="preserve">ORCID enrichment projection.</w:t>
      </w:r>
      <w:r>
        <w:t xml:space="preserve"> </w:t>
      </w:r>
      <w:r>
        <w:t xml:space="preserve">The AAGL pipeline achieved 15.8% ORCID linkage using initials only. All comparison societies provide full first names. Based on published ORCID coverage studies (Bosman &amp; Kramer 2018; Haak et al. 2012), full-name ORCID search against the ORCID public API achieves 55–70% linkage for US academic biomedical authors. Applying a conservative 60% estimate to the five non-AAGL Elsevier societies would increase author-level longitudinal tracking by roughly 4-fold.</w:t>
      </w:r>
    </w:p>
    <w:bookmarkEnd w:id="75"/>
    <w:bookmarkStart w:id="76" w:name="X67b02fd6881def93dc37a03feec5ff1a0c83a1a"/>
    <w:p>
      <w:pPr>
        <w:pStyle w:val="Heading3"/>
      </w:pPr>
      <w:r>
        <w:t xml:space="preserve">A11.6 Statistical Power for Cross-Society Analyses</w:t>
      </w:r>
    </w:p>
    <w:p>
      <w:pPr>
        <w:pStyle w:val="FirstParagraph"/>
      </w:pPr>
      <w:r>
        <w:rPr>
          <w:b/>
          <w:bCs/>
        </w:rPr>
        <w:t xml:space="preserve">Two-proportion z-test for publication rate differences.</w:t>
      </w:r>
      <w:r>
        <w:t xml:space="preserve"> </w:t>
      </w:r>
      <w:r>
        <w:t xml:space="preserve">The primary cross-society comparison of interest is whether two societies differ in their confirmed publication rate. Using a two-sided two-proportion z-test at α = 0.05 and 80% power, the minimum sample size required to detect a 5 percentage-point difference (e.g., 11% vs. 16%) depends on the assumed baseline rate:</w:t>
      </w:r>
    </w:p>
    <w:tbl>
      <w:tblPr>
        <w:tblStyle w:val="Table"/>
        <w:tblW w:type="pct" w:w="5000"/>
        <w:tblLayout w:type="fixed"/>
        <w:tblLook w:firstRow="1" w:lastRow="0" w:firstColumn="0" w:lastColumn="0" w:noHBand="0" w:noVBand="0" w:val="0020"/>
      </w:tblPr>
      <w:tblGrid>
        <w:gridCol w:w="1542"/>
        <w:gridCol w:w="1748"/>
        <w:gridCol w:w="1234"/>
        <w:gridCol w:w="1542"/>
        <w:gridCol w:w="1851"/>
      </w:tblGrid>
      <w:tr>
        <w:trPr>
          <w:tblHeader w:val="on"/>
        </w:trPr>
        <w:tc>
          <w:tcPr/>
          <w:p>
            <w:pPr>
              <w:pStyle w:val="Compact"/>
              <w:jc w:val="center"/>
            </w:pPr>
            <w:r>
              <w:t xml:space="preserve">Baseline Rate</w:t>
            </w:r>
          </w:p>
        </w:tc>
        <w:tc>
          <w:tcPr/>
          <w:p>
            <w:pPr>
              <w:pStyle w:val="Compact"/>
              <w:jc w:val="center"/>
            </w:pPr>
            <w:r>
              <w:t xml:space="preserve">Comparison Rate</w:t>
            </w:r>
          </w:p>
        </w:tc>
        <w:tc>
          <w:tcPr/>
          <w:p>
            <w:pPr>
              <w:pStyle w:val="Compact"/>
              <w:jc w:val="center"/>
            </w:pPr>
            <w:r>
              <w:t xml:space="preserve">Difference</w:t>
            </w:r>
          </w:p>
        </w:tc>
        <w:tc>
          <w:tcPr/>
          <w:p>
            <w:pPr>
              <w:pStyle w:val="Compact"/>
              <w:jc w:val="center"/>
            </w:pPr>
            <w:r>
              <w:t xml:space="preserve">N per Society</w:t>
            </w:r>
          </w:p>
        </w:tc>
        <w:tc>
          <w:tcPr/>
          <w:p>
            <w:pPr>
              <w:pStyle w:val="Compact"/>
              <w:jc w:val="center"/>
            </w:pPr>
            <w:r>
              <w:t xml:space="preserve">Total N Required</w:t>
            </w:r>
          </w:p>
        </w:tc>
      </w:tr>
      <w:tr>
        <w:tc>
          <w:tcPr/>
          <w:p>
            <w:pPr>
              <w:pStyle w:val="Compact"/>
              <w:jc w:val="center"/>
            </w:pPr>
            <w:r>
              <w:t xml:space="preserve">11% (AAGL)</w:t>
            </w:r>
          </w:p>
        </w:tc>
        <w:tc>
          <w:tcPr/>
          <w:p>
            <w:pPr>
              <w:pStyle w:val="Compact"/>
              <w:jc w:val="center"/>
            </w:pPr>
            <w:r>
              <w:t xml:space="preserve">16%</w:t>
            </w:r>
          </w:p>
        </w:tc>
        <w:tc>
          <w:tcPr/>
          <w:p>
            <w:pPr>
              <w:pStyle w:val="Compact"/>
              <w:jc w:val="center"/>
            </w:pPr>
            <w:r>
              <w:t xml:space="preserve">5 pp</w:t>
            </w:r>
          </w:p>
        </w:tc>
        <w:tc>
          <w:tcPr/>
          <w:p>
            <w:pPr>
              <w:pStyle w:val="Compact"/>
              <w:jc w:val="center"/>
            </w:pPr>
            <w:r>
              <w:t xml:space="preserve">487</w:t>
            </w:r>
          </w:p>
        </w:tc>
        <w:tc>
          <w:tcPr/>
          <w:p>
            <w:pPr>
              <w:pStyle w:val="Compact"/>
              <w:jc w:val="center"/>
            </w:pPr>
            <w:r>
              <w:t xml:space="preserve">974</w:t>
            </w:r>
          </w:p>
        </w:tc>
      </w:tr>
      <w:tr>
        <w:tc>
          <w:tcPr/>
          <w:p>
            <w:pPr>
              <w:pStyle w:val="Compact"/>
              <w:jc w:val="center"/>
            </w:pPr>
            <w:r>
              <w:t xml:space="preserve">11% (AAGL)</w:t>
            </w:r>
          </w:p>
        </w:tc>
        <w:tc>
          <w:tcPr/>
          <w:p>
            <w:pPr>
              <w:pStyle w:val="Compact"/>
              <w:jc w:val="center"/>
            </w:pPr>
            <w:r>
              <w:t xml:space="preserve">18%</w:t>
            </w:r>
          </w:p>
        </w:tc>
        <w:tc>
          <w:tcPr/>
          <w:p>
            <w:pPr>
              <w:pStyle w:val="Compact"/>
              <w:jc w:val="center"/>
            </w:pPr>
            <w:r>
              <w:t xml:space="preserve">7 pp</w:t>
            </w:r>
          </w:p>
        </w:tc>
        <w:tc>
          <w:tcPr/>
          <w:p>
            <w:pPr>
              <w:pStyle w:val="Compact"/>
              <w:jc w:val="center"/>
            </w:pPr>
            <w:r>
              <w:t xml:space="preserve">260</w:t>
            </w:r>
          </w:p>
        </w:tc>
        <w:tc>
          <w:tcPr/>
          <w:p>
            <w:pPr>
              <w:pStyle w:val="Compact"/>
              <w:jc w:val="center"/>
            </w:pPr>
            <w:r>
              <w:t xml:space="preserve">520</w:t>
            </w:r>
          </w:p>
        </w:tc>
      </w:tr>
      <w:tr>
        <w:tc>
          <w:tcPr/>
          <w:p>
            <w:pPr>
              <w:pStyle w:val="Compact"/>
              <w:jc w:val="center"/>
            </w:pPr>
            <w:r>
              <w:t xml:space="preserve">15% (projected)</w:t>
            </w:r>
          </w:p>
        </w:tc>
        <w:tc>
          <w:tcPr/>
          <w:p>
            <w:pPr>
              <w:pStyle w:val="Compact"/>
              <w:jc w:val="center"/>
            </w:pPr>
            <w:r>
              <w:t xml:space="preserve">20%</w:t>
            </w:r>
          </w:p>
        </w:tc>
        <w:tc>
          <w:tcPr/>
          <w:p>
            <w:pPr>
              <w:pStyle w:val="Compact"/>
              <w:jc w:val="center"/>
            </w:pPr>
            <w:r>
              <w:t xml:space="preserve">5 pp</w:t>
            </w:r>
          </w:p>
        </w:tc>
        <w:tc>
          <w:tcPr/>
          <w:p>
            <w:pPr>
              <w:pStyle w:val="Compact"/>
              <w:jc w:val="center"/>
            </w:pPr>
            <w:r>
              <w:t xml:space="preserve">523</w:t>
            </w:r>
          </w:p>
        </w:tc>
        <w:tc>
          <w:tcPr/>
          <w:p>
            <w:pPr>
              <w:pStyle w:val="Compact"/>
              <w:jc w:val="center"/>
            </w:pPr>
            <w:r>
              <w:t xml:space="preserve">1,046</w:t>
            </w:r>
          </w:p>
        </w:tc>
      </w:tr>
      <w:tr>
        <w:tc>
          <w:tcPr/>
          <w:p>
            <w:pPr>
              <w:pStyle w:val="Compact"/>
              <w:jc w:val="center"/>
            </w:pPr>
            <w:r>
              <w:t xml:space="preserve">15% (projected)</w:t>
            </w:r>
          </w:p>
        </w:tc>
        <w:tc>
          <w:tcPr/>
          <w:p>
            <w:pPr>
              <w:pStyle w:val="Compact"/>
              <w:jc w:val="center"/>
            </w:pPr>
            <w:r>
              <w:t xml:space="preserve">22%</w:t>
            </w:r>
          </w:p>
        </w:tc>
        <w:tc>
          <w:tcPr/>
          <w:p>
            <w:pPr>
              <w:pStyle w:val="Compact"/>
              <w:jc w:val="center"/>
            </w:pPr>
            <w:r>
              <w:t xml:space="preserve">7 pp</w:t>
            </w:r>
          </w:p>
        </w:tc>
        <w:tc>
          <w:tcPr/>
          <w:p>
            <w:pPr>
              <w:pStyle w:val="Compact"/>
              <w:jc w:val="center"/>
            </w:pPr>
            <w:r>
              <w:t xml:space="preserve">279</w:t>
            </w:r>
          </w:p>
        </w:tc>
        <w:tc>
          <w:tcPr/>
          <w:p>
            <w:pPr>
              <w:pStyle w:val="Compact"/>
              <w:jc w:val="center"/>
            </w:pPr>
            <w:r>
              <w:t xml:space="preserve">558</w:t>
            </w:r>
          </w:p>
        </w:tc>
      </w:tr>
    </w:tbl>
    <w:p>
      <w:pPr>
        <w:pStyle w:val="BodyText"/>
      </w:pPr>
      <w:r>
        <w:rPr>
          <w:b/>
          <w:bCs/>
        </w:rPr>
        <w:t xml:space="preserve">AAGL alone is underpowered for subgroup analyses.</w:t>
      </w:r>
      <w:r>
        <w:t xml:space="preserve"> </w:t>
      </w:r>
      <w:r>
        <w:t xml:space="preserve">With ~90 abstracts/year × 11 years = ~990 total abstracts and 122 definite matches, AAGL alone cannot support two-proportion tests within subgroups (e.g., by year, by session type, by research category). Splitting 122 events into 4 research categories yields ~30 events per cell, providing approximately 32% power to detect a 7 pp difference — substantially below the 80% threshold recommended for confirmatory analyses.</w:t>
      </w:r>
    </w:p>
    <w:p>
      <w:pPr>
        <w:pStyle w:val="BodyText"/>
      </w:pPr>
      <w:r>
        <w:rPr>
          <w:b/>
          <w:bCs/>
        </w:rPr>
        <w:t xml:space="preserve">Combined AAGL + SMFM + SGO reaches adequate power within 3 years.</w:t>
      </w:r>
      <w:r>
        <w:t xml:space="preserve"> </w:t>
      </w:r>
      <w:r>
        <w:t xml:space="preserve">AAGL + SMFM + SGO contribute approximately 90 + 500 + 570 = 1,160 abstracts/year. At an assumed 14% pooled publication rate, this generates approximately 162 new confirmed publications per year. Within 3 years of combined data collection, the pooled dataset would contain ~3,480 abstracts and ~487 confirmed publications — sufficient for two-proportion z-tests between any two of the three societies at 80% power for a 5 pp difference, and for Cox model subgroup analyses with adequate event counts (&gt;50 per stratum) in all major subgroups (RCT vs. non-RCT, positive vs. negative results, US vs. international).</w:t>
      </w:r>
    </w:p>
    <w:p>
      <w:pPr>
        <w:pStyle w:val="BodyText"/>
      </w:pPr>
      <w:r>
        <w:rPr>
          <w:b/>
          <w:bCs/>
        </w:rPr>
        <w:t xml:space="preserve">Cox proportional hazards model power: event-count requirements.</w:t>
      </w:r>
      <w:r>
        <w:t xml:space="preserve"> </w:t>
      </w:r>
      <w:r>
        <w:t xml:space="preserve">For Cox model covariate effects, the rule of thumb is ≥10 events per predictor variable (EPP), with a minimum of 50 total events for stable hazard ratio estimation. The AAGL dataset with 122 definite matches over 11 years provides adequate power (EPP ≥ 10) for a model with up to 12 covariates — which matches the current model specification. However, for interaction terms (e.g., subspecialty × result positivity) at least 50 events per interaction cell are needed. AAGL alone (122 events total) cannot support such interactions. A combined 3-society dataset with ~487 events over 3 years would support Cox models with up to 6 interaction terms while maintaining EPP ≥ 10, enabling the first adequately powered cross-subspecialty time-to-publication analysis in OB/GYN.</w:t>
      </w:r>
    </w:p>
    <w:bookmarkEnd w:id="76"/>
    <w:bookmarkStart w:id="77" w:name="X770fba4056c5de83ce90628210006748e0949e3"/>
    <w:p>
      <w:pPr>
        <w:pStyle w:val="Heading3"/>
      </w:pPr>
      <w:r>
        <w:t xml:space="preserve">A11.7 Disambiguation Challenges by Society</w:t>
      </w:r>
    </w:p>
    <w:p>
      <w:pPr>
        <w:pStyle w:val="FirstParagraph"/>
      </w:pPr>
      <w:r>
        <w:t xml:space="preserve">Each society presents distinct challenges for the name disambiguation, gender inference, and identity resolution components of the pipeline. Understanding these challenges prospectively allows targeted solutions to be built into the ingestion layer rather than discovered post-hoc.</w:t>
      </w:r>
    </w:p>
    <w:p>
      <w:pPr>
        <w:pStyle w:val="BodyText"/>
      </w:pPr>
      <w:r>
        <w:rPr>
          <w:b/>
          <w:bCs/>
        </w:rPr>
        <w:t xml:space="preserve">AAGL.</w:t>
      </w:r>
      <w:r>
        <w:t xml:space="preserve"> </w:t>
      </w:r>
      <w:r>
        <w:t xml:space="preserve">The primary and most consequential challenge is initials-only first names (e.g.,</w:t>
      </w:r>
      <w:r>
        <w:t xml:space="preserve"> </w:t>
      </w:r>
      <w:r>
        <w:t xml:space="preserve">“R.S. Guido”</w:t>
      </w:r>
      <w:r>
        <w:t xml:space="preserve">). This single feature limits ORCID linkage to 15.8%, disables exact-name NPI matching for 84% of US authors, and reduces genderize.io inference accuracy. No other society in the candidate set has this limitation. The recommended mitigation — cross-referencing confirmed publications to retrieve full author names from PubMed XML — recovers full names for confirmed matches but leaves unmatched abstracts with initials only.</w:t>
      </w:r>
    </w:p>
    <w:p>
      <w:pPr>
        <w:pStyle w:val="BodyText"/>
      </w:pPr>
      <w:r>
        <w:rPr>
          <w:b/>
          <w:bCs/>
        </w:rPr>
        <w:t xml:space="preserve">SMFM.</w:t>
      </w:r>
      <w:r>
        <w:t xml:space="preserve"> </w:t>
      </w:r>
      <w:r>
        <w:t xml:space="preserve">The MFM community has a higher proportion of international presenters than MIGS (reflecting MFM’s broader geographic scope in high-risk obstetrics). Authors with Hebrew, Arabic, Chinese, Korean, and South Asian names present two challenges: (1) genderize.io has lower accuracy for non-Western names (reported coverage 60–75% vs. &gt;90% for Western European names); and (2) multi-character transliteration variants (e.g.,</w:t>
      </w:r>
      <w:r>
        <w:t xml:space="preserve"> </w:t>
      </w:r>
      <w:r>
        <w:t xml:space="preserve">“Weissman”</w:t>
      </w:r>
      <w:r>
        <w:t xml:space="preserve"> </w:t>
      </w:r>
      <w:r>
        <w:t xml:space="preserve">vs. </w:t>
      </w:r>
      <w:r>
        <w:t xml:space="preserve">“Weisman”</w:t>
      </w:r>
      <w:r>
        <w:t xml:space="preserve">) increase false-negative rates in PubMed author-name matching. The recommended mitigation is applying Unicode normalization before string matching and using ORCID-linked affiliations to anchor transliteration variants.</w:t>
      </w:r>
    </w:p>
    <w:p>
      <w:pPr>
        <w:pStyle w:val="BodyText"/>
      </w:pPr>
      <w:r>
        <w:rPr>
          <w:b/>
          <w:bCs/>
        </w:rPr>
        <w:t xml:space="preserve">SGO.</w:t>
      </w:r>
      <w:r>
        <w:t xml:space="preserve"> </w:t>
      </w:r>
      <w:r>
        <w:t xml:space="preserve">Gynecologic oncology fellows are disproportionately first authors at SGO, reflecting the mentorship structure of oncology training. Fellows who present in year 1 of fellowship may be attending physicians by year 3 (when the abstract most likely converts to a publication), meaning their NPI affiliation state changes between abstract submission and paper publication. This creates a temporal mismatch in state-level career-stage analyses. The mitigation is recording the abstract-submission year as the reference year for career-stage determination, not the publication year.</w:t>
      </w:r>
    </w:p>
    <w:p>
      <w:pPr>
        <w:pStyle w:val="BodyText"/>
      </w:pPr>
      <w:r>
        <w:rPr>
          <w:b/>
          <w:bCs/>
        </w:rPr>
        <w:t xml:space="preserve">ASRM.</w:t>
      </w:r>
      <w:r>
        <w:t xml:space="preserve"> </w:t>
      </w:r>
      <w:r>
        <w:t xml:space="preserve">ASRM abstracts include presentations by embryologists, andrologists, reproductive biologists, and PhD-level researchers who do not hold MD degrees and therefore do not appear in the ABOG NPI pool. An estimated 20–30% of ASRM first authors may be non-physicians, for whom the NPI matching component is not applicable. Affiliation text parsing (detecting</w:t>
      </w:r>
      <w:r>
        <w:t xml:space="preserve"> </w:t>
      </w:r>
      <w:r>
        <w:t xml:space="preserve">“PhD,”</w:t>
      </w:r>
      <w:r>
        <w:t xml:space="preserve"> </w:t>
      </w:r>
      <w:r>
        <w:t xml:space="preserve">“HCLD,”</w:t>
      </w:r>
      <w:r>
        <w:t xml:space="preserve"> </w:t>
      </w:r>
      <w:r>
        <w:t xml:space="preserve">“MS”</w:t>
      </w:r>
      <w:r>
        <w:t xml:space="preserve"> </w:t>
      </w:r>
      <w:r>
        <w:t xml:space="preserve">in credentials, or</w:t>
      </w:r>
      <w:r>
        <w:t xml:space="preserve"> </w:t>
      </w:r>
      <w:r>
        <w:t xml:space="preserve">“laboratory”</w:t>
      </w:r>
      <w:r>
        <w:t xml:space="preserve"> </w:t>
      </w:r>
      <w:r>
        <w:t xml:space="preserve">in institutional title) should flag non-physician authors before NPI matching to avoid spurious low-confidence matches.</w:t>
      </w:r>
    </w:p>
    <w:p>
      <w:pPr>
        <w:pStyle w:val="BodyText"/>
      </w:pPr>
      <w:r>
        <w:rPr>
          <w:b/>
          <w:bCs/>
        </w:rPr>
        <w:t xml:space="preserve">ACOG.</w:t>
      </w:r>
      <w:r>
        <w:t xml:space="preserve"> </w:t>
      </w:r>
      <w:r>
        <w:t xml:space="preserve">ACOG is the largest and most heterogeneous society, encompassing community general obstetrician-gynecologists, academic specialists, and residents presenting case reports. General OB/GYN practitioners are harder to NPI-match than subspecialists because (a) they outnumber subspecialists in the ABOG pool by approximately 3:1, increasing name collision probability, and (b) they are less likely to have institutional affiliation strings that disambiguate between similarly-named physicians in the same specialty. The MIGS subspecialty bonus used in the AAGL NPI scoring model should be disabled for ACOG and replaced with a generalist-aware prior.</w:t>
      </w:r>
    </w:p>
    <w:p>
      <w:pPr>
        <w:pStyle w:val="BodyText"/>
      </w:pPr>
      <w:r>
        <w:rPr>
          <w:b/>
          <w:bCs/>
        </w:rPr>
        <w:t xml:space="preserve">NASPAG.</w:t>
      </w:r>
      <w:r>
        <w:t xml:space="preserve"> </w:t>
      </w:r>
      <w:r>
        <w:t xml:space="preserve">The pediatric and adolescent gynecology community is small (~1,200 members). Many authors present at multiple annual meetings over their careers, creating an unusual opportunity for longitudinal author-level analysis within a single society. With only ~35 abstracts/year, repeat-presenter rates are high enough that a dedicated author-deduplication step (merging the same individual’s presentations across years) would be scientifically valuable and technically feasible. This is not implemented in the current AAGL pipeline, where repeat presenters are treated independently.</w:t>
      </w:r>
    </w:p>
    <w:p>
      <w:pPr>
        <w:pStyle w:val="BodyText"/>
      </w:pPr>
      <w:r>
        <w:rPr>
          <w:b/>
          <w:bCs/>
        </w:rPr>
        <w:t xml:space="preserve">SFP.</w:t>
      </w:r>
      <w:r>
        <w:t xml:space="preserve"> </w:t>
      </w:r>
      <w:r>
        <w:t xml:space="preserve">The family planning community includes a notable proportion of non-OB/GYN investigators: epidemiologists, public health researchers, social scientists, and family medicine physicians who present on contraception access, abortion policy, and reproductive health disparities. These authors do not hold OB/GYN board certification and will not appear in the ABOG NPI pool. Additionally, SFP publications may appear in</w:t>
      </w:r>
      <w:r>
        <w:t xml:space="preserve"> </w:t>
      </w:r>
      <w:r>
        <w:rPr>
          <w:i/>
          <w:iCs/>
        </w:rPr>
        <w:t xml:space="preserve">Perspectives on Sexual and Reproductive Health</w:t>
      </w:r>
      <w:r>
        <w:t xml:space="preserve">,</w:t>
      </w:r>
      <w:r>
        <w:t xml:space="preserve"> </w:t>
      </w:r>
      <w:r>
        <w:rPr>
          <w:i/>
          <w:iCs/>
        </w:rPr>
        <w:t xml:space="preserve">Contraception</w:t>
      </w:r>
      <w:r>
        <w:t xml:space="preserve">,</w:t>
      </w:r>
      <w:r>
        <w:t xml:space="preserve"> </w:t>
      </w:r>
      <w:r>
        <w:rPr>
          <w:i/>
          <w:iCs/>
        </w:rPr>
        <w:t xml:space="preserve">American Journal of Public Health</w:t>
      </w:r>
      <w:r>
        <w:t xml:space="preserve">, and other non-OB/GYN journals not captured by the 12-journal relevance scoring list in the current pipeline. Expanding the journal relevance list is recommended before applying the pipeline to SFP.</w:t>
      </w:r>
    </w:p>
    <w:bookmarkEnd w:id="77"/>
    <w:bookmarkStart w:id="78" w:name="X9d2c14ea718c3f2dfd81b4e56bef96d177be14e"/>
    <w:p>
      <w:pPr>
        <w:pStyle w:val="Heading3"/>
      </w:pPr>
      <w:r>
        <w:t xml:space="preserve">A11.8 Recommended Implementation Sequence</w:t>
      </w:r>
    </w:p>
    <w:p>
      <w:pPr>
        <w:pStyle w:val="FirstParagraph"/>
      </w:pPr>
      <w:r>
        <w:t xml:space="preserve">The following phased schedule balances scientific priority, engineering complexity, and data volume to ensure each new society’s data can be validated against AAGL results before committing to the next expansion.</w:t>
      </w:r>
    </w:p>
    <w:p>
      <w:pPr>
        <w:pStyle w:val="BodyText"/>
      </w:pPr>
      <w:r>
        <w:rPr>
          <w:b/>
          <w:bCs/>
        </w:rPr>
        <w:t xml:space="preserve">Phase 1 (Months 1–3): SMFM.</w:t>
      </w:r>
      <w:r>
        <w:t xml:space="preserve"> </w:t>
      </w:r>
      <w:r>
        <w:t xml:space="preserve">SMFM is the highest-priority first expansion because it shares the ScienceDirect platform with AAGL (zero new platform engineering), provides the strongest scientific contrast (maternal-fetal medicine vs. minimally invasive gynecologic surgery), and contributes the largest additional abstract volume of any single-platform society (~500/year). Full first names and affiliations are available at ingestion. The AJOG supplement URL pattern is confirmed across 2013–2023. The primary implementation tasks are: update journal DOI prefix and URL pattern in</w:t>
      </w:r>
      <w:r>
        <w:t xml:space="preserve"> </w:t>
      </w:r>
      <w:r>
        <w:rPr>
          <w:rStyle w:val="VerbatimChar"/>
        </w:rPr>
        <w:t xml:space="preserve">01b_parse_web.R</w:t>
      </w:r>
      <w:r>
        <w:t xml:space="preserve">; adjust NPI subspecialty filter to MFM; update journal relevance list to include AJOG,</w:t>
      </w:r>
      <w:r>
        <w:t xml:space="preserve"> </w:t>
      </w:r>
      <w:r>
        <w:rPr>
          <w:i/>
          <w:iCs/>
        </w:rPr>
        <w:t xml:space="preserve">Prenatal Diagnosis</w:t>
      </w:r>
      <w:r>
        <w:t xml:space="preserve">, and</w:t>
      </w:r>
      <w:r>
        <w:t xml:space="preserve"> </w:t>
      </w:r>
      <w:r>
        <w:rPr>
          <w:i/>
          <w:iCs/>
        </w:rPr>
        <w:t xml:space="preserve">Ultrasound in Obstetrics &amp; Gynecology</w:t>
      </w:r>
      <w:r>
        <w:t xml:space="preserve">; validate against a 50-abstract manually verified gold standard.</w:t>
      </w:r>
    </w:p>
    <w:p>
      <w:pPr>
        <w:pStyle w:val="BodyText"/>
      </w:pPr>
      <w:r>
        <w:rPr>
          <w:b/>
          <w:bCs/>
        </w:rPr>
        <w:t xml:space="preserve">Phase 2 (Months 4–6): SGO.</w:t>
      </w:r>
      <w:r>
        <w:t xml:space="preserve"> </w:t>
      </w:r>
      <w:r>
        <w:t xml:space="preserve">SGO adds the gynecologic oncology perspective with ~570 abstracts/year on ScienceDirect. Implementation is identical to SMFM except for the 2013 data gap (no dedicated supplement in</w:t>
      </w:r>
      <w:r>
        <w:t xml:space="preserve"> </w:t>
      </w:r>
      <w:r>
        <w:rPr>
          <w:i/>
          <w:iCs/>
        </w:rPr>
        <w:t xml:space="preserve">Gynecologic Oncology</w:t>
      </w:r>
      <w:r>
        <w:t xml:space="preserve"> </w:t>
      </w:r>
      <w:r>
        <w:t xml:space="preserve">Vol 129) and the need to expand the journal relevance list to oncology-specific outlets (</w:t>
      </w:r>
      <w:r>
        <w:rPr>
          <w:i/>
          <w:iCs/>
        </w:rPr>
        <w:t xml:space="preserve">Cancer</w:t>
      </w:r>
      <w:r>
        <w:t xml:space="preserve">,</w:t>
      </w:r>
      <w:r>
        <w:t xml:space="preserve"> </w:t>
      </w:r>
      <w:r>
        <w:rPr>
          <w:i/>
          <w:iCs/>
        </w:rPr>
        <w:t xml:space="preserve">Journal of Clinical Oncology</w:t>
      </w:r>
      <w:r>
        <w:t xml:space="preserve">,</w:t>
      </w:r>
      <w:r>
        <w:t xml:space="preserve"> </w:t>
      </w:r>
      <w:r>
        <w:rPr>
          <w:i/>
          <w:iCs/>
        </w:rPr>
        <w:t xml:space="preserve">Gynecologic Oncology</w:t>
      </w:r>
      <w:r>
        <w:t xml:space="preserve">). The fellow-as-first-author challenge (described in A11.7) should be addressed by adding a career-stage temporal mismatch flag to the output CSV.</w:t>
      </w:r>
    </w:p>
    <w:p>
      <w:pPr>
        <w:pStyle w:val="BodyText"/>
      </w:pPr>
      <w:r>
        <w:rPr>
          <w:b/>
          <w:bCs/>
        </w:rPr>
        <w:t xml:space="preserve">Phase 3 (Months 7–9): NASPAG.</w:t>
      </w:r>
      <w:r>
        <w:t xml:space="preserve"> </w:t>
      </w:r>
      <w:r>
        <w:t xml:space="preserve">NASPAG completes the Elsevier/ScienceDirect implementation set at low volume (~35 abstracts/year). The small annual N means the full 2013–2023 dataset contains only ~385 abstracts — smaller than a single ASRM year — but the complete dataset can be processed in a single pipeline run. The longitudinal author-deduplication enhancement described in A11.7 should be implemented here, as NASPAG’s small, stable community makes it the ideal test case.</w:t>
      </w:r>
    </w:p>
    <w:p>
      <w:pPr>
        <w:pStyle w:val="BodyText"/>
      </w:pPr>
      <w:r>
        <w:rPr>
          <w:b/>
          <w:bCs/>
        </w:rPr>
        <w:t xml:space="preserve">Phase 4 (Months 10–12): ASRM.</w:t>
      </w:r>
      <w:r>
        <w:t xml:space="preserve"> </w:t>
      </w:r>
      <w:r>
        <w:t xml:space="preserve">ASRM’s institutional authentication requirement for supplement browsing is the primary implementation obstacle. The recommended approach is to enumerate abstract DOIs from the CrossRef API (which does not require authentication:</w:t>
      </w:r>
      <w:r>
        <w:t xml:space="preserve"> </w:t>
      </w:r>
      <w:r>
        <w:rPr>
          <w:rStyle w:val="VerbatimChar"/>
        </w:rPr>
        <w:t xml:space="preserve">https://api.crossref.org/works?filter=issn:0015-0282,type:journal-article&amp;query={year}</w:t>
      </w:r>
      <w:r>
        <w:t xml:space="preserve">) and resolve individual DOIs via</w:t>
      </w:r>
      <w:r>
        <w:t xml:space="preserve"> </w:t>
      </w:r>
      <w:r>
        <w:rPr>
          <w:rStyle w:val="VerbatimChar"/>
        </w:rPr>
        <w:t xml:space="preserve">https://doi.org/10.1016/j.fertnstert.{YYYY}.{MM}.{NNN}</w:t>
      </w:r>
      <w:r>
        <w:t xml:space="preserve">, which resolves publicly even when the browse index requires auth. A non-physician-author detection flag should be added to the output schema before ASRM processing. With ~1,200 abstracts/year across 11 years, ASRM is the most computationally intensive society and should be run on a multi-core machine with</w:t>
      </w:r>
      <w:r>
        <w:t xml:space="preserve"> </w:t>
      </w:r>
      <w:r>
        <w:rPr>
          <w:rStyle w:val="VerbatimChar"/>
        </w:rPr>
        <w:t xml:space="preserve">furrr::future_map()</w:t>
      </w:r>
      <w:r>
        <w:t xml:space="preserve"> </w:t>
      </w:r>
      <w:r>
        <w:t xml:space="preserve">parallelization.</w:t>
      </w:r>
    </w:p>
    <w:p>
      <w:pPr>
        <w:pStyle w:val="BodyText"/>
      </w:pPr>
      <w:r>
        <w:rPr>
          <w:b/>
          <w:bCs/>
        </w:rPr>
        <w:t xml:space="preserve">Phase 5 (Year 2): LWW Societies — ACOG, CREOG/APGO, AUGS.</w:t>
      </w:r>
      <w:r>
        <w:t xml:space="preserve"> </w:t>
      </w:r>
      <w:r>
        <w:t xml:space="preserve">These three societies share the LWW platform and can be processed once a single LWW scraper is built. The scraper should handle: JavaScript-rendered TOC pagination (use</w:t>
      </w:r>
      <w:r>
        <w:t xml:space="preserve"> </w:t>
      </w:r>
      <w:r>
        <w:rPr>
          <w:rStyle w:val="VerbatimChar"/>
        </w:rPr>
        <w:t xml:space="preserve">httr2</w:t>
      </w:r>
      <w:r>
        <w:t xml:space="preserve"> </w:t>
      </w:r>
      <w:r>
        <w:t xml:space="preserve">with the LWW API endpoint or</w:t>
      </w:r>
      <w:r>
        <w:t xml:space="preserve"> </w:t>
      </w:r>
      <w:r>
        <w:rPr>
          <w:rStyle w:val="VerbatimChar"/>
        </w:rPr>
        <w:t xml:space="preserve">RSelenium</w:t>
      </w:r>
      <w:r>
        <w:t xml:space="preserve"> </w:t>
      </w:r>
      <w:r>
        <w:t xml:space="preserve">as fallback), LWW-specific HTML affiliation extraction (plain-text rather than JSON-blob), and hash-based DOI format (</w:t>
      </w:r>
      <w:r>
        <w:rPr>
          <w:rStyle w:val="VerbatimChar"/>
        </w:rPr>
        <w:t xml:space="preserve">10.1097/01.AOG.XXXXXXXX</w:t>
      </w:r>
      <w:r>
        <w:t xml:space="preserve">). Building and validating the scraper against the AUGS 2023 supplement (the most recent and structurally representative) is recommended before applying it to ACOG and CREOG/APGO. The three societies can then be processed in parallel.</w:t>
      </w:r>
    </w:p>
    <w:p>
      <w:pPr>
        <w:pStyle w:val="BodyText"/>
      </w:pPr>
      <w:r>
        <w:rPr>
          <w:b/>
          <w:bCs/>
        </w:rPr>
        <w:t xml:space="preserve">Defer: SFP and SASGOG.</w:t>
      </w:r>
      <w:r>
        <w:t xml:space="preserve"> </w:t>
      </w:r>
      <w:r>
        <w:t xml:space="preserve">SFP’s collection-level DOI model requires parsing full-text collection articles — a fundamentally different ingestion approach that should be tackled only after the volume societies (SMFM, SGO, ASRM) are validated. SASGOG lacks a journal, lacks DOIs, and lacks PubMed indexing; implementing the pipeline for SASGOG provides no DOI-chain search benefit and requires custom web scraping of a society website with unknown historical URL structure. SASGOG is deferred indefinitely unless the society introduces journal publication.</w:t>
      </w:r>
    </w:p>
    <w:bookmarkEnd w:id="78"/>
    <w:bookmarkStart w:id="79" w:name="X8be282f36c0076a3ef610b0435952eb5fb33bb5"/>
    <w:p>
      <w:pPr>
        <w:pStyle w:val="Heading3"/>
      </w:pPr>
      <w:r>
        <w:t xml:space="preserve">A11.9 Scientific Questions Enabled by Multi-Society Data</w:t>
      </w:r>
    </w:p>
    <w:p>
      <w:pPr>
        <w:pStyle w:val="FirstParagraph"/>
      </w:pPr>
      <w:r>
        <w:t xml:space="preserve">A fully assembled 10-society OB/GYN abstract-to-publication dataset would enable the following research questions, listed with expected effect sizes where empirical estimates exist in the literature and with the covariate structure available in the combined dataset.</w:t>
      </w:r>
    </w:p>
    <w:p>
      <w:pPr>
        <w:pStyle w:val="BodyText"/>
      </w:pPr>
      <w:r>
        <w:rPr>
          <w:b/>
          <w:bCs/>
        </w:rPr>
        <w:t xml:space="preserve">Hypothesis 1: Cross-subspecialty publication rate heterogeneity.</w:t>
      </w:r>
      <w:r>
        <w:t xml:space="preserve"> </w:t>
      </w:r>
      <w:r>
        <w:t xml:space="preserve">Publication rates at surgical subspecialty meetings (AAGL, AUGS, SGO) differ from those at medical/consultative subspecialty meetings (SMFM, ASRM) after controlling for study design and year.</w:t>
      </w:r>
      <w:r>
        <w:t xml:space="preserve"> </w:t>
      </w:r>
      <w:r>
        <w:rPr>
          <w:i/>
          <w:iCs/>
        </w:rPr>
        <w:t xml:space="preserve">Expected effect size:</w:t>
      </w:r>
      <w:r>
        <w:t xml:space="preserve"> </w:t>
      </w:r>
      <w:r>
        <w:t xml:space="preserve">Based on single-society studies, surgical meeting rates range 15–30% (SGO: Salani et al. 2008, 29%; AAGL current: 11.4%) and medical meeting rates range 20–40% (SMFM: Dunbar et al. 2022). A 10–15 pp difference between surgical and medical meetings is plausible.</w:t>
      </w:r>
      <w:r>
        <w:t xml:space="preserve"> </w:t>
      </w:r>
      <w:r>
        <w:rPr>
          <w:i/>
          <w:iCs/>
        </w:rPr>
        <w:t xml:space="preserve">Available covariates:</w:t>
      </w:r>
      <w:r>
        <w:t xml:space="preserve"> </w:t>
      </w:r>
      <w:r>
        <w:t xml:space="preserve">society, subspecialty, year, RCT status, result positivity, first-author gender, career stage, US vs. international affiliation.</w:t>
      </w:r>
    </w:p>
    <w:p>
      <w:pPr>
        <w:pStyle w:val="BodyText"/>
      </w:pPr>
      <w:r>
        <w:rPr>
          <w:b/>
          <w:bCs/>
        </w:rPr>
        <w:t xml:space="preserve">Hypothesis 2: The AAGL initials-only effect.</w:t>
      </w:r>
      <w:r>
        <w:t xml:space="preserve"> </w:t>
      </w:r>
      <w:r>
        <w:t xml:space="preserve">Controlling for all other factors, AAGL abstracts will show lower confirmed publication rates than structurally similar Elsevier societies (SMFM, SGO, NASPAG) — not because MIGS researchers publish less, but because the pipeline’s name-based search is less effective with initials. This methodological artifact can be estimated directly by comparing AAGL match rates for abstracts with confirmed publications (where full names can be recovered from PubMed) vs. abstract-only records.</w:t>
      </w:r>
      <w:r>
        <w:t xml:space="preserve"> </w:t>
      </w:r>
      <w:r>
        <w:rPr>
          <w:i/>
          <w:iCs/>
        </w:rPr>
        <w:t xml:space="preserve">Expected magnitude:</w:t>
      </w:r>
      <w:r>
        <w:t xml:space="preserve"> </w:t>
      </w:r>
      <w:r>
        <w:t xml:space="preserve">2–5 pp rate undercount attributable to initials-only limitation.</w:t>
      </w:r>
    </w:p>
    <w:p>
      <w:pPr>
        <w:pStyle w:val="BodyText"/>
      </w:pPr>
      <w:r>
        <w:rPr>
          <w:b/>
          <w:bCs/>
        </w:rPr>
        <w:t xml:space="preserve">Hypothesis 3: Publication bias is consistent across subspecialties.</w:t>
      </w:r>
      <w:r>
        <w:t xml:space="preserve"> </w:t>
      </w:r>
      <w:r>
        <w:t xml:space="preserve">The positive result publication advantage observed in AAGL (HR for positive results in Cox model: direction and magnitude to be confirmed from the current analysis) is replicated across societies. If the hazard ratio for positive-result abstracts is consistent across subspecialties (I² &lt; 25% in random-effects meta-analysis across societies), this supports a domain-general publication bias mechanism rather than subspecialty-specific editorial norms.</w:t>
      </w:r>
      <w:r>
        <w:t xml:space="preserve"> </w:t>
      </w:r>
      <w:r>
        <w:rPr>
          <w:i/>
          <w:iCs/>
        </w:rPr>
        <w:t xml:space="preserve">Covariate:</w:t>
      </w:r>
      <w:r>
        <w:t xml:space="preserve"> </w:t>
      </w:r>
      <w:r>
        <w:rPr>
          <w:rStyle w:val="VerbatimChar"/>
        </w:rPr>
        <w:t xml:space="preserve">result_positivity</w:t>
      </w:r>
      <w:r>
        <w:t xml:space="preserve"> </w:t>
      </w:r>
      <w:r>
        <w:t xml:space="preserve">(already extracted by NLP in the current pipeline).</w:t>
      </w:r>
    </w:p>
    <w:p>
      <w:pPr>
        <w:pStyle w:val="BodyText"/>
      </w:pPr>
      <w:r>
        <w:rPr>
          <w:b/>
          <w:bCs/>
        </w:rPr>
        <w:t xml:space="preserve">Hypothesis 4: Gender parity trends differ by subspecialty.</w:t>
      </w:r>
      <w:r>
        <w:t xml:space="preserve"> </w:t>
      </w:r>
      <w:r>
        <w:t xml:space="preserve">SMFM and NASPAG — the two OB/GYN subspecialties with the highest proportion of women practitioners — will show earlier gender parity in first authorship than AAGL (historically male-dominated MIGS) or SGO (historically male-dominated surgical oncology).</w:t>
      </w:r>
      <w:r>
        <w:t xml:space="preserve"> </w:t>
      </w:r>
      <w:r>
        <w:rPr>
          <w:i/>
          <w:iCs/>
        </w:rPr>
        <w:t xml:space="preserve">Available covariates:</w:t>
      </w:r>
      <w:r>
        <w:t xml:space="preserve"> </w:t>
      </w:r>
      <w:r>
        <w:rPr>
          <w:rStyle w:val="VerbatimChar"/>
        </w:rPr>
        <w:t xml:space="preserve">gender_unified</w:t>
      </w:r>
      <w:r>
        <w:t xml:space="preserve"> </w:t>
      </w:r>
      <w:r>
        <w:t xml:space="preserve">(genderize.io),</w:t>
      </w:r>
      <w:r>
        <w:t xml:space="preserve"> </w:t>
      </w:r>
      <w:r>
        <w:rPr>
          <w:rStyle w:val="VerbatimChar"/>
        </w:rPr>
        <w:t xml:space="preserve">congress_year</w:t>
      </w:r>
      <w:r>
        <w:t xml:space="preserve">, society.</w:t>
      </w:r>
      <w:r>
        <w:t xml:space="preserve"> </w:t>
      </w:r>
      <w:r>
        <w:rPr>
          <w:i/>
          <w:iCs/>
        </w:rPr>
        <w:t xml:space="preserve">Expected pattern based on prior literature:</w:t>
      </w:r>
      <w:r>
        <w:t xml:space="preserve"> </w:t>
      </w:r>
      <w:r>
        <w:t xml:space="preserve">2–4% annual increase in female first-authorship in surgical subspecialties (Rao et al. 2021); parity already achieved in SMFM by 2015 (Bhatt et al. 2019 reported 55% female at SMFM meetings).</w:t>
      </w:r>
    </w:p>
    <w:p>
      <w:pPr>
        <w:pStyle w:val="BodyText"/>
      </w:pPr>
      <w:r>
        <w:rPr>
          <w:b/>
          <w:bCs/>
        </w:rPr>
        <w:t xml:space="preserve">Hypothesis 5: RCT design advantage is attenuated in educational research.</w:t>
      </w:r>
      <w:r>
        <w:t xml:space="preserve"> </w:t>
      </w:r>
      <w:r>
        <w:t xml:space="preserve">The AAGL Cox model shows a hazard ratio of 2.36 for RCT vs. non-RCT abstracts — a strong design advantage for the gold-standard study type. In CREOG/APGO data, where the majority of presentations are simulation studies and curriculum evaluations, the RCT is less culturally normative. The RCT hazard ratio in CREOG/APGO data is expected to be smaller (projected HR 1.4–1.8) or non-significant, reflecting the different publication norms of medical education research.</w:t>
      </w:r>
    </w:p>
    <w:p>
      <w:pPr>
        <w:pStyle w:val="BodyText"/>
      </w:pPr>
      <w:r>
        <w:rPr>
          <w:b/>
          <w:bCs/>
        </w:rPr>
        <w:t xml:space="preserve">Combined dataset covariate matrix.</w:t>
      </w:r>
      <w:r>
        <w:t xml:space="preserve"> </w:t>
      </w:r>
      <w:r>
        <w:t xml:space="preserve">A fully assembled multi-society dataset would contain the following covariates for each abstract:</w:t>
      </w:r>
      <w:r>
        <w:t xml:space="preserve"> </w:t>
      </w:r>
      <w:r>
        <w:rPr>
          <w:rStyle w:val="VerbatimChar"/>
        </w:rPr>
        <w:t xml:space="preserve">society</w:t>
      </w:r>
      <w:r>
        <w:t xml:space="preserve"> </w:t>
      </w:r>
      <w:r>
        <w:t xml:space="preserve">(10-level factor),</w:t>
      </w:r>
      <w:r>
        <w:t xml:space="preserve"> </w:t>
      </w:r>
      <w:r>
        <w:rPr>
          <w:rStyle w:val="VerbatimChar"/>
        </w:rPr>
        <w:t xml:space="preserve">platform</w:t>
      </w:r>
      <w:r>
        <w:t xml:space="preserve"> </w:t>
      </w:r>
      <w:r>
        <w:t xml:space="preserve">(ScienceDirect/LWW/web),</w:t>
      </w:r>
      <w:r>
        <w:t xml:space="preserve"> </w:t>
      </w:r>
      <w:r>
        <w:rPr>
          <w:rStyle w:val="VerbatimChar"/>
        </w:rPr>
        <w:t xml:space="preserve">doi_type</w:t>
      </w:r>
      <w:r>
        <w:t xml:space="preserve"> </w:t>
      </w:r>
      <w:r>
        <w:t xml:space="preserve">(individual/collection/none),</w:t>
      </w:r>
      <w:r>
        <w:t xml:space="preserve"> </w:t>
      </w:r>
      <w:r>
        <w:rPr>
          <w:rStyle w:val="VerbatimChar"/>
        </w:rPr>
        <w:t xml:space="preserve">congress_year</w:t>
      </w:r>
      <w:r>
        <w:t xml:space="preserve"> </w:t>
      </w:r>
      <w:r>
        <w:t xml:space="preserve">(2012–2023),</w:t>
      </w:r>
      <w:r>
        <w:t xml:space="preserve"> </w:t>
      </w:r>
      <w:r>
        <w:rPr>
          <w:rStyle w:val="VerbatimChar"/>
        </w:rPr>
        <w:t xml:space="preserve">n_abstracts_that_year</w:t>
      </w:r>
      <w:r>
        <w:t xml:space="preserve"> </w:t>
      </w:r>
      <w:r>
        <w:t xml:space="preserve">(society-year abstract volume),</w:t>
      </w:r>
      <w:r>
        <w:t xml:space="preserve"> </w:t>
      </w:r>
      <w:r>
        <w:rPr>
          <w:rStyle w:val="VerbatimChar"/>
        </w:rPr>
        <w:t xml:space="preserve">first_author_full_name_available</w:t>
      </w:r>
      <w:r>
        <w:t xml:space="preserve"> </w:t>
      </w:r>
      <w:r>
        <w:t xml:space="preserve">(logical),</w:t>
      </w:r>
      <w:r>
        <w:t xml:space="preserve"> </w:t>
      </w:r>
      <w:r>
        <w:rPr>
          <w:rStyle w:val="VerbatimChar"/>
        </w:rPr>
        <w:t xml:space="preserve">result_positivity</w:t>
      </w:r>
      <w:r>
        <w:t xml:space="preserve">,</w:t>
      </w:r>
      <w:r>
        <w:t xml:space="preserve"> </w:t>
      </w:r>
      <w:r>
        <w:rPr>
          <w:rStyle w:val="VerbatimChar"/>
        </w:rPr>
        <w:t xml:space="preserve">is_rct</w:t>
      </w:r>
      <w:r>
        <w:t xml:space="preserve">,</w:t>
      </w:r>
      <w:r>
        <w:t xml:space="preserve"> </w:t>
      </w:r>
      <w:r>
        <w:rPr>
          <w:rStyle w:val="VerbatimChar"/>
        </w:rPr>
        <w:t xml:space="preserve">study_design</w:t>
      </w:r>
      <w:r>
        <w:t xml:space="preserve">,</w:t>
      </w:r>
      <w:r>
        <w:t xml:space="preserve"> </w:t>
      </w:r>
      <w:r>
        <w:rPr>
          <w:rStyle w:val="VerbatimChar"/>
        </w:rPr>
        <w:t xml:space="preserve">research_category</w:t>
      </w:r>
      <w:r>
        <w:t xml:space="preserve">,</w:t>
      </w:r>
      <w:r>
        <w:t xml:space="preserve"> </w:t>
      </w:r>
      <w:r>
        <w:rPr>
          <w:rStyle w:val="VerbatimChar"/>
        </w:rPr>
        <w:t xml:space="preserve">gender_unified</w:t>
      </w:r>
      <w:r>
        <w:t xml:space="preserve">,</w:t>
      </w:r>
      <w:r>
        <w:t xml:space="preserve"> </w:t>
      </w:r>
      <w:r>
        <w:rPr>
          <w:rStyle w:val="VerbatimChar"/>
        </w:rPr>
        <w:t xml:space="preserve">first_author_country</w:t>
      </w:r>
      <w:r>
        <w:t xml:space="preserve">,</w:t>
      </w:r>
      <w:r>
        <w:t xml:space="preserve"> </w:t>
      </w:r>
      <w:r>
        <w:rPr>
          <w:rStyle w:val="VerbatimChar"/>
        </w:rPr>
        <w:t xml:space="preserve">first_author_career_stage</w:t>
      </w:r>
      <w:r>
        <w:t xml:space="preserve">,</w:t>
      </w:r>
      <w:r>
        <w:t xml:space="preserve"> </w:t>
      </w:r>
      <w:r>
        <w:rPr>
          <w:rStyle w:val="VerbatimChar"/>
        </w:rPr>
        <w:t xml:space="preserve">practice_type</w:t>
      </w:r>
      <w:r>
        <w:t xml:space="preserve">,</w:t>
      </w:r>
      <w:r>
        <w:t xml:space="preserve"> </w:t>
      </w:r>
      <w:r>
        <w:rPr>
          <w:rStyle w:val="VerbatimChar"/>
        </w:rPr>
        <w:t xml:space="preserve">subspecialty_npi</w:t>
      </w:r>
      <w:r>
        <w:t xml:space="preserve">,</w:t>
      </w:r>
      <w:r>
        <w:t xml:space="preserve"> </w:t>
      </w:r>
      <w:r>
        <w:rPr>
          <w:rStyle w:val="VerbatimChar"/>
        </w:rPr>
        <w:t xml:space="preserve">has_industry_funding</w:t>
      </w:r>
      <w:r>
        <w:t xml:space="preserve">,</w:t>
      </w:r>
      <w:r>
        <w:t xml:space="preserve"> </w:t>
      </w:r>
      <w:r>
        <w:rPr>
          <w:rStyle w:val="VerbatimChar"/>
        </w:rPr>
        <w:t xml:space="preserve">has_trial_registration</w:t>
      </w:r>
      <w:r>
        <w:t xml:space="preserve">, and all matching-quality flags (</w:t>
      </w:r>
      <w:r>
        <w:rPr>
          <w:rStyle w:val="VerbatimChar"/>
        </w:rPr>
        <w:t xml:space="preserve">classification</w:t>
      </w:r>
      <w:r>
        <w:t xml:space="preserve">,</w:t>
      </w:r>
      <w:r>
        <w:t xml:space="preserve"> </w:t>
      </w:r>
      <w:r>
        <w:rPr>
          <w:rStyle w:val="VerbatimChar"/>
        </w:rPr>
        <w:t xml:space="preserve">best_score</w:t>
      </w:r>
      <w:r>
        <w:t xml:space="preserve">,</w:t>
      </w:r>
      <w:r>
        <w:t xml:space="preserve"> </w:t>
      </w:r>
      <w:r>
        <w:rPr>
          <w:rStyle w:val="VerbatimChar"/>
        </w:rPr>
        <w:t xml:space="preserve">n_candidates</w:t>
      </w:r>
      <w:r>
        <w:t xml:space="preserve">,</w:t>
      </w:r>
      <w:r>
        <w:t xml:space="preserve"> </w:t>
      </w:r>
      <w:r>
        <w:rPr>
          <w:rStyle w:val="VerbatimChar"/>
        </w:rPr>
        <w:t xml:space="preserve">has_tie</w:t>
      </w:r>
      <w:r>
        <w:t xml:space="preserve">). This covariate richness supports multi-level modeling with society as the clustering unit and abstract-year as the within-cluster observation.</w:t>
      </w:r>
    </w:p>
    <w:bookmarkEnd w:id="79"/>
    <w:bookmarkStart w:id="92" w:name="X5adcebed53402b0a470dee944c93ca36bc7dae6"/>
    <w:p>
      <w:pPr>
        <w:pStyle w:val="Heading3"/>
      </w:pPr>
      <w:r>
        <w:t xml:space="preserve">A11.10 SMFM Abstract Supplement URLs (2013–2023)</w:t>
      </w:r>
    </w:p>
    <w:p>
      <w:pPr>
        <w:pStyle w:val="FirstParagraph"/>
      </w:pPr>
      <w:r>
        <w:t xml:space="preserve">SMFM (Society for Maternal-Fetal Medicine) annual meeting abstracts are published as supplement issues of the</w:t>
      </w:r>
      <w:r>
        <w:t xml:space="preserve"> </w:t>
      </w:r>
      <w:r>
        <w:rPr>
          <w:i/>
          <w:iCs/>
        </w:rPr>
        <w:t xml:space="preserve">American Journal of Obstetrics and Gynecology</w:t>
      </w:r>
      <w:r>
        <w:t xml:space="preserve"> </w:t>
      </w:r>
      <w:r>
        <w:t xml:space="preserve">(AJOG) on ScienceDirect (Elsevier). Unlike AUGS abstracts,</w:t>
      </w:r>
      <w:r>
        <w:t xml:space="preserve"> </w:t>
      </w:r>
      <w:r>
        <w:rPr>
          <w:b/>
          <w:bCs/>
        </w:rPr>
        <w:t xml:space="preserve">each individual SMFM abstract receives a unique DOI</w:t>
      </w:r>
      <w:r>
        <w:t xml:space="preserve"> </w:t>
      </w:r>
      <w:r>
        <w:t xml:space="preserve">following the pattern</w:t>
      </w:r>
      <w:r>
        <w:t xml:space="preserve"> </w:t>
      </w:r>
      <w:r>
        <w:rPr>
          <w:rStyle w:val="VerbatimChar"/>
        </w:rPr>
        <w:t xml:space="preserve">10.1016/j.ajog.YYYY.MM.NNN</w:t>
      </w:r>
      <w:r>
        <w:t xml:space="preserve">, where NNN increments sequentially within the supplement. This was confirmed by inspecting the 2023 supplement, where abstracts are numbered sequentially (…004, …005, …006, etc.).</w:t>
      </w:r>
    </w:p>
    <w:p>
      <w:pPr>
        <w:pStyle w:val="BodyText"/>
      </w:pPr>
      <w:r>
        <w:t xml:space="preserve">This is the same DOI structure as AAGL/JMIG abstracts, meaning the full pipeline — including DOI-chain search via OpenAlex, CrossRef metadata retrieval, and ScienceDirect HTML affiliation backfill — can be applied without modification.</w:t>
      </w:r>
    </w:p>
    <w:p>
      <w:pPr>
        <w:pStyle w:val="BodyText"/>
      </w:pPr>
      <w:r>
        <w:rPr>
          <w:b/>
          <w:bCs/>
        </w:rPr>
        <w:t xml:space="preserve">Note:</w:t>
      </w:r>
      <w:r>
        <w:t xml:space="preserve"> </w:t>
      </w:r>
      <w:r>
        <w:t xml:space="preserve">The 2021 supplement appears in Issue 2 rather than Issue 1, likely due to meeting rescheduling from the COVID-19 virtual format. All other years use Issue 1.</w:t>
      </w:r>
    </w:p>
    <w:tbl>
      <w:tblPr>
        <w:tblStyle w:val="Table"/>
        <w:tblW w:type="pct" w:w="5000"/>
        <w:tblLayout w:type="fixed"/>
        <w:tblLook w:firstRow="1" w:lastRow="0" w:firstColumn="0" w:lastColumn="0" w:noHBand="0" w:noVBand="0" w:val="0020"/>
      </w:tblPr>
      <w:tblGrid>
        <w:gridCol w:w="742"/>
        <w:gridCol w:w="1113"/>
        <w:gridCol w:w="1237"/>
        <w:gridCol w:w="866"/>
        <w:gridCol w:w="2351"/>
        <w:gridCol w:w="1608"/>
      </w:tblGrid>
      <w:tr>
        <w:trPr>
          <w:tblHeader w:val="on"/>
        </w:trPr>
        <w:tc>
          <w:tcPr/>
          <w:p>
            <w:pPr>
              <w:pStyle w:val="Compact"/>
            </w:pPr>
            <w:r>
              <w:t xml:space="preserve">Year</w:t>
            </w:r>
          </w:p>
        </w:tc>
        <w:tc>
          <w:tcPr/>
          <w:p>
            <w:pPr>
              <w:pStyle w:val="Compact"/>
            </w:pPr>
            <w:r>
              <w:t xml:space="preserve">Meeting</w:t>
            </w:r>
          </w:p>
        </w:tc>
        <w:tc>
          <w:tcPr/>
          <w:p>
            <w:pPr>
              <w:pStyle w:val="Compact"/>
            </w:pPr>
            <w:r>
              <w:t xml:space="preserve">AJOG Vol</w:t>
            </w:r>
          </w:p>
        </w:tc>
        <w:tc>
          <w:tcPr/>
          <w:p>
            <w:pPr>
              <w:pStyle w:val="Compact"/>
            </w:pPr>
            <w:r>
              <w:t xml:space="preserve">Issue</w:t>
            </w:r>
          </w:p>
        </w:tc>
        <w:tc>
          <w:tcPr/>
          <w:p>
            <w:pPr>
              <w:pStyle w:val="Compact"/>
            </w:pPr>
            <w:r>
              <w:t xml:space="preserve">ScienceDirect URL</w:t>
            </w:r>
          </w:p>
        </w:tc>
        <w:tc>
          <w:tcPr/>
          <w:p>
            <w:pPr>
              <w:pStyle w:val="Compact"/>
            </w:pPr>
            <w:r>
              <w:t xml:space="preserve">DOI Pattern</w:t>
            </w:r>
          </w:p>
        </w:tc>
      </w:tr>
      <w:tr>
        <w:tc>
          <w:tcPr/>
          <w:p>
            <w:pPr>
              <w:pStyle w:val="Compact"/>
            </w:pPr>
            <w:r>
              <w:t xml:space="preserve">2023</w:t>
            </w:r>
          </w:p>
        </w:tc>
        <w:tc>
          <w:tcPr/>
          <w:p>
            <w:pPr>
              <w:pStyle w:val="Compact"/>
            </w:pPr>
            <w:r>
              <w:t xml:space="preserve">43rd</w:t>
            </w:r>
          </w:p>
        </w:tc>
        <w:tc>
          <w:tcPr/>
          <w:p>
            <w:pPr>
              <w:pStyle w:val="Compact"/>
            </w:pPr>
            <w:r>
              <w:t xml:space="preserve">228</w:t>
            </w:r>
          </w:p>
        </w:tc>
        <w:tc>
          <w:tcPr/>
          <w:p>
            <w:pPr>
              <w:pStyle w:val="Compact"/>
            </w:pPr>
            <w:r>
              <w:t xml:space="preserve">1, Suppl S</w:t>
            </w:r>
          </w:p>
        </w:tc>
        <w:tc>
          <w:tcPr/>
          <w:p>
            <w:pPr>
              <w:pStyle w:val="Compact"/>
            </w:pPr>
            <w:hyperlink r:id="rId80">
              <w:r>
                <w:rPr>
                  <w:rStyle w:val="Hyperlink"/>
                </w:rPr>
                <w:t xml:space="preserve">https://www.sciencedirect.com/journal/american-journal-of-obstetrics-and-gynecology/vol/228/issue/1/suppl/S</w:t>
              </w:r>
            </w:hyperlink>
          </w:p>
        </w:tc>
        <w:tc>
          <w:tcPr/>
          <w:p>
            <w:pPr>
              <w:pStyle w:val="Compact"/>
            </w:pPr>
            <w:r>
              <w:t xml:space="preserve">10.1016/j.ajog.2022.11.xxx</w:t>
            </w:r>
          </w:p>
        </w:tc>
      </w:tr>
      <w:tr>
        <w:tc>
          <w:tcPr/>
          <w:p>
            <w:pPr>
              <w:pStyle w:val="Compact"/>
            </w:pPr>
            <w:r>
              <w:t xml:space="preserve">2022</w:t>
            </w:r>
          </w:p>
        </w:tc>
        <w:tc>
          <w:tcPr/>
          <w:p>
            <w:pPr>
              <w:pStyle w:val="Compact"/>
            </w:pPr>
            <w:r>
              <w:t xml:space="preserve">42nd</w:t>
            </w:r>
          </w:p>
        </w:tc>
        <w:tc>
          <w:tcPr/>
          <w:p>
            <w:pPr>
              <w:pStyle w:val="Compact"/>
            </w:pPr>
            <w:r>
              <w:t xml:space="preserve">226</w:t>
            </w:r>
          </w:p>
        </w:tc>
        <w:tc>
          <w:tcPr/>
          <w:p>
            <w:pPr>
              <w:pStyle w:val="Compact"/>
            </w:pPr>
            <w:r>
              <w:t xml:space="preserve">1, Suppl S</w:t>
            </w:r>
          </w:p>
        </w:tc>
        <w:tc>
          <w:tcPr/>
          <w:p>
            <w:pPr>
              <w:pStyle w:val="Compact"/>
            </w:pPr>
            <w:hyperlink r:id="rId81">
              <w:r>
                <w:rPr>
                  <w:rStyle w:val="Hyperlink"/>
                </w:rPr>
                <w:t xml:space="preserve">https://www.sciencedirect.com/journal/american-journal-of-obstetrics-and-gynecology/vol/226/issue/1/suppl/S</w:t>
              </w:r>
            </w:hyperlink>
          </w:p>
        </w:tc>
        <w:tc>
          <w:tcPr/>
          <w:p>
            <w:pPr>
              <w:pStyle w:val="Compact"/>
            </w:pPr>
            <w:r>
              <w:t xml:space="preserve">10.1016/j.ajog.2021.11.xxx</w:t>
            </w:r>
          </w:p>
        </w:tc>
      </w:tr>
      <w:tr>
        <w:tc>
          <w:tcPr/>
          <w:p>
            <w:pPr>
              <w:pStyle w:val="Compact"/>
            </w:pPr>
            <w:r>
              <w:t xml:space="preserve">2021</w:t>
            </w:r>
          </w:p>
        </w:tc>
        <w:tc>
          <w:tcPr/>
          <w:p>
            <w:pPr>
              <w:pStyle w:val="Compact"/>
            </w:pPr>
            <w:r>
              <w:t xml:space="preserve">41st</w:t>
            </w:r>
          </w:p>
        </w:tc>
        <w:tc>
          <w:tcPr/>
          <w:p>
            <w:pPr>
              <w:pStyle w:val="Compact"/>
            </w:pPr>
            <w:r>
              <w:t xml:space="preserve">224</w:t>
            </w:r>
          </w:p>
        </w:tc>
        <w:tc>
          <w:tcPr/>
          <w:p>
            <w:pPr>
              <w:pStyle w:val="Compact"/>
            </w:pPr>
            <w:r>
              <w:rPr>
                <w:b/>
                <w:bCs/>
              </w:rPr>
              <w:t xml:space="preserve">2</w:t>
            </w:r>
            <w:r>
              <w:t xml:space="preserve">, Suppl S</w:t>
            </w:r>
          </w:p>
        </w:tc>
        <w:tc>
          <w:tcPr/>
          <w:p>
            <w:pPr>
              <w:pStyle w:val="Compact"/>
            </w:pPr>
            <w:hyperlink r:id="rId82">
              <w:r>
                <w:rPr>
                  <w:rStyle w:val="Hyperlink"/>
                </w:rPr>
                <w:t xml:space="preserve">https://www.sciencedirect.com/journal/american-journal-of-obstetrics-and-gynecology/vol/224/issue/2/suppl/S</w:t>
              </w:r>
            </w:hyperlink>
          </w:p>
        </w:tc>
        <w:tc>
          <w:tcPr/>
          <w:p>
            <w:pPr>
              <w:pStyle w:val="Compact"/>
            </w:pPr>
            <w:r>
              <w:t xml:space="preserve">10.1016/j.ajog.2020.12.xxx</w:t>
            </w:r>
          </w:p>
        </w:tc>
      </w:tr>
      <w:tr>
        <w:tc>
          <w:tcPr/>
          <w:p>
            <w:pPr>
              <w:pStyle w:val="Compact"/>
            </w:pPr>
            <w:r>
              <w:t xml:space="preserve">2020</w:t>
            </w:r>
          </w:p>
        </w:tc>
        <w:tc>
          <w:tcPr/>
          <w:p>
            <w:pPr>
              <w:pStyle w:val="Compact"/>
            </w:pPr>
            <w:r>
              <w:t xml:space="preserve">40th</w:t>
            </w:r>
          </w:p>
        </w:tc>
        <w:tc>
          <w:tcPr/>
          <w:p>
            <w:pPr>
              <w:pStyle w:val="Compact"/>
            </w:pPr>
            <w:r>
              <w:t xml:space="preserve">222</w:t>
            </w:r>
          </w:p>
        </w:tc>
        <w:tc>
          <w:tcPr/>
          <w:p>
            <w:pPr>
              <w:pStyle w:val="Compact"/>
            </w:pPr>
            <w:r>
              <w:t xml:space="preserve">1, Suppl S</w:t>
            </w:r>
          </w:p>
        </w:tc>
        <w:tc>
          <w:tcPr/>
          <w:p>
            <w:pPr>
              <w:pStyle w:val="Compact"/>
            </w:pPr>
            <w:hyperlink r:id="rId83">
              <w:r>
                <w:rPr>
                  <w:rStyle w:val="Hyperlink"/>
                </w:rPr>
                <w:t xml:space="preserve">https://www.sciencedirect.com/journal/american-journal-of-obstetrics-and-gynecology/vol/222/issue/1/suppl/S</w:t>
              </w:r>
            </w:hyperlink>
          </w:p>
        </w:tc>
        <w:tc>
          <w:tcPr/>
          <w:p>
            <w:pPr>
              <w:pStyle w:val="Compact"/>
            </w:pPr>
            <w:r>
              <w:t xml:space="preserve">10.1016/j.ajog.2019.11.xxx</w:t>
            </w:r>
          </w:p>
        </w:tc>
      </w:tr>
      <w:tr>
        <w:tc>
          <w:tcPr/>
          <w:p>
            <w:pPr>
              <w:pStyle w:val="Compact"/>
            </w:pPr>
            <w:r>
              <w:t xml:space="preserve">2019</w:t>
            </w:r>
          </w:p>
        </w:tc>
        <w:tc>
          <w:tcPr/>
          <w:p>
            <w:pPr>
              <w:pStyle w:val="Compact"/>
            </w:pPr>
            <w:r>
              <w:t xml:space="preserve">39th</w:t>
            </w:r>
          </w:p>
        </w:tc>
        <w:tc>
          <w:tcPr/>
          <w:p>
            <w:pPr>
              <w:pStyle w:val="Compact"/>
            </w:pPr>
            <w:r>
              <w:t xml:space="preserve">220</w:t>
            </w:r>
          </w:p>
        </w:tc>
        <w:tc>
          <w:tcPr/>
          <w:p>
            <w:pPr>
              <w:pStyle w:val="Compact"/>
            </w:pPr>
            <w:r>
              <w:t xml:space="preserve">1, Suppl S</w:t>
            </w:r>
          </w:p>
        </w:tc>
        <w:tc>
          <w:tcPr/>
          <w:p>
            <w:pPr>
              <w:pStyle w:val="Compact"/>
            </w:pPr>
            <w:hyperlink r:id="rId84">
              <w:r>
                <w:rPr>
                  <w:rStyle w:val="Hyperlink"/>
                </w:rPr>
                <w:t xml:space="preserve">https://www.sciencedirect.com/journal/american-journal-of-obstetrics-and-gynecology/vol/220/issue/1/suppl/S</w:t>
              </w:r>
            </w:hyperlink>
          </w:p>
        </w:tc>
        <w:tc>
          <w:tcPr/>
          <w:p>
            <w:pPr>
              <w:pStyle w:val="Compact"/>
            </w:pPr>
            <w:r>
              <w:t xml:space="preserve">10.1016/j.ajog.2018.11.xxx</w:t>
            </w:r>
          </w:p>
        </w:tc>
      </w:tr>
      <w:tr>
        <w:tc>
          <w:tcPr/>
          <w:p>
            <w:pPr>
              <w:pStyle w:val="Compact"/>
            </w:pPr>
            <w:r>
              <w:t xml:space="preserve">2018</w:t>
            </w:r>
          </w:p>
        </w:tc>
        <w:tc>
          <w:tcPr/>
          <w:p>
            <w:pPr>
              <w:pStyle w:val="Compact"/>
            </w:pPr>
            <w:r>
              <w:t xml:space="preserve">38th</w:t>
            </w:r>
          </w:p>
        </w:tc>
        <w:tc>
          <w:tcPr/>
          <w:p>
            <w:pPr>
              <w:pStyle w:val="Compact"/>
            </w:pPr>
            <w:r>
              <w:t xml:space="preserve">218</w:t>
            </w:r>
          </w:p>
        </w:tc>
        <w:tc>
          <w:tcPr/>
          <w:p>
            <w:pPr>
              <w:pStyle w:val="Compact"/>
            </w:pPr>
            <w:r>
              <w:t xml:space="preserve">1, Suppl S</w:t>
            </w:r>
          </w:p>
        </w:tc>
        <w:tc>
          <w:tcPr/>
          <w:p>
            <w:pPr>
              <w:pStyle w:val="Compact"/>
            </w:pPr>
            <w:hyperlink r:id="rId85">
              <w:r>
                <w:rPr>
                  <w:rStyle w:val="Hyperlink"/>
                </w:rPr>
                <w:t xml:space="preserve">https://www.sciencedirect.com/journal/american-journal-of-obstetrics-and-gynecology/vol/218/issue/1/suppl/S</w:t>
              </w:r>
            </w:hyperlink>
          </w:p>
        </w:tc>
        <w:tc>
          <w:tcPr/>
          <w:p>
            <w:pPr>
              <w:pStyle w:val="Compact"/>
            </w:pPr>
            <w:r>
              <w:t xml:space="preserve">10.1016/j.ajog.2017.11.xxx</w:t>
            </w:r>
          </w:p>
        </w:tc>
      </w:tr>
      <w:tr>
        <w:tc>
          <w:tcPr/>
          <w:p>
            <w:pPr>
              <w:pStyle w:val="Compact"/>
            </w:pPr>
            <w:r>
              <w:t xml:space="preserve">2017</w:t>
            </w:r>
          </w:p>
        </w:tc>
        <w:tc>
          <w:tcPr/>
          <w:p>
            <w:pPr>
              <w:pStyle w:val="Compact"/>
            </w:pPr>
            <w:r>
              <w:t xml:space="preserve">37th</w:t>
            </w:r>
          </w:p>
        </w:tc>
        <w:tc>
          <w:tcPr/>
          <w:p>
            <w:pPr>
              <w:pStyle w:val="Compact"/>
            </w:pPr>
            <w:r>
              <w:t xml:space="preserve">216</w:t>
            </w:r>
          </w:p>
        </w:tc>
        <w:tc>
          <w:tcPr/>
          <w:p>
            <w:pPr>
              <w:pStyle w:val="Compact"/>
            </w:pPr>
            <w:r>
              <w:t xml:space="preserve">1, Suppl S</w:t>
            </w:r>
          </w:p>
        </w:tc>
        <w:tc>
          <w:tcPr/>
          <w:p>
            <w:pPr>
              <w:pStyle w:val="Compact"/>
            </w:pPr>
            <w:hyperlink r:id="rId86">
              <w:r>
                <w:rPr>
                  <w:rStyle w:val="Hyperlink"/>
                </w:rPr>
                <w:t xml:space="preserve">https://www.sciencedirect.com/journal/american-journal-of-obstetrics-and-gynecology/vol/216/issue/1/suppl/S</w:t>
              </w:r>
            </w:hyperlink>
          </w:p>
        </w:tc>
        <w:tc>
          <w:tcPr/>
          <w:p>
            <w:pPr>
              <w:pStyle w:val="Compact"/>
            </w:pPr>
            <w:r>
              <w:t xml:space="preserve">10.1016/j.ajog.2016.11.xxx</w:t>
            </w:r>
          </w:p>
        </w:tc>
      </w:tr>
      <w:tr>
        <w:tc>
          <w:tcPr/>
          <w:p>
            <w:pPr>
              <w:pStyle w:val="Compact"/>
            </w:pPr>
            <w:r>
              <w:t xml:space="preserve">2016</w:t>
            </w:r>
          </w:p>
        </w:tc>
        <w:tc>
          <w:tcPr/>
          <w:p>
            <w:pPr>
              <w:pStyle w:val="Compact"/>
            </w:pPr>
            <w:r>
              <w:t xml:space="preserve">36th</w:t>
            </w:r>
          </w:p>
        </w:tc>
        <w:tc>
          <w:tcPr/>
          <w:p>
            <w:pPr>
              <w:pStyle w:val="Compact"/>
            </w:pPr>
            <w:r>
              <w:t xml:space="preserve">214</w:t>
            </w:r>
          </w:p>
        </w:tc>
        <w:tc>
          <w:tcPr/>
          <w:p>
            <w:pPr>
              <w:pStyle w:val="Compact"/>
            </w:pPr>
            <w:r>
              <w:t xml:space="preserve">1, Suppl S</w:t>
            </w:r>
          </w:p>
        </w:tc>
        <w:tc>
          <w:tcPr/>
          <w:p>
            <w:pPr>
              <w:pStyle w:val="Compact"/>
            </w:pPr>
            <w:hyperlink r:id="rId87">
              <w:r>
                <w:rPr>
                  <w:rStyle w:val="Hyperlink"/>
                </w:rPr>
                <w:t xml:space="preserve">https://www.sciencedirect.com/journal/american-journal-of-obstetrics-and-gynecology/vol/214/issue/1/suppl/S</w:t>
              </w:r>
            </w:hyperlink>
          </w:p>
        </w:tc>
        <w:tc>
          <w:tcPr/>
          <w:p>
            <w:pPr>
              <w:pStyle w:val="Compact"/>
            </w:pPr>
            <w:r>
              <w:t xml:space="preserve">10.1016/j.ajog.2015.11.xxx</w:t>
            </w:r>
          </w:p>
        </w:tc>
      </w:tr>
      <w:tr>
        <w:tc>
          <w:tcPr/>
          <w:p>
            <w:pPr>
              <w:pStyle w:val="Compact"/>
            </w:pPr>
            <w:r>
              <w:t xml:space="preserve">2015</w:t>
            </w:r>
          </w:p>
        </w:tc>
        <w:tc>
          <w:tcPr/>
          <w:p>
            <w:pPr>
              <w:pStyle w:val="Compact"/>
            </w:pPr>
            <w:r>
              <w:t xml:space="preserve">35th</w:t>
            </w:r>
          </w:p>
        </w:tc>
        <w:tc>
          <w:tcPr/>
          <w:p>
            <w:pPr>
              <w:pStyle w:val="Compact"/>
            </w:pPr>
            <w:r>
              <w:t xml:space="preserve">212</w:t>
            </w:r>
          </w:p>
        </w:tc>
        <w:tc>
          <w:tcPr/>
          <w:p>
            <w:pPr>
              <w:pStyle w:val="Compact"/>
            </w:pPr>
            <w:r>
              <w:t xml:space="preserve">1, Suppl S</w:t>
            </w:r>
          </w:p>
        </w:tc>
        <w:tc>
          <w:tcPr/>
          <w:p>
            <w:pPr>
              <w:pStyle w:val="Compact"/>
            </w:pPr>
            <w:hyperlink r:id="rId88">
              <w:r>
                <w:rPr>
                  <w:rStyle w:val="Hyperlink"/>
                </w:rPr>
                <w:t xml:space="preserve">https://www.sciencedirect.com/journal/american-journal-of-obstetrics-and-gynecology/vol/212/issue/1/suppl/S</w:t>
              </w:r>
            </w:hyperlink>
          </w:p>
        </w:tc>
        <w:tc>
          <w:tcPr/>
          <w:p>
            <w:pPr>
              <w:pStyle w:val="Compact"/>
            </w:pPr>
            <w:r>
              <w:t xml:space="preserve">10.1016/j.ajog.2014.11.xxx</w:t>
            </w:r>
          </w:p>
        </w:tc>
      </w:tr>
      <w:tr>
        <w:tc>
          <w:tcPr/>
          <w:p>
            <w:pPr>
              <w:pStyle w:val="Compact"/>
            </w:pPr>
            <w:r>
              <w:t xml:space="preserve">2014</w:t>
            </w:r>
          </w:p>
        </w:tc>
        <w:tc>
          <w:tcPr/>
          <w:p>
            <w:pPr>
              <w:pStyle w:val="Compact"/>
            </w:pPr>
            <w:r>
              <w:t xml:space="preserve">34th</w:t>
            </w:r>
          </w:p>
        </w:tc>
        <w:tc>
          <w:tcPr/>
          <w:p>
            <w:pPr>
              <w:pStyle w:val="Compact"/>
            </w:pPr>
            <w:r>
              <w:t xml:space="preserve">210</w:t>
            </w:r>
          </w:p>
        </w:tc>
        <w:tc>
          <w:tcPr/>
          <w:p>
            <w:pPr>
              <w:pStyle w:val="Compact"/>
            </w:pPr>
            <w:r>
              <w:t xml:space="preserve">1, Suppl S</w:t>
            </w:r>
          </w:p>
        </w:tc>
        <w:tc>
          <w:tcPr/>
          <w:p>
            <w:pPr>
              <w:pStyle w:val="Compact"/>
            </w:pPr>
            <w:hyperlink r:id="rId89">
              <w:r>
                <w:rPr>
                  <w:rStyle w:val="Hyperlink"/>
                </w:rPr>
                <w:t xml:space="preserve">https://www.sciencedirect.com/journal/american-journal-of-obstetrics-and-gynecology/vol/210/issue/1/suppl/S</w:t>
              </w:r>
            </w:hyperlink>
          </w:p>
        </w:tc>
        <w:tc>
          <w:tcPr/>
          <w:p>
            <w:pPr>
              <w:pStyle w:val="Compact"/>
            </w:pPr>
            <w:r>
              <w:t xml:space="preserve">10.1016/j.ajog.2013.11.xxx</w:t>
            </w:r>
          </w:p>
        </w:tc>
      </w:tr>
      <w:tr>
        <w:tc>
          <w:tcPr/>
          <w:p>
            <w:pPr>
              <w:pStyle w:val="Compact"/>
            </w:pPr>
            <w:r>
              <w:t xml:space="preserve">2013</w:t>
            </w:r>
          </w:p>
        </w:tc>
        <w:tc>
          <w:tcPr/>
          <w:p>
            <w:pPr>
              <w:pStyle w:val="Compact"/>
            </w:pPr>
            <w:r>
              <w:t xml:space="preserve">33rd</w:t>
            </w:r>
          </w:p>
        </w:tc>
        <w:tc>
          <w:tcPr/>
          <w:p>
            <w:pPr>
              <w:pStyle w:val="Compact"/>
            </w:pPr>
            <w:r>
              <w:t xml:space="preserve">208</w:t>
            </w:r>
          </w:p>
        </w:tc>
        <w:tc>
          <w:tcPr/>
          <w:p>
            <w:pPr>
              <w:pStyle w:val="Compact"/>
            </w:pPr>
            <w:r>
              <w:t xml:space="preserve">1, Suppl S</w:t>
            </w:r>
          </w:p>
        </w:tc>
        <w:tc>
          <w:tcPr/>
          <w:p>
            <w:pPr>
              <w:pStyle w:val="Compact"/>
            </w:pPr>
            <w:hyperlink r:id="rId90">
              <w:r>
                <w:rPr>
                  <w:rStyle w:val="Hyperlink"/>
                </w:rPr>
                <w:t xml:space="preserve">https://www.sciencedirect.com/journal/american-journal-of-obstetrics-and-gynecology/vol/208/issue/1/suppl/S</w:t>
              </w:r>
            </w:hyperlink>
          </w:p>
        </w:tc>
        <w:tc>
          <w:tcPr/>
          <w:p>
            <w:pPr>
              <w:pStyle w:val="Compact"/>
            </w:pPr>
            <w:r>
              <w:t xml:space="preserve">10.1016/j.ajog.2012.11.xxx</w:t>
            </w:r>
          </w:p>
        </w:tc>
      </w:tr>
    </w:tbl>
    <w:p>
      <w:pPr>
        <w:pStyle w:val="BodyText"/>
      </w:pPr>
      <w:r>
        <w:rPr>
          <w:b/>
          <w:bCs/>
        </w:rPr>
        <w:t xml:space="preserve">DOI uniqueness confirmed:</w:t>
      </w:r>
      <w:r>
        <w:t xml:space="preserve"> </w:t>
      </w:r>
      <w:r>
        <w:t xml:space="preserve">Individual abstract DOIs increment sequentially within each supplement. Because AJOG is hosted on ScienceDirect (Elsevier) — the same platform as JMIG — the existing</w:t>
      </w:r>
      <w:r>
        <w:t xml:space="preserve"> </w:t>
      </w:r>
      <w:r>
        <w:rPr>
          <w:rStyle w:val="VerbatimChar"/>
        </w:rPr>
        <w:t xml:space="preserve">backfill_affiliations_from_cache.R</w:t>
      </w:r>
      <w:r>
        <w:t xml:space="preserve">,</w:t>
      </w:r>
      <w:r>
        <w:t xml:space="preserve"> </w:t>
      </w:r>
      <w:r>
        <w:rPr>
          <w:rStyle w:val="VerbatimChar"/>
        </w:rPr>
        <w:t xml:space="preserve">01b_parse_web.R</w:t>
      </w:r>
      <w:r>
        <w:t xml:space="preserve">, and</w:t>
      </w:r>
      <w:r>
        <w:t xml:space="preserve"> </w:t>
      </w:r>
      <w:r>
        <w:rPr>
          <w:rStyle w:val="VerbatimChar"/>
        </w:rPr>
        <w:t xml:space="preserve">03c_doi_chain_search.R</w:t>
      </w:r>
      <w:r>
        <w:t xml:space="preserve"> </w:t>
      </w:r>
      <w:r>
        <w:t xml:space="preserve">scripts can be adapted for SMFM with minimal modification, primarily updating the journal-specific URL patterns and PII extraction logic.</w:t>
      </w:r>
    </w:p>
    <w:p>
      <w:pPr>
        <w:pStyle w:val="BodyText"/>
      </w:pPr>
      <w:r>
        <w:rPr>
          <w:i/>
          <w:iCs/>
        </w:rPr>
        <w:t xml:space="preserve">Sources: ScienceDirect AJOG special issues index;</w:t>
      </w:r>
      <w:r>
        <w:rPr>
          <w:i/>
          <w:iCs/>
        </w:rPr>
        <w:t xml:space="preserve"> </w:t>
      </w:r>
      <w:hyperlink r:id="rId91">
        <w:r>
          <w:rPr>
            <w:rStyle w:val="Hyperlink"/>
            <w:i/>
            <w:iCs/>
          </w:rPr>
          <w:t xml:space="preserve">https://publications.smfm.org/</w:t>
        </w:r>
      </w:hyperlink>
    </w:p>
    <w:bookmarkEnd w:id="92"/>
    <w:bookmarkStart w:id="93" w:name="X0194632da0eacb2919432c7e09a49e6d1a40992"/>
    <w:p>
      <w:pPr>
        <w:pStyle w:val="Heading3"/>
      </w:pPr>
      <w:r>
        <w:t xml:space="preserve">A11.11 ASRM Abstract Supplement URLs (2013–2023)</w:t>
      </w:r>
    </w:p>
    <w:p>
      <w:pPr>
        <w:pStyle w:val="FirstParagraph"/>
      </w:pPr>
      <w:r>
        <w:t xml:space="preserve">ASRM (American Society for Reproductive Medicine) annual meeting abstracts are published as supplement issues of</w:t>
      </w:r>
      <w:r>
        <w:t xml:space="preserve"> </w:t>
      </w:r>
      <w:r>
        <w:rPr>
          <w:i/>
          <w:iCs/>
        </w:rPr>
        <w:t xml:space="preserve">Fertility and Sterility</w:t>
      </w:r>
      <w:r>
        <w:t xml:space="preserve"> </w:t>
      </w:r>
      <w:r>
        <w:t xml:space="preserve">(ISSN 0015-0282) on ScienceDirect (Elsevier).</w:t>
      </w:r>
      <w:r>
        <w:t xml:space="preserve"> </w:t>
      </w:r>
      <w:r>
        <w:rPr>
          <w:b/>
          <w:bCs/>
        </w:rPr>
        <w:t xml:space="preserve">Every abstract receives a unique DOI</w:t>
      </w:r>
      <w:r>
        <w:t xml:space="preserve"> </w:t>
      </w:r>
      <w:r>
        <w:t xml:space="preserve">in the format</w:t>
      </w:r>
      <w:r>
        <w:t xml:space="preserve"> </w:t>
      </w:r>
      <w:r>
        <w:rPr>
          <w:rStyle w:val="VerbatimChar"/>
        </w:rPr>
        <w:t xml:space="preserve">10.1016/j.fertnstert.YYYY.MM.NNN</w:t>
      </w:r>
      <w:r>
        <w:t xml:space="preserve">, where NNN is a sequential article number. DOI uniqueness is guaranteed by the DOI standard, enforced by CrossRef at ingestion (duplicates are rejected), and confirmed by spot-check of 50 sampled DOIs across years.</w:t>
      </w:r>
    </w:p>
    <w:p>
      <w:pPr>
        <w:pStyle w:val="BodyText"/>
      </w:pPr>
      <w:r>
        <w:t xml:space="preserve">Because</w:t>
      </w:r>
      <w:r>
        <w:t xml:space="preserve"> </w:t>
      </w:r>
      <w:r>
        <w:rPr>
          <w:i/>
          <w:iCs/>
        </w:rPr>
        <w:t xml:space="preserve">Fertility and Sterility</w:t>
      </w:r>
      <w:r>
        <w:t xml:space="preserve"> </w:t>
      </w:r>
      <w:r>
        <w:t xml:space="preserve">is hosted on ScienceDirect (Elsevier) — the same platform as JMIG and AJOG — the existing pipeline components for DOI-chain search, ScienceDirect HTML affiliation extraction, and web scraping apply directly.</w:t>
      </w:r>
    </w:p>
    <w:p>
      <w:pPr>
        <w:pStyle w:val="BodyText"/>
      </w:pPr>
      <w:r>
        <w:rPr>
          <w:b/>
          <w:bCs/>
        </w:rPr>
        <w:t xml:space="preserve">Note:</w:t>
      </w:r>
      <w:r>
        <w:t xml:space="preserve"> </w:t>
      </w:r>
      <w:r>
        <w:t xml:space="preserve">Full supplement browsing requires institutional ScienceDirect authentication (fertstert.org and sciencedirect.com return 403 for unauthenticated access). Individual abstracts resolve publicly via</w:t>
      </w:r>
      <w:r>
        <w:t xml:space="preserve"> </w:t>
      </w:r>
      <w:r>
        <w:rPr>
          <w:rStyle w:val="VerbatimChar"/>
        </w:rPr>
        <w:t xml:space="preserve">https://doi.org/10.1016/j.fertnstert.YYYY.MM.NNN</w:t>
      </w:r>
      <w:r>
        <w:t xml:space="preserve">. PubMed indexes selected abstracts from these supplements and is freely accessible.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ASRM Meeting</w:t>
            </w:r>
          </w:p>
        </w:tc>
        <w:tc>
          <w:tcPr/>
          <w:p>
            <w:pPr>
              <w:pStyle w:val="Compact"/>
            </w:pPr>
            <w:r>
              <w:t xml:space="preserve">Volume</w:t>
            </w:r>
          </w:p>
        </w:tc>
        <w:tc>
          <w:tcPr/>
          <w:p>
            <w:pPr>
              <w:pStyle w:val="Compact"/>
            </w:pPr>
            <w:r>
              <w:t xml:space="preserve">Issue</w:t>
            </w:r>
          </w:p>
        </w:tc>
        <w:tc>
          <w:tcPr/>
          <w:p>
            <w:pPr>
              <w:pStyle w:val="Compact"/>
            </w:pPr>
            <w:r>
              <w:t xml:space="preserve">DOI Pattern</w:t>
            </w:r>
          </w:p>
        </w:tc>
      </w:tr>
      <w:tr>
        <w:tc>
          <w:tcPr/>
          <w:p>
            <w:pPr>
              <w:pStyle w:val="Compact"/>
            </w:pPr>
            <w:r>
              <w:t xml:space="preserve">2023</w:t>
            </w:r>
          </w:p>
        </w:tc>
        <w:tc>
          <w:tcPr/>
          <w:p>
            <w:pPr>
              <w:pStyle w:val="Compact"/>
            </w:pPr>
            <w:r>
              <w:t xml:space="preserve">79th Annual</w:t>
            </w:r>
          </w:p>
        </w:tc>
        <w:tc>
          <w:tcPr/>
          <w:p>
            <w:pPr>
              <w:pStyle w:val="Compact"/>
            </w:pPr>
            <w:r>
              <w:t xml:space="preserve">120</w:t>
            </w:r>
          </w:p>
        </w:tc>
        <w:tc>
          <w:tcPr/>
          <w:p>
            <w:pPr>
              <w:pStyle w:val="Compact"/>
            </w:pPr>
            <w:r>
              <w:t xml:space="preserve">4</w:t>
            </w:r>
          </w:p>
        </w:tc>
        <w:tc>
          <w:tcPr/>
          <w:p>
            <w:pPr>
              <w:pStyle w:val="Compact"/>
            </w:pPr>
            <w:r>
              <w:t xml:space="preserve">10.1016/j.fertnstert.2023.MM.xxx</w:t>
            </w:r>
          </w:p>
        </w:tc>
      </w:tr>
      <w:tr>
        <w:tc>
          <w:tcPr/>
          <w:p>
            <w:pPr>
              <w:pStyle w:val="Compact"/>
            </w:pPr>
            <w:r>
              <w:t xml:space="preserve">2022</w:t>
            </w:r>
          </w:p>
        </w:tc>
        <w:tc>
          <w:tcPr/>
          <w:p>
            <w:pPr>
              <w:pStyle w:val="Compact"/>
            </w:pPr>
            <w:r>
              <w:t xml:space="preserve">78th Annual</w:t>
            </w:r>
          </w:p>
        </w:tc>
        <w:tc>
          <w:tcPr/>
          <w:p>
            <w:pPr>
              <w:pStyle w:val="Compact"/>
            </w:pPr>
            <w:r>
              <w:t xml:space="preserve">118</w:t>
            </w:r>
          </w:p>
        </w:tc>
        <w:tc>
          <w:tcPr/>
          <w:p>
            <w:pPr>
              <w:pStyle w:val="Compact"/>
            </w:pPr>
            <w:r>
              <w:t xml:space="preserve">4</w:t>
            </w:r>
          </w:p>
        </w:tc>
        <w:tc>
          <w:tcPr/>
          <w:p>
            <w:pPr>
              <w:pStyle w:val="Compact"/>
            </w:pPr>
            <w:r>
              <w:t xml:space="preserve">10.1016/j.fertnstert.2022.MM.xxx</w:t>
            </w:r>
          </w:p>
        </w:tc>
      </w:tr>
      <w:tr>
        <w:tc>
          <w:tcPr/>
          <w:p>
            <w:pPr>
              <w:pStyle w:val="Compact"/>
            </w:pPr>
            <w:r>
              <w:t xml:space="preserve">2021</w:t>
            </w:r>
          </w:p>
        </w:tc>
        <w:tc>
          <w:tcPr/>
          <w:p>
            <w:pPr>
              <w:pStyle w:val="Compact"/>
            </w:pPr>
            <w:r>
              <w:t xml:space="preserve">77th Annual</w:t>
            </w:r>
          </w:p>
        </w:tc>
        <w:tc>
          <w:tcPr/>
          <w:p>
            <w:pPr>
              <w:pStyle w:val="Compact"/>
            </w:pPr>
            <w:r>
              <w:t xml:space="preserve">116</w:t>
            </w:r>
          </w:p>
        </w:tc>
        <w:tc>
          <w:tcPr/>
          <w:p>
            <w:pPr>
              <w:pStyle w:val="Compact"/>
            </w:pPr>
            <w:r>
              <w:t xml:space="preserve">3</w:t>
            </w:r>
          </w:p>
        </w:tc>
        <w:tc>
          <w:tcPr/>
          <w:p>
            <w:pPr>
              <w:pStyle w:val="Compact"/>
            </w:pPr>
            <w:r>
              <w:t xml:space="preserve">10.1016/j.fertnstert.2021.MM.xxx</w:t>
            </w:r>
          </w:p>
        </w:tc>
      </w:tr>
      <w:tr>
        <w:tc>
          <w:tcPr/>
          <w:p>
            <w:pPr>
              <w:pStyle w:val="Compact"/>
            </w:pPr>
            <w:r>
              <w:t xml:space="preserve">2020</w:t>
            </w:r>
          </w:p>
        </w:tc>
        <w:tc>
          <w:tcPr/>
          <w:p>
            <w:pPr>
              <w:pStyle w:val="Compact"/>
            </w:pPr>
            <w:r>
              <w:t xml:space="preserve">76th Annual</w:t>
            </w:r>
          </w:p>
        </w:tc>
        <w:tc>
          <w:tcPr/>
          <w:p>
            <w:pPr>
              <w:pStyle w:val="Compact"/>
            </w:pPr>
            <w:r>
              <w:t xml:space="preserve">114</w:t>
            </w:r>
          </w:p>
        </w:tc>
        <w:tc>
          <w:tcPr/>
          <w:p>
            <w:pPr>
              <w:pStyle w:val="Compact"/>
            </w:pPr>
            <w:r>
              <w:t xml:space="preserve">3</w:t>
            </w:r>
          </w:p>
        </w:tc>
        <w:tc>
          <w:tcPr/>
          <w:p>
            <w:pPr>
              <w:pStyle w:val="Compact"/>
            </w:pPr>
            <w:r>
              <w:t xml:space="preserve">10.1016/j.fertnstert.2020.MM.xxx</w:t>
            </w:r>
          </w:p>
        </w:tc>
      </w:tr>
      <w:tr>
        <w:tc>
          <w:tcPr/>
          <w:p>
            <w:pPr>
              <w:pStyle w:val="Compact"/>
            </w:pPr>
            <w:r>
              <w:t xml:space="preserve">2019</w:t>
            </w:r>
          </w:p>
        </w:tc>
        <w:tc>
          <w:tcPr/>
          <w:p>
            <w:pPr>
              <w:pStyle w:val="Compact"/>
            </w:pPr>
            <w:r>
              <w:t xml:space="preserve">75th Annual</w:t>
            </w:r>
          </w:p>
        </w:tc>
        <w:tc>
          <w:tcPr/>
          <w:p>
            <w:pPr>
              <w:pStyle w:val="Compact"/>
            </w:pPr>
            <w:r>
              <w:t xml:space="preserve">112</w:t>
            </w:r>
          </w:p>
        </w:tc>
        <w:tc>
          <w:tcPr/>
          <w:p>
            <w:pPr>
              <w:pStyle w:val="Compact"/>
            </w:pPr>
            <w:r>
              <w:t xml:space="preserve">3</w:t>
            </w:r>
          </w:p>
        </w:tc>
        <w:tc>
          <w:tcPr/>
          <w:p>
            <w:pPr>
              <w:pStyle w:val="Compact"/>
            </w:pPr>
            <w:r>
              <w:t xml:space="preserve">10.1016/j.fertnstert.2019.MM.xxx</w:t>
            </w:r>
          </w:p>
        </w:tc>
      </w:tr>
      <w:tr>
        <w:tc>
          <w:tcPr/>
          <w:p>
            <w:pPr>
              <w:pStyle w:val="Compact"/>
            </w:pPr>
            <w:r>
              <w:t xml:space="preserve">2018</w:t>
            </w:r>
          </w:p>
        </w:tc>
        <w:tc>
          <w:tcPr/>
          <w:p>
            <w:pPr>
              <w:pStyle w:val="Compact"/>
            </w:pPr>
            <w:r>
              <w:t xml:space="preserve">74th Annual</w:t>
            </w:r>
          </w:p>
        </w:tc>
        <w:tc>
          <w:tcPr/>
          <w:p>
            <w:pPr>
              <w:pStyle w:val="Compact"/>
            </w:pPr>
            <w:r>
              <w:t xml:space="preserve">110</w:t>
            </w:r>
          </w:p>
        </w:tc>
        <w:tc>
          <w:tcPr/>
          <w:p>
            <w:pPr>
              <w:pStyle w:val="Compact"/>
            </w:pPr>
            <w:r>
              <w:t xml:space="preserve">4</w:t>
            </w:r>
          </w:p>
        </w:tc>
        <w:tc>
          <w:tcPr/>
          <w:p>
            <w:pPr>
              <w:pStyle w:val="Compact"/>
            </w:pPr>
            <w:r>
              <w:t xml:space="preserve">10.1016/j.fertnstert.2018.MM.xxx</w:t>
            </w:r>
          </w:p>
        </w:tc>
      </w:tr>
      <w:tr>
        <w:tc>
          <w:tcPr/>
          <w:p>
            <w:pPr>
              <w:pStyle w:val="Compact"/>
            </w:pPr>
            <w:r>
              <w:t xml:space="preserve">2017</w:t>
            </w:r>
          </w:p>
        </w:tc>
        <w:tc>
          <w:tcPr/>
          <w:p>
            <w:pPr>
              <w:pStyle w:val="Compact"/>
            </w:pPr>
            <w:r>
              <w:t xml:space="preserve">73rd Annual</w:t>
            </w:r>
          </w:p>
        </w:tc>
        <w:tc>
          <w:tcPr/>
          <w:p>
            <w:pPr>
              <w:pStyle w:val="Compact"/>
            </w:pPr>
            <w:r>
              <w:t xml:space="preserve">108</w:t>
            </w:r>
          </w:p>
        </w:tc>
        <w:tc>
          <w:tcPr/>
          <w:p>
            <w:pPr>
              <w:pStyle w:val="Compact"/>
            </w:pPr>
            <w:r>
              <w:t xml:space="preserve">3</w:t>
            </w:r>
          </w:p>
        </w:tc>
        <w:tc>
          <w:tcPr/>
          <w:p>
            <w:pPr>
              <w:pStyle w:val="Compact"/>
            </w:pPr>
            <w:r>
              <w:t xml:space="preserve">10.1016/j.fertnstert.2017.MM.xxx</w:t>
            </w:r>
          </w:p>
        </w:tc>
      </w:tr>
      <w:tr>
        <w:tc>
          <w:tcPr/>
          <w:p>
            <w:pPr>
              <w:pStyle w:val="Compact"/>
            </w:pPr>
            <w:r>
              <w:t xml:space="preserve">2016</w:t>
            </w:r>
          </w:p>
        </w:tc>
        <w:tc>
          <w:tcPr/>
          <w:p>
            <w:pPr>
              <w:pStyle w:val="Compact"/>
            </w:pPr>
            <w:r>
              <w:t xml:space="preserve">72nd Annual</w:t>
            </w:r>
          </w:p>
        </w:tc>
        <w:tc>
          <w:tcPr/>
          <w:p>
            <w:pPr>
              <w:pStyle w:val="Compact"/>
            </w:pPr>
            <w:r>
              <w:t xml:space="preserve">106</w:t>
            </w:r>
          </w:p>
        </w:tc>
        <w:tc>
          <w:tcPr/>
          <w:p>
            <w:pPr>
              <w:pStyle w:val="Compact"/>
            </w:pPr>
            <w:r>
              <w:t xml:space="preserve">3</w:t>
            </w:r>
          </w:p>
        </w:tc>
        <w:tc>
          <w:tcPr/>
          <w:p>
            <w:pPr>
              <w:pStyle w:val="Compact"/>
            </w:pPr>
            <w:r>
              <w:t xml:space="preserve">10.1016/j.fertnstert.2016.MM.xxx</w:t>
            </w:r>
          </w:p>
        </w:tc>
      </w:tr>
      <w:tr>
        <w:tc>
          <w:tcPr/>
          <w:p>
            <w:pPr>
              <w:pStyle w:val="Compact"/>
            </w:pPr>
            <w:r>
              <w:t xml:space="preserve">2015</w:t>
            </w:r>
          </w:p>
        </w:tc>
        <w:tc>
          <w:tcPr/>
          <w:p>
            <w:pPr>
              <w:pStyle w:val="Compact"/>
            </w:pPr>
            <w:r>
              <w:t xml:space="preserve">71st Annual</w:t>
            </w:r>
          </w:p>
        </w:tc>
        <w:tc>
          <w:tcPr/>
          <w:p>
            <w:pPr>
              <w:pStyle w:val="Compact"/>
            </w:pPr>
            <w:r>
              <w:t xml:space="preserve">104</w:t>
            </w:r>
          </w:p>
        </w:tc>
        <w:tc>
          <w:tcPr/>
          <w:p>
            <w:pPr>
              <w:pStyle w:val="Compact"/>
            </w:pPr>
            <w:r>
              <w:t xml:space="preserve">3</w:t>
            </w:r>
          </w:p>
        </w:tc>
        <w:tc>
          <w:tcPr/>
          <w:p>
            <w:pPr>
              <w:pStyle w:val="Compact"/>
            </w:pPr>
            <w:r>
              <w:t xml:space="preserve">10.1016/j.fertnstert.2015.MM.xxx</w:t>
            </w:r>
          </w:p>
        </w:tc>
      </w:tr>
      <w:tr>
        <w:tc>
          <w:tcPr/>
          <w:p>
            <w:pPr>
              <w:pStyle w:val="Compact"/>
            </w:pPr>
            <w:r>
              <w:t xml:space="preserve">2014</w:t>
            </w:r>
          </w:p>
        </w:tc>
        <w:tc>
          <w:tcPr/>
          <w:p>
            <w:pPr>
              <w:pStyle w:val="Compact"/>
            </w:pPr>
            <w:r>
              <w:t xml:space="preserve">70th Annual</w:t>
            </w:r>
          </w:p>
        </w:tc>
        <w:tc>
          <w:tcPr/>
          <w:p>
            <w:pPr>
              <w:pStyle w:val="Compact"/>
            </w:pPr>
            <w:r>
              <w:t xml:space="preserve">102</w:t>
            </w:r>
          </w:p>
        </w:tc>
        <w:tc>
          <w:tcPr/>
          <w:p>
            <w:pPr>
              <w:pStyle w:val="Compact"/>
            </w:pPr>
            <w:r>
              <w:t xml:space="preserve">3</w:t>
            </w:r>
          </w:p>
        </w:tc>
        <w:tc>
          <w:tcPr/>
          <w:p>
            <w:pPr>
              <w:pStyle w:val="Compact"/>
            </w:pPr>
            <w:r>
              <w:t xml:space="preserve">10.1016/j.fertnstert.2014.MM.xxx</w:t>
            </w:r>
          </w:p>
        </w:tc>
      </w:tr>
      <w:tr>
        <w:tc>
          <w:tcPr/>
          <w:p>
            <w:pPr>
              <w:pStyle w:val="Compact"/>
            </w:pPr>
            <w:r>
              <w:t xml:space="preserve">2013</w:t>
            </w:r>
          </w:p>
        </w:tc>
        <w:tc>
          <w:tcPr/>
          <w:p>
            <w:pPr>
              <w:pStyle w:val="Compact"/>
            </w:pPr>
            <w:r>
              <w:t xml:space="preserve">69th Annual</w:t>
            </w:r>
          </w:p>
        </w:tc>
        <w:tc>
          <w:tcPr/>
          <w:p>
            <w:pPr>
              <w:pStyle w:val="Compact"/>
            </w:pPr>
            <w:r>
              <w:t xml:space="preserve">100</w:t>
            </w:r>
          </w:p>
        </w:tc>
        <w:tc>
          <w:tcPr/>
          <w:p>
            <w:pPr>
              <w:pStyle w:val="Compact"/>
            </w:pPr>
            <w:r>
              <w:t xml:space="preserve">3</w:t>
            </w:r>
          </w:p>
        </w:tc>
        <w:tc>
          <w:tcPr/>
          <w:p>
            <w:pPr>
              <w:pStyle w:val="Compact"/>
            </w:pPr>
            <w:r>
              <w:t xml:space="preserve">10.1016/j.fertnstert.2013.MM.xxx</w:t>
            </w:r>
          </w:p>
        </w:tc>
      </w:tr>
    </w:tbl>
    <w:p>
      <w:pPr>
        <w:pStyle w:val="BodyText"/>
      </w:pPr>
      <w:r>
        <w:rPr>
          <w:b/>
          <w:bCs/>
        </w:rPr>
        <w:t xml:space="preserve">Abstract counts per year (CrossRef):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DOIs indexed in CrossRef</w:t>
            </w:r>
          </w:p>
        </w:tc>
      </w:tr>
      <w:tr>
        <w:tc>
          <w:tcPr/>
          <w:p>
            <w:pPr>
              <w:pStyle w:val="Compact"/>
            </w:pPr>
            <w:r>
              <w:t xml:space="preserve">2023</w:t>
            </w:r>
          </w:p>
        </w:tc>
        <w:tc>
          <w:tcPr/>
          <w:p>
            <w:pPr>
              <w:pStyle w:val="Compact"/>
            </w:pPr>
            <w:r>
              <w:t xml:space="preserve">940</w:t>
            </w:r>
          </w:p>
        </w:tc>
      </w:tr>
      <w:tr>
        <w:tc>
          <w:tcPr/>
          <w:p>
            <w:pPr>
              <w:pStyle w:val="Compact"/>
            </w:pPr>
            <w:r>
              <w:t xml:space="preserve">2022</w:t>
            </w:r>
          </w:p>
        </w:tc>
        <w:tc>
          <w:tcPr/>
          <w:p>
            <w:pPr>
              <w:pStyle w:val="Compact"/>
            </w:pPr>
            <w:r>
              <w:t xml:space="preserve">1,142</w:t>
            </w:r>
          </w:p>
        </w:tc>
      </w:tr>
      <w:tr>
        <w:tc>
          <w:tcPr/>
          <w:p>
            <w:pPr>
              <w:pStyle w:val="Compact"/>
            </w:pPr>
            <w:r>
              <w:t xml:space="preserve">2021</w:t>
            </w:r>
          </w:p>
        </w:tc>
        <w:tc>
          <w:tcPr/>
          <w:p>
            <w:pPr>
              <w:pStyle w:val="Compact"/>
            </w:pPr>
            <w:r>
              <w:t xml:space="preserve">1,239</w:t>
            </w:r>
          </w:p>
        </w:tc>
      </w:tr>
      <w:tr>
        <w:tc>
          <w:tcPr/>
          <w:p>
            <w:pPr>
              <w:pStyle w:val="Compact"/>
            </w:pPr>
            <w:r>
              <w:t xml:space="preserve">2020</w:t>
            </w:r>
          </w:p>
        </w:tc>
        <w:tc>
          <w:tcPr/>
          <w:p>
            <w:pPr>
              <w:pStyle w:val="Compact"/>
            </w:pPr>
            <w:r>
              <w:t xml:space="preserve">1,456</w:t>
            </w:r>
          </w:p>
        </w:tc>
      </w:tr>
      <w:tr>
        <w:tc>
          <w:tcPr/>
          <w:p>
            <w:pPr>
              <w:pStyle w:val="Compact"/>
            </w:pPr>
            <w:r>
              <w:t xml:space="preserve">2019</w:t>
            </w:r>
          </w:p>
        </w:tc>
        <w:tc>
          <w:tcPr/>
          <w:p>
            <w:pPr>
              <w:pStyle w:val="Compact"/>
            </w:pPr>
            <w:r>
              <w:t xml:space="preserve">1,259</w:t>
            </w:r>
          </w:p>
        </w:tc>
      </w:tr>
      <w:tr>
        <w:tc>
          <w:tcPr/>
          <w:p>
            <w:pPr>
              <w:pStyle w:val="Compact"/>
            </w:pPr>
            <w:r>
              <w:t xml:space="preserve">2018</w:t>
            </w:r>
          </w:p>
        </w:tc>
        <w:tc>
          <w:tcPr/>
          <w:p>
            <w:pPr>
              <w:pStyle w:val="Compact"/>
            </w:pPr>
            <w:r>
              <w:t xml:space="preserve">1,214</w:t>
            </w:r>
          </w:p>
        </w:tc>
      </w:tr>
      <w:tr>
        <w:tc>
          <w:tcPr/>
          <w:p>
            <w:pPr>
              <w:pStyle w:val="Compact"/>
            </w:pPr>
            <w:r>
              <w:t xml:space="preserve">2017</w:t>
            </w:r>
          </w:p>
        </w:tc>
        <w:tc>
          <w:tcPr/>
          <w:p>
            <w:pPr>
              <w:pStyle w:val="Compact"/>
            </w:pPr>
            <w:r>
              <w:t xml:space="preserve">1,111</w:t>
            </w:r>
          </w:p>
        </w:tc>
      </w:tr>
      <w:tr>
        <w:tc>
          <w:tcPr/>
          <w:p>
            <w:pPr>
              <w:pStyle w:val="Compact"/>
            </w:pPr>
            <w:r>
              <w:t xml:space="preserve">2016</w:t>
            </w:r>
          </w:p>
        </w:tc>
        <w:tc>
          <w:tcPr/>
          <w:p>
            <w:pPr>
              <w:pStyle w:val="Compact"/>
            </w:pPr>
            <w:r>
              <w:t xml:space="preserve">1,147</w:t>
            </w:r>
          </w:p>
        </w:tc>
      </w:tr>
      <w:tr>
        <w:tc>
          <w:tcPr/>
          <w:p>
            <w:pPr>
              <w:pStyle w:val="Compact"/>
            </w:pPr>
            <w:r>
              <w:t xml:space="preserve">2015</w:t>
            </w:r>
          </w:p>
        </w:tc>
        <w:tc>
          <w:tcPr/>
          <w:p>
            <w:pPr>
              <w:pStyle w:val="Compact"/>
            </w:pPr>
            <w:r>
              <w:t xml:space="preserve">1,153</w:t>
            </w:r>
          </w:p>
        </w:tc>
      </w:tr>
      <w:tr>
        <w:tc>
          <w:tcPr/>
          <w:p>
            <w:pPr>
              <w:pStyle w:val="Compact"/>
            </w:pPr>
            <w:r>
              <w:t xml:space="preserve">2014</w:t>
            </w:r>
          </w:p>
        </w:tc>
        <w:tc>
          <w:tcPr/>
          <w:p>
            <w:pPr>
              <w:pStyle w:val="Compact"/>
            </w:pPr>
            <w:r>
              <w:t xml:space="preserve">1,227</w:t>
            </w:r>
          </w:p>
        </w:tc>
      </w:tr>
      <w:tr>
        <w:tc>
          <w:tcPr/>
          <w:p>
            <w:pPr>
              <w:pStyle w:val="Compact"/>
            </w:pPr>
            <w:r>
              <w:t xml:space="preserve">2013</w:t>
            </w:r>
          </w:p>
        </w:tc>
        <w:tc>
          <w:tcPr/>
          <w:p>
            <w:pPr>
              <w:pStyle w:val="Compact"/>
            </w:pPr>
            <w:r>
              <w:t xml:space="preserve">2,010</w:t>
            </w:r>
          </w:p>
        </w:tc>
      </w:tr>
    </w:tbl>
    <w:p>
      <w:pPr>
        <w:pStyle w:val="BodyText"/>
      </w:pPr>
      <w:r>
        <w:rPr>
          <w:b/>
          <w:bCs/>
        </w:rPr>
        <w:t xml:space="preserve">Advance program DOIs</w:t>
      </w:r>
      <w:r>
        <w:t xml:space="preserve"> </w:t>
      </w:r>
      <w:r>
        <w:t xml:space="preserve">(publicly resolvable</w:t>
      </w:r>
      <w:r>
        <w:t xml:space="preserve"> </w:t>
      </w:r>
      <w:r>
        <w:t xml:space="preserve">“Scientific Papers to Be Presented”</w:t>
      </w:r>
      <w:r>
        <w:t xml:space="preserve"> </w:t>
      </w:r>
      <w:r>
        <w:t xml:space="preserve">TOC documents):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Advance Program DOI</w:t>
            </w:r>
          </w:p>
        </w:tc>
      </w:tr>
      <w:tr>
        <w:tc>
          <w:tcPr/>
          <w:p>
            <w:pPr>
              <w:pStyle w:val="Compact"/>
            </w:pPr>
            <w:r>
              <w:t xml:space="preserve">2013</w:t>
            </w:r>
          </w:p>
        </w:tc>
        <w:tc>
          <w:tcPr/>
          <w:p>
            <w:pPr>
              <w:pStyle w:val="Compact"/>
            </w:pPr>
            <w:r>
              <w:t xml:space="preserve">10.1016/j.fertnstert.2013.01.001</w:t>
            </w:r>
          </w:p>
        </w:tc>
      </w:tr>
      <w:tr>
        <w:tc>
          <w:tcPr/>
          <w:p>
            <w:pPr>
              <w:pStyle w:val="Compact"/>
            </w:pPr>
            <w:r>
              <w:t xml:space="preserve">2014</w:t>
            </w:r>
          </w:p>
        </w:tc>
        <w:tc>
          <w:tcPr/>
          <w:p>
            <w:pPr>
              <w:pStyle w:val="Compact"/>
            </w:pPr>
            <w:r>
              <w:t xml:space="preserve">10.1016/j.fertnstert.2013.11.036</w:t>
            </w:r>
          </w:p>
        </w:tc>
      </w:tr>
      <w:tr>
        <w:tc>
          <w:tcPr/>
          <w:p>
            <w:pPr>
              <w:pStyle w:val="Compact"/>
            </w:pPr>
            <w:r>
              <w:t xml:space="preserve">2015</w:t>
            </w:r>
          </w:p>
        </w:tc>
        <w:tc>
          <w:tcPr/>
          <w:p>
            <w:pPr>
              <w:pStyle w:val="Compact"/>
            </w:pPr>
            <w:r>
              <w:t xml:space="preserve">10.1016/j.fertnstert.2014.12.002</w:t>
            </w:r>
          </w:p>
        </w:tc>
      </w:tr>
      <w:tr>
        <w:tc>
          <w:tcPr/>
          <w:p>
            <w:pPr>
              <w:pStyle w:val="Compact"/>
            </w:pPr>
            <w:r>
              <w:t xml:space="preserve">2016</w:t>
            </w:r>
          </w:p>
        </w:tc>
        <w:tc>
          <w:tcPr/>
          <w:p>
            <w:pPr>
              <w:pStyle w:val="Compact"/>
            </w:pPr>
            <w:r>
              <w:t xml:space="preserve">10.1016/j.fertnstert.2015.12.123</w:t>
            </w:r>
          </w:p>
        </w:tc>
      </w:tr>
      <w:tr>
        <w:tc>
          <w:tcPr/>
          <w:p>
            <w:pPr>
              <w:pStyle w:val="Compact"/>
            </w:pPr>
            <w:r>
              <w:t xml:space="preserve">2017</w:t>
            </w:r>
          </w:p>
        </w:tc>
        <w:tc>
          <w:tcPr/>
          <w:p>
            <w:pPr>
              <w:pStyle w:val="Compact"/>
            </w:pPr>
            <w:r>
              <w:t xml:space="preserve">10.1016/j.fertnstert.2017.02.003</w:t>
            </w:r>
          </w:p>
        </w:tc>
      </w:tr>
      <w:tr>
        <w:tc>
          <w:tcPr/>
          <w:p>
            <w:pPr>
              <w:pStyle w:val="Compact"/>
            </w:pPr>
            <w:r>
              <w:t xml:space="preserve">2018</w:t>
            </w:r>
          </w:p>
        </w:tc>
        <w:tc>
          <w:tcPr/>
          <w:p>
            <w:pPr>
              <w:pStyle w:val="Compact"/>
            </w:pPr>
            <w:r>
              <w:t xml:space="preserve">10.1016/j.fertnstert.2018.02.014</w:t>
            </w:r>
          </w:p>
        </w:tc>
      </w:tr>
      <w:tr>
        <w:tc>
          <w:tcPr/>
          <w:p>
            <w:pPr>
              <w:pStyle w:val="Compact"/>
            </w:pPr>
            <w:r>
              <w:t xml:space="preserve">2019</w:t>
            </w:r>
          </w:p>
        </w:tc>
        <w:tc>
          <w:tcPr/>
          <w:p>
            <w:pPr>
              <w:pStyle w:val="Compact"/>
            </w:pPr>
            <w:r>
              <w:t xml:space="preserve">10.1016/j.fertnstert.2019.02.032</w:t>
            </w:r>
          </w:p>
        </w:tc>
      </w:tr>
      <w:tr>
        <w:tc>
          <w:tcPr/>
          <w:p>
            <w:pPr>
              <w:pStyle w:val="Compact"/>
            </w:pPr>
            <w:r>
              <w:t xml:space="preserve">2022</w:t>
            </w:r>
          </w:p>
        </w:tc>
        <w:tc>
          <w:tcPr/>
          <w:p>
            <w:pPr>
              <w:pStyle w:val="Compact"/>
            </w:pPr>
            <w:r>
              <w:t xml:space="preserve">10.1016/s0015-0282(22)01984-7</w:t>
            </w:r>
          </w:p>
        </w:tc>
      </w:tr>
    </w:tbl>
    <w:p>
      <w:pPr>
        <w:pStyle w:val="BodyText"/>
      </w:pPr>
      <w:r>
        <w:rPr>
          <w:i/>
          <w:iCs/>
        </w:rPr>
        <w:t xml:space="preserve">Note: Advance program DOIs for 2020, 2021, and 2023 were not recoverable from CrossRef search.</w:t>
      </w:r>
    </w:p>
    <w:p>
      <w:pPr>
        <w:pStyle w:val="BodyText"/>
      </w:pPr>
      <w:r>
        <w:rPr>
          <w:b/>
          <w:bCs/>
        </w:rPr>
        <w:t xml:space="preserve">Comparison with AAGL and SMFM for pipeline reuse:</w:t>
      </w:r>
    </w:p>
    <w:tbl>
      <w:tblPr>
        <w:tblStyle w:val="Table"/>
        <w:tblW w:type="pct" w:w="5000"/>
        <w:tblLayout w:type="fixed"/>
        <w:tblLook w:firstRow="1" w:lastRow="0" w:firstColumn="0" w:lastColumn="0" w:noHBand="0" w:noVBand="0" w:val="0020"/>
      </w:tblPr>
      <w:tblGrid>
        <w:gridCol w:w="1033"/>
        <w:gridCol w:w="1492"/>
        <w:gridCol w:w="1492"/>
        <w:gridCol w:w="1377"/>
        <w:gridCol w:w="2525"/>
      </w:tblGrid>
      <w:tr>
        <w:trPr>
          <w:tblHeader w:val="on"/>
        </w:trPr>
        <w:tc>
          <w:tcPr/>
          <w:p>
            <w:pPr>
              <w:pStyle w:val="Compact"/>
            </w:pPr>
            <w:r>
              <w:t xml:space="preserve">Feature</w:t>
            </w:r>
          </w:p>
        </w:tc>
        <w:tc>
          <w:tcPr/>
          <w:p>
            <w:pPr>
              <w:pStyle w:val="Compact"/>
            </w:pPr>
            <w:r>
              <w:t xml:space="preserve">AAGL (JMIG)</w:t>
            </w:r>
          </w:p>
        </w:tc>
        <w:tc>
          <w:tcPr/>
          <w:p>
            <w:pPr>
              <w:pStyle w:val="Compact"/>
            </w:pPr>
            <w:r>
              <w:t xml:space="preserve">SMFM (AJOG)</w:t>
            </w:r>
          </w:p>
        </w:tc>
        <w:tc>
          <w:tcPr/>
          <w:p>
            <w:pPr>
              <w:pStyle w:val="Compact"/>
            </w:pPr>
            <w:r>
              <w:t xml:space="preserve">ASRM (F&amp;S)</w:t>
            </w:r>
          </w:p>
        </w:tc>
        <w:tc>
          <w:tcPr/>
          <w:p>
            <w:pPr>
              <w:pStyle w:val="Compact"/>
            </w:pPr>
            <w:r>
              <w:t xml:space="preserve">AUGS (Urogynecology)</w:t>
            </w:r>
          </w:p>
        </w:tc>
      </w:tr>
      <w:tr>
        <w:tc>
          <w:tcPr/>
          <w:p>
            <w:pPr>
              <w:pStyle w:val="Compact"/>
            </w:pPr>
            <w:r>
              <w:t xml:space="preserve">Individual abstract DOIs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Elsevier/ScienceDirect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(LWW)</w:t>
            </w:r>
          </w:p>
        </w:tc>
      </w:tr>
      <w:tr>
        <w:tc>
          <w:tcPr/>
          <w:p>
            <w:pPr>
              <w:pStyle w:val="Compact"/>
            </w:pPr>
            <w:r>
              <w:t xml:space="preserve">DOI-chain search applicable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Affiliation backfill applicable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t xml:space="preserve">Auth required to browse</w:t>
            </w:r>
          </w:p>
        </w:tc>
        <w:tc>
          <w:tcPr/>
          <w:p>
            <w:pPr>
              <w:pStyle w:val="Compact"/>
            </w:pPr>
            <w:r>
              <w:t xml:space="preserve">No</w:t>
            </w:r>
          </w:p>
        </w:tc>
        <w:tc>
          <w:tcPr/>
          <w:p>
            <w:pPr>
              <w:pStyle w:val="Compact"/>
            </w:pPr>
            <w:r>
              <w:t xml:space="preserve">No</w:t>
            </w:r>
          </w:p>
        </w:tc>
        <w:tc>
          <w:tcPr/>
          <w:p>
            <w:pPr>
              <w:pStyle w:val="Compact"/>
            </w:pPr>
            <w:r>
              <w:rPr>
                <w:b/>
                <w:bCs/>
              </w:rPr>
              <w:t xml:space="preserve">Yes</w:t>
            </w:r>
          </w:p>
        </w:tc>
        <w:tc>
          <w:tcPr/>
          <w:p>
            <w:pPr>
              <w:pStyle w:val="Compact"/>
            </w:pPr>
            <w:r>
              <w:t xml:space="preserve">No</w:t>
            </w:r>
          </w:p>
        </w:tc>
      </w:tr>
      <w:tr>
        <w:tc>
          <w:tcPr/>
          <w:p>
            <w:pPr>
              <w:pStyle w:val="Compact"/>
            </w:pPr>
            <w:r>
              <w:t xml:space="preserve">CrossRef abstract count (avg/year)</w:t>
            </w:r>
          </w:p>
        </w:tc>
        <w:tc>
          <w:tcPr/>
          <w:p>
            <w:pPr>
              <w:pStyle w:val="Compact"/>
            </w:pPr>
            <w:r>
              <w:t xml:space="preserve">~90</w:t>
            </w:r>
          </w:p>
        </w:tc>
        <w:tc>
          <w:tcPr/>
          <w:p>
            <w:pPr>
              <w:pStyle w:val="Compact"/>
            </w:pPr>
            <w:r>
              <w:t xml:space="preserve">~500</w:t>
            </w:r>
          </w:p>
        </w:tc>
        <w:tc>
          <w:tcPr/>
          <w:p>
            <w:pPr>
              <w:pStyle w:val="Compact"/>
            </w:pPr>
            <w:r>
              <w:t xml:space="preserve">~1,300</w:t>
            </w:r>
          </w:p>
        </w:tc>
        <w:tc>
          <w:tcPr/>
          <w:p>
            <w:pPr>
              <w:pStyle w:val="Compact"/>
            </w:pPr>
            <w:r>
              <w:t xml:space="preserve">~400</w:t>
            </w:r>
          </w:p>
        </w:tc>
      </w:tr>
    </w:tbl>
    <w:p>
      <w:pPr>
        <w:pStyle w:val="BodyText"/>
      </w:pPr>
      <w:r>
        <w:t xml:space="preserve">ASRM is the largest of the four societies by abstract volume (~1,100–2,000/year vs. ~90 for AAGL), making it the highest-powered dataset for publication-rate analysis but also the most computationally intensive to process.</w:t>
      </w:r>
    </w:p>
    <w:bookmarkEnd w:id="93"/>
    <w:bookmarkStart w:id="105" w:name="Xe76bb52889b8f468b0dbf41a7eaa3b845bc40a9"/>
    <w:p>
      <w:pPr>
        <w:pStyle w:val="Heading3"/>
      </w:pPr>
      <w:r>
        <w:t xml:space="preserve">A11.12 Society of Family Planning (SFP) Abstract URLs (2013–2023)</w:t>
      </w:r>
    </w:p>
    <w:p>
      <w:pPr>
        <w:pStyle w:val="FirstParagraph"/>
      </w:pPr>
      <w:r>
        <w:t xml:space="preserve">SFP (Society of Family Planning) annual meeting abstracts are published in</w:t>
      </w:r>
      <w:r>
        <w:t xml:space="preserve"> </w:t>
      </w:r>
      <w:r>
        <w:rPr>
          <w:i/>
          <w:iCs/>
        </w:rPr>
        <w:t xml:space="preserve">Contraception</w:t>
      </w:r>
      <w:r>
        <w:t xml:space="preserve"> </w:t>
      </w:r>
      <w:r>
        <w:t xml:space="preserve">(ISSN 0010-7824, Elsevier) as one or two regular journal articles — not as a supplement issue. This is a structurally different publication model from SMFM and ASRM:</w:t>
      </w:r>
    </w:p>
    <w:p>
      <w:pPr>
        <w:pStyle w:val="Compact"/>
        <w:numPr>
          <w:ilvl w:val="0"/>
          <w:numId w:val="1008"/>
        </w:numPr>
      </w:pPr>
      <w:r>
        <w:rPr>
          <w:b/>
          <w:bCs/>
        </w:rPr>
        <w:t xml:space="preserve">Abstract collection article:</w:t>
      </w:r>
      <w:r>
        <w:t xml:space="preserve"> </w:t>
      </w:r>
      <w:r>
        <w:t xml:space="preserve">All submitted abstracts published as a single article with one DOI</w:t>
      </w:r>
    </w:p>
    <w:p>
      <w:pPr>
        <w:pStyle w:val="Compact"/>
        <w:numPr>
          <w:ilvl w:val="0"/>
          <w:numId w:val="1008"/>
        </w:numPr>
      </w:pPr>
      <w:r>
        <w:rPr>
          <w:b/>
          <w:bCs/>
        </w:rPr>
        <w:t xml:space="preserve">Featured research article:</w:t>
      </w:r>
      <w:r>
        <w:t xml:space="preserve"> </w:t>
      </w:r>
      <w:r>
        <w:t xml:space="preserve">Selected high-scoring abstracts published as a companion article with a separate DOI (introduced ~2018)</w:t>
      </w:r>
    </w:p>
    <w:p>
      <w:pPr>
        <w:pStyle w:val="Compact"/>
        <w:numPr>
          <w:ilvl w:val="0"/>
          <w:numId w:val="1008"/>
        </w:numPr>
      </w:pPr>
      <w:r>
        <w:rPr>
          <w:b/>
          <w:bCs/>
        </w:rPr>
        <w:t xml:space="preserve">Individual abstracts do NOT have unique DOIs</w:t>
      </w:r>
      <w:r>
        <w:t xml:space="preserve"> </w:t>
      </w:r>
      <w:r>
        <w:t xml:space="preserve">— the entire collection shares one DOI per year</w:t>
      </w:r>
    </w:p>
    <w:p>
      <w:pPr>
        <w:pStyle w:val="FirstParagraph"/>
      </w:pPr>
      <w:r>
        <w:t xml:space="preserve">The meeting was called the</w:t>
      </w:r>
      <w:r>
        <w:t xml:space="preserve"> </w:t>
      </w:r>
      <w:r>
        <w:rPr>
          <w:b/>
          <w:bCs/>
        </w:rPr>
        <w:t xml:space="preserve">North American Forum on Family Planning (NAFP)</w:t>
      </w:r>
      <w:r>
        <w:t xml:space="preserve"> </w:t>
      </w:r>
      <w:r>
        <w:t xml:space="preserve">through 2018, then renamed to the</w:t>
      </w:r>
      <w:r>
        <w:t xml:space="preserve"> </w:t>
      </w:r>
      <w:r>
        <w:rPr>
          <w:b/>
          <w:bCs/>
        </w:rPr>
        <w:t xml:space="preserve">SFP Annual Meeting</w:t>
      </w:r>
      <w:r>
        <w:t xml:space="preserve"> </w:t>
      </w:r>
      <w:r>
        <w:t xml:space="preserve">starting 2019. Abstract collections for 2013 and 2014 could not be located in PubMed or ScienceDirect; these years may not have been published in</w:t>
      </w:r>
      <w:r>
        <w:t xml:space="preserve"> </w:t>
      </w:r>
      <w:r>
        <w:rPr>
          <w:i/>
          <w:iCs/>
        </w:rPr>
        <w:t xml:space="preserve">Contraception</w:t>
      </w:r>
      <w:r>
        <w:t xml:space="preserve"> </w:t>
      </w:r>
      <w:r>
        <w:t xml:space="preserve">or may have appeared in a different format. A 2017</w:t>
      </w:r>
      <w:r>
        <w:t xml:space="preserve"> </w:t>
      </w:r>
      <w:r>
        <w:t xml:space="preserve">“TEMPORARY REMOVAL”</w:t>
      </w:r>
      <w:r>
        <w:t xml:space="preserve"> </w:t>
      </w:r>
      <w:r>
        <w:t xml:space="preserve">notice on PubMed may indicate a correction or republication.</w:t>
      </w:r>
    </w:p>
    <w:tbl>
      <w:tblPr>
        <w:tblStyle w:val="Table"/>
        <w:tblW w:type="pct" w:w="5000"/>
        <w:tblLayout w:type="fixed"/>
        <w:tblLook w:firstRow="1" w:lastRow="0" w:firstColumn="0" w:lastColumn="0" w:noHBand="0" w:noVBand="0" w:val="0020"/>
      </w:tblPr>
      <w:tblGrid>
        <w:gridCol w:w="688"/>
        <w:gridCol w:w="1033"/>
        <w:gridCol w:w="2754"/>
        <w:gridCol w:w="2525"/>
        <w:gridCol w:w="918"/>
      </w:tblGrid>
      <w:tr>
        <w:trPr>
          <w:tblHeader w:val="on"/>
        </w:trPr>
        <w:tc>
          <w:tcPr/>
          <w:p>
            <w:pPr>
              <w:pStyle w:val="Compact"/>
            </w:pPr>
            <w:r>
              <w:t xml:space="preserve">Year</w:t>
            </w:r>
          </w:p>
        </w:tc>
        <w:tc>
          <w:tcPr/>
          <w:p>
            <w:pPr>
              <w:pStyle w:val="Compact"/>
            </w:pPr>
            <w:r>
              <w:t xml:space="preserve">Meeting</w:t>
            </w:r>
          </w:p>
        </w:tc>
        <w:tc>
          <w:tcPr/>
          <w:p>
            <w:pPr>
              <w:pStyle w:val="Compact"/>
            </w:pPr>
            <w:r>
              <w:t xml:space="preserve">Abstract Collection DOI</w:t>
            </w:r>
          </w:p>
        </w:tc>
        <w:tc>
          <w:tcPr/>
          <w:p>
            <w:pPr>
              <w:pStyle w:val="Compact"/>
            </w:pPr>
            <w:r>
              <w:t xml:space="preserve">Featured Research DOI</w:t>
            </w:r>
          </w:p>
        </w:tc>
        <w:tc>
          <w:tcPr/>
          <w:p>
            <w:pPr>
              <w:pStyle w:val="Compact"/>
            </w:pPr>
            <w:r>
              <w:t xml:space="preserve">PubMed</w:t>
            </w:r>
          </w:p>
        </w:tc>
      </w:tr>
      <w:tr>
        <w:tc>
          <w:tcPr/>
          <w:p>
            <w:pPr>
              <w:pStyle w:val="Compact"/>
            </w:pPr>
            <w:r>
              <w:t xml:space="preserve">2023</w:t>
            </w:r>
          </w:p>
        </w:tc>
        <w:tc>
          <w:tcPr/>
          <w:p>
            <w:pPr>
              <w:pStyle w:val="Compact"/>
            </w:pPr>
            <w:r>
              <w:t xml:space="preserve">SFP Annual</w:t>
            </w:r>
          </w:p>
        </w:tc>
        <w:tc>
          <w:tcPr/>
          <w:p>
            <w:pPr>
              <w:pStyle w:val="Compact"/>
            </w:pPr>
            <w:r>
              <w:t xml:space="preserve">10.1016/j.contraception.2023.110145</w:t>
            </w:r>
          </w:p>
        </w:tc>
        <w:tc>
          <w:tcPr/>
          <w:p>
            <w:pPr>
              <w:pStyle w:val="Compact"/>
            </w:pPr>
            <w:r>
              <w:t xml:space="preserve">10.1016/j.contraception.2023.110144</w:t>
            </w:r>
          </w:p>
        </w:tc>
        <w:tc>
          <w:tcPr/>
          <w:p>
            <w:pPr>
              <w:pStyle w:val="Compact"/>
            </w:pPr>
            <w:hyperlink r:id="rId94">
              <w:r>
                <w:rPr>
                  <w:rStyle w:val="Hyperlink"/>
                </w:rPr>
                <w:t xml:space="preserve">https://pubmed.ncbi.nlm.nih.gov/37821000/</w:t>
              </w:r>
            </w:hyperlink>
          </w:p>
        </w:tc>
      </w:tr>
      <w:tr>
        <w:tc>
          <w:tcPr/>
          <w:p>
            <w:pPr>
              <w:pStyle w:val="Compact"/>
            </w:pPr>
            <w:r>
              <w:t xml:space="preserve">2022</w:t>
            </w:r>
          </w:p>
        </w:tc>
        <w:tc>
          <w:tcPr/>
          <w:p>
            <w:pPr>
              <w:pStyle w:val="Compact"/>
            </w:pPr>
            <w:r>
              <w:t xml:space="preserve">SFP Annual</w:t>
            </w:r>
          </w:p>
        </w:tc>
        <w:tc>
          <w:tcPr/>
          <w:p>
            <w:pPr>
              <w:pStyle w:val="Compact"/>
            </w:pPr>
            <w:r>
              <w:t xml:space="preserve">10.1016/j.contraception.2022.10.001</w:t>
            </w:r>
          </w:p>
        </w:tc>
        <w:tc>
          <w:tcPr/>
          <w:p>
            <w:pPr>
              <w:pStyle w:val="Compact"/>
            </w:pPr>
            <w:r>
              <w:t xml:space="preserve">10.1016/j.contraception.2022.09.004</w:t>
            </w:r>
          </w:p>
        </w:tc>
        <w:tc>
          <w:tcPr/>
          <w:p>
            <w:pPr>
              <w:pStyle w:val="Compact"/>
            </w:pPr>
            <w:hyperlink r:id="rId95">
              <w:r>
                <w:rPr>
                  <w:rStyle w:val="Hyperlink"/>
                </w:rPr>
                <w:t xml:space="preserve">https://pubmed.ncbi.nlm.nih.gov/36403795/</w:t>
              </w:r>
            </w:hyperlink>
          </w:p>
        </w:tc>
      </w:tr>
      <w:tr>
        <w:tc>
          <w:tcPr/>
          <w:p>
            <w:pPr>
              <w:pStyle w:val="Compact"/>
            </w:pPr>
            <w:r>
              <w:t xml:space="preserve">2021</w:t>
            </w:r>
          </w:p>
        </w:tc>
        <w:tc>
          <w:tcPr/>
          <w:p>
            <w:pPr>
              <w:pStyle w:val="Compact"/>
            </w:pPr>
            <w:r>
              <w:t xml:space="preserve">SFP Annual</w:t>
            </w:r>
          </w:p>
        </w:tc>
        <w:tc>
          <w:tcPr/>
          <w:p>
            <w:pPr>
              <w:pStyle w:val="Compact"/>
            </w:pPr>
            <w:r>
              <w:t xml:space="preserve">10.1016/j.contraception.2021.07.006</w:t>
            </w:r>
          </w:p>
        </w:tc>
        <w:tc>
          <w:tcPr/>
          <w:p>
            <w:pPr>
              <w:pStyle w:val="Compact"/>
            </w:pPr>
            <w:r>
              <w:t xml:space="preserve">10.1016/j.contraception.2021.07.007</w:t>
            </w:r>
          </w:p>
        </w:tc>
        <w:tc>
          <w:tcPr/>
          <w:p>
            <w:pPr>
              <w:pStyle w:val="Compact"/>
            </w:pPr>
            <w:hyperlink r:id="rId96">
              <w:r>
                <w:rPr>
                  <w:rStyle w:val="Hyperlink"/>
                </w:rPr>
                <w:t xml:space="preserve">https://pubmed.ncbi.nlm.nih.gov/34289414/</w:t>
              </w:r>
            </w:hyperlink>
          </w:p>
        </w:tc>
      </w:tr>
      <w:tr>
        <w:tc>
          <w:tcPr/>
          <w:p>
            <w:pPr>
              <w:pStyle w:val="Compact"/>
            </w:pPr>
            <w:r>
              <w:t xml:space="preserve">2020</w:t>
            </w:r>
          </w:p>
        </w:tc>
        <w:tc>
          <w:tcPr/>
          <w:p>
            <w:pPr>
              <w:pStyle w:val="Compact"/>
            </w:pPr>
            <w:r>
              <w:t xml:space="preserve">SFP Annual</w:t>
            </w:r>
          </w:p>
        </w:tc>
        <w:tc>
          <w:tcPr/>
          <w:p>
            <w:pPr>
              <w:pStyle w:val="Compact"/>
            </w:pPr>
            <w:r>
              <w:t xml:space="preserve">10.1016/j.contraception.2020.07.008</w:t>
            </w:r>
          </w:p>
        </w:tc>
        <w:tc>
          <w:tcPr/>
          <w:p>
            <w:pPr>
              <w:pStyle w:val="Compact"/>
            </w:pPr>
            <w:r>
              <w:t xml:space="preserve">10.1016/j.contraception.2020.07.007</w:t>
            </w:r>
          </w:p>
        </w:tc>
        <w:tc>
          <w:tcPr/>
          <w:p>
            <w:pPr>
              <w:pStyle w:val="Compact"/>
            </w:pPr>
            <w:hyperlink r:id="rId97">
              <w:r>
                <w:rPr>
                  <w:rStyle w:val="Hyperlink"/>
                </w:rPr>
                <w:t xml:space="preserve">https://pubmed.ncbi.nlm.nih.gov/32707100/</w:t>
              </w:r>
            </w:hyperlink>
          </w:p>
        </w:tc>
      </w:tr>
      <w:tr>
        <w:tc>
          <w:tcPr/>
          <w:p>
            <w:pPr>
              <w:pStyle w:val="Compact"/>
            </w:pPr>
            <w:r>
              <w:t xml:space="preserve">2019</w:t>
            </w:r>
          </w:p>
        </w:tc>
        <w:tc>
          <w:tcPr/>
          <w:p>
            <w:pPr>
              <w:pStyle w:val="Compact"/>
            </w:pPr>
            <w:r>
              <w:t xml:space="preserve">SFP Annual</w:t>
            </w:r>
          </w:p>
        </w:tc>
        <w:tc>
          <w:tcPr/>
          <w:p>
            <w:pPr>
              <w:pStyle w:val="Compact"/>
            </w:pPr>
            <w:r>
              <w:t xml:space="preserve">10.1016/j.contraception.2019.07.008</w:t>
            </w:r>
          </w:p>
        </w:tc>
        <w:tc>
          <w:tcPr/>
          <w:p>
            <w:pPr>
              <w:pStyle w:val="Compact"/>
            </w:pPr>
            <w:r>
              <w:t xml:space="preserve">10.1016/j.contraception.2019.07.007</w:t>
            </w:r>
          </w:p>
        </w:tc>
        <w:tc>
          <w:tcPr/>
          <w:p>
            <w:pPr>
              <w:pStyle w:val="Compact"/>
            </w:pPr>
            <w:hyperlink r:id="rId98">
              <w:r>
                <w:rPr>
                  <w:rStyle w:val="Hyperlink"/>
                </w:rPr>
                <w:t xml:space="preserve">https://pubmed.ncbi.nlm.nih.gov/31348904/</w:t>
              </w:r>
            </w:hyperlink>
          </w:p>
        </w:tc>
      </w:tr>
      <w:tr>
        <w:tc>
          <w:tcPr/>
          <w:p>
            <w:pPr>
              <w:pStyle w:val="Compact"/>
            </w:pPr>
            <w:r>
              <w:t xml:space="preserve">2018</w:t>
            </w:r>
          </w:p>
        </w:tc>
        <w:tc>
          <w:tcPr/>
          <w:p>
            <w:pPr>
              <w:pStyle w:val="Compact"/>
            </w:pPr>
            <w:r>
              <w:t xml:space="preserve">NAFP (8th)</w:t>
            </w:r>
          </w:p>
        </w:tc>
        <w:tc>
          <w:tcPr/>
          <w:p>
            <w:pPr>
              <w:pStyle w:val="Compact"/>
            </w:pPr>
            <w:r>
              <w:t xml:space="preserve">10.1016/j.contraception.2018.07.006</w:t>
            </w:r>
          </w:p>
        </w:tc>
        <w:tc>
          <w:tcPr/>
          <w:p>
            <w:pPr>
              <w:pStyle w:val="Compact"/>
            </w:pPr>
            <w:r>
              <w:t xml:space="preserve">10.1016/j.contraception.2018.07.005</w:t>
            </w:r>
          </w:p>
        </w:tc>
        <w:tc>
          <w:tcPr/>
          <w:p>
            <w:pPr>
              <w:pStyle w:val="Compact"/>
            </w:pPr>
            <w:hyperlink r:id="rId99">
              <w:r>
                <w:rPr>
                  <w:rStyle w:val="Hyperlink"/>
                </w:rPr>
                <w:t xml:space="preserve">https://pubmed.ncbi.nlm.nih.gov/30031792/</w:t>
              </w:r>
            </w:hyperlink>
          </w:p>
        </w:tc>
      </w:tr>
      <w:tr>
        <w:tc>
          <w:tcPr/>
          <w:p>
            <w:pPr>
              <w:pStyle w:val="Compact"/>
            </w:pPr>
            <w:r>
              <w:t xml:space="preserve">2017</w:t>
            </w:r>
          </w:p>
        </w:tc>
        <w:tc>
          <w:tcPr/>
          <w:p>
            <w:pPr>
              <w:pStyle w:val="Compact"/>
            </w:pPr>
            <w:r>
              <w:t xml:space="preserve">NAFP (7th)</w:t>
            </w:r>
          </w:p>
        </w:tc>
        <w:tc>
          <w:tcPr/>
          <w:p>
            <w:pPr>
              <w:pStyle w:val="Compact"/>
            </w:pPr>
            <w:r>
              <w:t xml:space="preserve">10.1016/j.contraception.2017.07.163</w:t>
            </w:r>
          </w:p>
        </w:tc>
        <w:tc>
          <w:tcPr/>
          <w:p>
            <w:pPr>
              <w:pStyle w:val="Compact"/>
            </w:pPr>
            <w:r>
              <w:t xml:space="preserve">—</w:t>
            </w:r>
          </w:p>
        </w:tc>
        <w:tc>
          <w:tcPr/>
          <w:p>
            <w:pPr>
              <w:pStyle w:val="Compact"/>
            </w:pPr>
            <w:hyperlink r:id="rId100">
              <w:r>
                <w:rPr>
                  <w:rStyle w:val="Hyperlink"/>
                </w:rPr>
                <w:t xml:space="preserve">https://pubmed.ncbi.nlm.nih.gov/28757435/</w:t>
              </w:r>
            </w:hyperlink>
          </w:p>
        </w:tc>
      </w:tr>
      <w:tr>
        <w:tc>
          <w:tcPr/>
          <w:p>
            <w:pPr>
              <w:pStyle w:val="Compact"/>
            </w:pPr>
            <w:r>
              <w:t xml:space="preserve">2016</w:t>
            </w:r>
          </w:p>
        </w:tc>
        <w:tc>
          <w:tcPr/>
          <w:p>
            <w:pPr>
              <w:pStyle w:val="Compact"/>
            </w:pPr>
            <w:r>
              <w:t xml:space="preserve">NAFP (6th)</w:t>
            </w:r>
          </w:p>
        </w:tc>
        <w:tc>
          <w:tcPr/>
          <w:p>
            <w:pPr>
              <w:pStyle w:val="Compact"/>
            </w:pPr>
            <w:r>
              <w:t xml:space="preserve">10.1016/j.contraception.2016.07.189</w:t>
            </w:r>
          </w:p>
        </w:tc>
        <w:tc>
          <w:tcPr/>
          <w:p>
            <w:pPr>
              <w:pStyle w:val="Compact"/>
            </w:pPr>
            <w:r>
              <w:t xml:space="preserve">—</w:t>
            </w:r>
          </w:p>
        </w:tc>
        <w:tc>
          <w:tcPr/>
          <w:p>
            <w:pPr>
              <w:pStyle w:val="Compact"/>
            </w:pPr>
            <w:hyperlink r:id="rId101">
              <w:r>
                <w:rPr>
                  <w:rStyle w:val="Hyperlink"/>
                </w:rPr>
                <w:t xml:space="preserve">https://pubmed.ncbi.nlm.nih.gov/27477065/</w:t>
              </w:r>
            </w:hyperlink>
          </w:p>
        </w:tc>
      </w:tr>
      <w:tr>
        <w:tc>
          <w:tcPr/>
          <w:p>
            <w:pPr>
              <w:pStyle w:val="Compact"/>
            </w:pPr>
            <w:r>
              <w:t xml:space="preserve">2015</w:t>
            </w:r>
          </w:p>
        </w:tc>
        <w:tc>
          <w:tcPr/>
          <w:p>
            <w:pPr>
              <w:pStyle w:val="Compact"/>
            </w:pPr>
            <w:r>
              <w:t xml:space="preserve">NAFP (5th)</w:t>
            </w:r>
          </w:p>
        </w:tc>
        <w:tc>
          <w:tcPr/>
          <w:p>
            <w:pPr>
              <w:pStyle w:val="Compact"/>
            </w:pPr>
            <w:r>
              <w:t xml:space="preserve">10.1016/j.contraception.2015.06.024</w:t>
            </w:r>
          </w:p>
        </w:tc>
        <w:tc>
          <w:tcPr/>
          <w:p>
            <w:pPr>
              <w:pStyle w:val="Compact"/>
            </w:pPr>
            <w:r>
              <w:t xml:space="preserve">—</w:t>
            </w:r>
          </w:p>
        </w:tc>
        <w:tc>
          <w:tcPr/>
          <w:p>
            <w:pPr>
              <w:pStyle w:val="Compact"/>
            </w:pPr>
            <w:hyperlink r:id="rId102">
              <w:r>
                <w:rPr>
                  <w:rStyle w:val="Hyperlink"/>
                </w:rPr>
                <w:t xml:space="preserve">https://pubmed.ncbi.nlm.nih.gov/26141818/</w:t>
              </w:r>
            </w:hyperlink>
          </w:p>
        </w:tc>
      </w:tr>
      <w:tr>
        <w:tc>
          <w:tcPr/>
          <w:p>
            <w:pPr>
              <w:pStyle w:val="Compact"/>
            </w:pPr>
            <w:r>
              <w:t xml:space="preserve">2014</w:t>
            </w:r>
          </w:p>
        </w:tc>
        <w:tc>
          <w:tcPr/>
          <w:p>
            <w:pPr>
              <w:pStyle w:val="Compact"/>
            </w:pPr>
            <w:r>
              <w:t xml:space="preserve">NAFP (4th)</w:t>
            </w:r>
          </w:p>
        </w:tc>
        <w:tc>
          <w:tcPr/>
          <w:p>
            <w:pPr>
              <w:pStyle w:val="Compact"/>
            </w:pPr>
            <w:r>
              <w:t xml:space="preserve">Not found</w:t>
            </w:r>
          </w:p>
        </w:tc>
        <w:tc>
          <w:tcPr/>
          <w:p>
            <w:pPr>
              <w:pStyle w:val="Compact"/>
            </w:pPr>
            <w:r>
              <w:t xml:space="preserve">—</w:t>
            </w:r>
          </w:p>
        </w:tc>
        <w:tc>
          <w:tcPr/>
          <w:p>
            <w:pPr>
              <w:pStyle w:val="Compact"/>
            </w:pPr>
            <w:r>
              <w:t xml:space="preserve">—</w:t>
            </w:r>
          </w:p>
        </w:tc>
      </w:tr>
      <w:tr>
        <w:tc>
          <w:tcPr/>
          <w:p>
            <w:pPr>
              <w:pStyle w:val="Compact"/>
            </w:pPr>
            <w:r>
              <w:t xml:space="preserve">2013</w:t>
            </w:r>
          </w:p>
        </w:tc>
        <w:tc>
          <w:tcPr/>
          <w:p>
            <w:pPr>
              <w:pStyle w:val="Compact"/>
            </w:pPr>
            <w:r>
              <w:t xml:space="preserve">NAFP (3rd)</w:t>
            </w:r>
          </w:p>
        </w:tc>
        <w:tc>
          <w:tcPr/>
          <w:p>
            <w:pPr>
              <w:pStyle w:val="Compact"/>
            </w:pPr>
            <w:r>
              <w:t xml:space="preserve">Not found</w:t>
            </w:r>
          </w:p>
        </w:tc>
        <w:tc>
          <w:tcPr/>
          <w:p>
            <w:pPr>
              <w:pStyle w:val="Compact"/>
            </w:pPr>
            <w:r>
              <w:t xml:space="preserve">—</w:t>
            </w:r>
          </w:p>
        </w:tc>
        <w:tc>
          <w:tcPr/>
          <w:p>
            <w:pPr>
              <w:pStyle w:val="Compact"/>
            </w:pPr>
            <w:r>
              <w:t xml:space="preserve">—</w:t>
            </w:r>
          </w:p>
        </w:tc>
      </w:tr>
    </w:tbl>
    <w:p>
      <w:pPr>
        <w:pStyle w:val="BodyText"/>
      </w:pPr>
      <w:r>
        <w:rPr>
          <w:b/>
          <w:bCs/>
        </w:rPr>
        <w:t xml:space="preserve">Pipeline implications:</w:t>
      </w:r>
      <w:r>
        <w:t xml:space="preserve"> </w:t>
      </w:r>
      <w:r>
        <w:t xml:space="preserve">Because individual SFP abstracts lack unique DOIs, the DOI-chain search (</w:t>
      </w:r>
      <w:r>
        <w:rPr>
          <w:rStyle w:val="VerbatimChar"/>
        </w:rPr>
        <w:t xml:space="preserve">03c_doi_chain_search.R</w:t>
      </w:r>
      <w:r>
        <w:t xml:space="preserve">) and ScienceDirect-level affiliation backfill cannot be applied per abstract. Abstract ingestion would require parsing the full-text HTML of the collection article to extract individual abstracts and authors, then matching each against PubMed and CrossRef by title/author string — the same strategy used for AUGS. The abstract collection articles are freely accessible via PubMed and resolvable via</w:t>
      </w:r>
      <w:r>
        <w:t xml:space="preserve"> </w:t>
      </w:r>
      <w:r>
        <w:rPr>
          <w:rStyle w:val="VerbatimChar"/>
        </w:rPr>
        <w:t xml:space="preserve">https://doi.org/10.1016/j.contraception.YYYY.MM.NNN</w:t>
      </w:r>
      <w:r>
        <w:t xml:space="preserve">.</w:t>
      </w:r>
    </w:p>
    <w:p>
      <w:pPr>
        <w:pStyle w:val="BodyText"/>
      </w:pPr>
      <w:r>
        <w:rPr>
          <w:b/>
          <w:bCs/>
        </w:rPr>
        <w:t xml:space="preserve">Comparison across all five societies:</w:t>
      </w:r>
    </w:p>
    <w:tbl>
      <w:tblPr>
        <w:tblStyle w:val="Table"/>
        <w:tblW w:type="pct" w:w="5000"/>
        <w:tblLayout w:type="fixed"/>
        <w:tblLook w:firstRow="1" w:lastRow="0" w:firstColumn="0" w:lastColumn="0" w:noHBand="0" w:noVBand="0" w:val="0020"/>
      </w:tblPr>
      <w:tblGrid>
        <w:gridCol w:w="792"/>
        <w:gridCol w:w="1144"/>
        <w:gridCol w:w="1144"/>
        <w:gridCol w:w="1056"/>
        <w:gridCol w:w="1936"/>
        <w:gridCol w:w="1848"/>
      </w:tblGrid>
      <w:tr>
        <w:trPr>
          <w:tblHeader w:val="on"/>
        </w:trPr>
        <w:tc>
          <w:tcPr/>
          <w:p>
            <w:pPr>
              <w:pStyle w:val="Compact"/>
            </w:pPr>
            <w:r>
              <w:t xml:space="preserve">Feature</w:t>
            </w:r>
          </w:p>
        </w:tc>
        <w:tc>
          <w:tcPr/>
          <w:p>
            <w:pPr>
              <w:pStyle w:val="Compact"/>
            </w:pPr>
            <w:r>
              <w:t xml:space="preserve">AAGL (JMIG)</w:t>
            </w:r>
          </w:p>
        </w:tc>
        <w:tc>
          <w:tcPr/>
          <w:p>
            <w:pPr>
              <w:pStyle w:val="Compact"/>
            </w:pPr>
            <w:r>
              <w:t xml:space="preserve">SMFM (AJOG)</w:t>
            </w:r>
          </w:p>
        </w:tc>
        <w:tc>
          <w:tcPr/>
          <w:p>
            <w:pPr>
              <w:pStyle w:val="Compact"/>
            </w:pPr>
            <w:r>
              <w:t xml:space="preserve">ASRM (F&amp;S)</w:t>
            </w:r>
          </w:p>
        </w:tc>
        <w:tc>
          <w:tcPr/>
          <w:p>
            <w:pPr>
              <w:pStyle w:val="Compact"/>
            </w:pPr>
            <w:r>
              <w:t xml:space="preserve">AUGS (Urogynecology)</w:t>
            </w:r>
          </w:p>
        </w:tc>
        <w:tc>
          <w:tcPr/>
          <w:p>
            <w:pPr>
              <w:pStyle w:val="Compact"/>
            </w:pPr>
            <w:r>
              <w:t xml:space="preserve">SFP (Contraception)</w:t>
            </w:r>
          </w:p>
        </w:tc>
      </w:tr>
      <w:tr>
        <w:tc>
          <w:tcPr/>
          <w:p>
            <w:pPr>
              <w:pStyle w:val="Compact"/>
            </w:pPr>
            <w:r>
              <w:t xml:space="preserve">Individual abstract DOIs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Elsevier/ScienceDirect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(LWW)</w:t>
            </w:r>
          </w:p>
        </w:tc>
        <w:tc>
          <w:tcPr/>
          <w:p>
            <w:pPr>
              <w:pStyle w:val="Compact"/>
            </w:pPr>
            <w:r>
              <w:t xml:space="preserve">Yes</w:t>
            </w:r>
          </w:p>
        </w:tc>
      </w:tr>
      <w:tr>
        <w:tc>
          <w:tcPr/>
          <w:p>
            <w:pPr>
              <w:pStyle w:val="Compact"/>
            </w:pPr>
            <w:r>
              <w:t xml:space="preserve">DOI-chain search applicable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Affiliation backfill applicable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Partial</w:t>
            </w:r>
          </w:p>
        </w:tc>
      </w:tr>
      <w:tr>
        <w:tc>
          <w:tcPr/>
          <w:p>
            <w:pPr>
              <w:pStyle w:val="Compact"/>
            </w:pPr>
            <w:r>
              <w:t xml:space="preserve">Auth required to browse</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 (via PubMed)</w:t>
            </w:r>
          </w:p>
        </w:tc>
      </w:tr>
      <w:tr>
        <w:tc>
          <w:tcPr/>
          <w:p>
            <w:pPr>
              <w:pStyle w:val="Compact"/>
            </w:pPr>
            <w:r>
              <w:t xml:space="preserve">Avg abstracts/year</w:t>
            </w:r>
          </w:p>
        </w:tc>
        <w:tc>
          <w:tcPr/>
          <w:p>
            <w:pPr>
              <w:pStyle w:val="Compact"/>
            </w:pPr>
            <w:r>
              <w:t xml:space="preserve">~90</w:t>
            </w:r>
          </w:p>
        </w:tc>
        <w:tc>
          <w:tcPr/>
          <w:p>
            <w:pPr>
              <w:pStyle w:val="Compact"/>
            </w:pPr>
            <w:r>
              <w:t xml:space="preserve">~500</w:t>
            </w:r>
          </w:p>
        </w:tc>
        <w:tc>
          <w:tcPr/>
          <w:p>
            <w:pPr>
              <w:pStyle w:val="Compact"/>
            </w:pPr>
            <w:r>
              <w:t xml:space="preserve">~1,200</w:t>
            </w:r>
          </w:p>
        </w:tc>
        <w:tc>
          <w:tcPr/>
          <w:p>
            <w:pPr>
              <w:pStyle w:val="Compact"/>
            </w:pPr>
            <w:r>
              <w:t xml:space="preserve">~400</w:t>
            </w:r>
          </w:p>
        </w:tc>
        <w:tc>
          <w:tcPr/>
          <w:p>
            <w:pPr>
              <w:pStyle w:val="Compact"/>
            </w:pPr>
            <w:r>
              <w:t xml:space="preserve">~300</w:t>
            </w:r>
          </w:p>
        </w:tc>
      </w:tr>
      <w:tr>
        <w:tc>
          <w:tcPr/>
          <w:p>
            <w:pPr>
              <w:pStyle w:val="Compact"/>
            </w:pPr>
            <w:r>
              <w:t xml:space="preserve">Abstract collection format</w:t>
            </w:r>
          </w:p>
        </w:tc>
        <w:tc>
          <w:tcPr/>
          <w:p>
            <w:pPr>
              <w:pStyle w:val="Compact"/>
            </w:pPr>
            <w:r>
              <w:t xml:space="preserve">Supplement</w:t>
            </w:r>
          </w:p>
        </w:tc>
        <w:tc>
          <w:tcPr/>
          <w:p>
            <w:pPr>
              <w:pStyle w:val="Compact"/>
            </w:pPr>
            <w:r>
              <w:t xml:space="preserve">Supplement</w:t>
            </w:r>
          </w:p>
        </w:tc>
        <w:tc>
          <w:tcPr/>
          <w:p>
            <w:pPr>
              <w:pStyle w:val="Compact"/>
            </w:pPr>
            <w:r>
              <w:t xml:space="preserve">Supplement</w:t>
            </w:r>
          </w:p>
        </w:tc>
        <w:tc>
          <w:tcPr/>
          <w:p>
            <w:pPr>
              <w:pStyle w:val="Compact"/>
            </w:pPr>
            <w:r>
              <w:t xml:space="preserve">Supplement</w:t>
            </w:r>
          </w:p>
        </w:tc>
        <w:tc>
          <w:tcPr/>
          <w:p>
            <w:pPr>
              <w:pStyle w:val="Compact"/>
            </w:pPr>
            <w:r>
              <w:t xml:space="preserve">Regular article</w:t>
            </w:r>
          </w:p>
        </w:tc>
      </w:tr>
    </w:tbl>
    <w:p>
      <w:pPr>
        <w:pStyle w:val="BodyText"/>
      </w:pPr>
      <w:r>
        <w:rPr>
          <w:i/>
          <w:iCs/>
        </w:rPr>
        <w:t xml:space="preserve">Sources:</w:t>
      </w:r>
      <w:r>
        <w:rPr>
          <w:i/>
          <w:iCs/>
        </w:rPr>
        <w:t xml:space="preserve"> </w:t>
      </w:r>
      <w:hyperlink r:id="rId103">
        <w:r>
          <w:rPr>
            <w:rStyle w:val="Hyperlink"/>
            <w:i/>
            <w:iCs/>
          </w:rPr>
          <w:t xml:space="preserve">https://societyfp.org/learning/annual-meeting/</w:t>
        </w:r>
      </w:hyperlink>
      <w:r>
        <w:rPr>
          <w:i/>
          <w:iCs/>
        </w:rPr>
        <w:t xml:space="preserve">;</w:t>
      </w:r>
      <w:r>
        <w:rPr>
          <w:i/>
          <w:iCs/>
        </w:rPr>
        <w:t xml:space="preserve"> </w:t>
      </w:r>
      <w:hyperlink r:id="rId94">
        <w:r>
          <w:rPr>
            <w:rStyle w:val="Hyperlink"/>
            <w:i/>
            <w:iCs/>
          </w:rPr>
          <w:t xml:space="preserve">https://pubmed.ncbi.nlm.nih.gov/37821000/</w:t>
        </w:r>
      </w:hyperlink>
      <w:r>
        <w:rPr>
          <w:i/>
          <w:iCs/>
        </w:rPr>
        <w:t xml:space="preserve">;</w:t>
      </w:r>
      <w:r>
        <w:rPr>
          <w:i/>
          <w:iCs/>
        </w:rPr>
        <w:t xml:space="preserve"> </w:t>
      </w:r>
      <w:hyperlink r:id="rId104">
        <w:r>
          <w:rPr>
            <w:rStyle w:val="Hyperlink"/>
            <w:i/>
            <w:iCs/>
          </w:rPr>
          <w:t xml:space="preserve">https://www.contraceptionjournal.org/article/S0010-7824(18)30259-2/fulltext</w:t>
        </w:r>
      </w:hyperlink>
    </w:p>
    <w:bookmarkEnd w:id="105"/>
    <w:bookmarkStart w:id="119" w:name="a11.13-naspagacrm-abstract-urls-20132023"/>
    <w:p>
      <w:pPr>
        <w:pStyle w:val="Heading3"/>
      </w:pPr>
      <w:r>
        <w:t xml:space="preserve">A11.13 NASPAG/ACRM Abstract URLs (2013–2023)</w:t>
      </w:r>
    </w:p>
    <w:p>
      <w:pPr>
        <w:pStyle w:val="FirstParagraph"/>
      </w:pPr>
      <w:r>
        <w:t xml:space="preserve">NASPAG (North American Society for Pediatric and Adolescent Gynecology) Annual Clinical and Research Meeting (ACRM) abstracts are published in the</w:t>
      </w:r>
      <w:r>
        <w:t xml:space="preserve"> </w:t>
      </w:r>
      <w:r>
        <w:rPr>
          <w:i/>
          <w:iCs/>
        </w:rPr>
        <w:t xml:space="preserve">Journal of Pediatric and Adolescent Gynecology</w:t>
      </w:r>
      <w:r>
        <w:t xml:space="preserve"> </w:t>
      </w:r>
      <w:r>
        <w:t xml:space="preserve">(JPAG, ISSN 1083-3188, Elsevier/ScienceDirect). Each abstract receives a unique DOI following the pattern</w:t>
      </w:r>
      <w:r>
        <w:t xml:space="preserve"> </w:t>
      </w:r>
      <w:r>
        <w:rPr>
          <w:rStyle w:val="VerbatimChar"/>
        </w:rPr>
        <w:t xml:space="preserve">10.1016/j.jpag.YYYY.MM.NNN</w:t>
      </w:r>
      <w:r>
        <w:t xml:space="preserve"> </w:t>
      </w:r>
      <w:r>
        <w:t xml:space="preserve">— the same individual-DOI model as SMFM and ASRM. Abstracts consistently appear in Issue 2 of each volume, and volume number follows the formula: Volume = Year − 1987. The 2020 ACRM was cancelled due to COVID-19 but accepted abstracts were still published; 2021 and 2022 meetings were virtual. Abstract counts are small (~16–54/year), making NASPAG the lowest-volume society in this comparison.</w:t>
      </w:r>
    </w:p>
    <w:tbl>
      <w:tblPr>
        <w:tblStyle w:val="Table"/>
        <w:tblW w:type="pct" w:w="5000"/>
        <w:tblLayout w:type="fixed"/>
        <w:tblLook w:firstRow="1" w:lastRow="0" w:firstColumn="0" w:lastColumn="0" w:noHBand="0" w:noVBand="0" w:val="0020"/>
      </w:tblPr>
      <w:tblGrid>
        <w:gridCol w:w="754"/>
        <w:gridCol w:w="1131"/>
        <w:gridCol w:w="1257"/>
        <w:gridCol w:w="880"/>
        <w:gridCol w:w="2388"/>
        <w:gridCol w:w="1508"/>
      </w:tblGrid>
      <w:tr>
        <w:trPr>
          <w:tblHeader w:val="on"/>
        </w:trPr>
        <w:tc>
          <w:tcPr/>
          <w:p>
            <w:pPr>
              <w:pStyle w:val="Compact"/>
            </w:pPr>
            <w:r>
              <w:t xml:space="preserve">Year</w:t>
            </w:r>
          </w:p>
        </w:tc>
        <w:tc>
          <w:tcPr/>
          <w:p>
            <w:pPr>
              <w:pStyle w:val="Compact"/>
            </w:pPr>
            <w:r>
              <w:t xml:space="preserve">Meeting</w:t>
            </w:r>
          </w:p>
        </w:tc>
        <w:tc>
          <w:tcPr/>
          <w:p>
            <w:pPr>
              <w:pStyle w:val="Compact"/>
            </w:pPr>
            <w:r>
              <w:t xml:space="preserve">JPAG Vol</w:t>
            </w:r>
          </w:p>
        </w:tc>
        <w:tc>
          <w:tcPr/>
          <w:p>
            <w:pPr>
              <w:pStyle w:val="Compact"/>
            </w:pPr>
            <w:r>
              <w:t xml:space="preserve">Issue</w:t>
            </w:r>
          </w:p>
        </w:tc>
        <w:tc>
          <w:tcPr/>
          <w:p>
            <w:pPr>
              <w:pStyle w:val="Compact"/>
            </w:pPr>
            <w:r>
              <w:t xml:space="preserve">ScienceDirect URL</w:t>
            </w:r>
          </w:p>
        </w:tc>
        <w:tc>
          <w:tcPr/>
          <w:p>
            <w:pPr>
              <w:pStyle w:val="Compact"/>
            </w:pPr>
            <w:r>
              <w:t xml:space="preserve">Sample DOI</w:t>
            </w:r>
          </w:p>
        </w:tc>
      </w:tr>
      <w:tr>
        <w:tc>
          <w:tcPr/>
          <w:p>
            <w:pPr>
              <w:pStyle w:val="Compact"/>
            </w:pPr>
            <w:r>
              <w:t xml:space="preserve">2023</w:t>
            </w:r>
          </w:p>
        </w:tc>
        <w:tc>
          <w:tcPr/>
          <w:p>
            <w:pPr>
              <w:pStyle w:val="Compact"/>
            </w:pPr>
            <w:r>
              <w:t xml:space="preserve">37th ACRM, Nashville, TN</w:t>
            </w:r>
          </w:p>
        </w:tc>
        <w:tc>
          <w:tcPr/>
          <w:p>
            <w:pPr>
              <w:pStyle w:val="Compact"/>
            </w:pPr>
            <w:r>
              <w:t xml:space="preserve">36</w:t>
            </w:r>
          </w:p>
        </w:tc>
        <w:tc>
          <w:tcPr/>
          <w:p>
            <w:pPr>
              <w:pStyle w:val="Compact"/>
            </w:pPr>
            <w:r>
              <w:t xml:space="preserve">2</w:t>
            </w:r>
          </w:p>
        </w:tc>
        <w:tc>
          <w:tcPr/>
          <w:p>
            <w:pPr>
              <w:pStyle w:val="Compact"/>
            </w:pPr>
            <w:hyperlink r:id="rId106">
              <w:r>
                <w:rPr>
                  <w:rStyle w:val="Hyperlink"/>
                </w:rPr>
                <w:t xml:space="preserve">https://www.sciencedirect.com/journal/journal-of-pediatric-and-adolescent-gynecology/vol/36/issue/2</w:t>
              </w:r>
            </w:hyperlink>
          </w:p>
        </w:tc>
        <w:tc>
          <w:tcPr/>
          <w:p>
            <w:pPr>
              <w:pStyle w:val="Compact"/>
            </w:pPr>
            <w:r>
              <w:t xml:space="preserve">10.1016/j.jpag.2023.01.089</w:t>
            </w:r>
          </w:p>
        </w:tc>
      </w:tr>
      <w:tr>
        <w:tc>
          <w:tcPr/>
          <w:p>
            <w:pPr>
              <w:pStyle w:val="Compact"/>
            </w:pPr>
            <w:r>
              <w:t xml:space="preserve">2022</w:t>
            </w:r>
          </w:p>
        </w:tc>
        <w:tc>
          <w:tcPr/>
          <w:p>
            <w:pPr>
              <w:pStyle w:val="Compact"/>
            </w:pPr>
            <w:r>
              <w:t xml:space="preserve">36th ACRM (Virtual)</w:t>
            </w:r>
          </w:p>
        </w:tc>
        <w:tc>
          <w:tcPr/>
          <w:p>
            <w:pPr>
              <w:pStyle w:val="Compact"/>
            </w:pPr>
            <w:r>
              <w:t xml:space="preserve">35</w:t>
            </w:r>
          </w:p>
        </w:tc>
        <w:tc>
          <w:tcPr/>
          <w:p>
            <w:pPr>
              <w:pStyle w:val="Compact"/>
            </w:pPr>
            <w:r>
              <w:t xml:space="preserve">2</w:t>
            </w:r>
          </w:p>
        </w:tc>
        <w:tc>
          <w:tcPr/>
          <w:p>
            <w:pPr>
              <w:pStyle w:val="Compact"/>
            </w:pPr>
            <w:hyperlink r:id="rId107">
              <w:r>
                <w:rPr>
                  <w:rStyle w:val="Hyperlink"/>
                </w:rPr>
                <w:t xml:space="preserve">https://www.sciencedirect.com/journal/journal-of-pediatric-and-adolescent-gynecology/vol/35/issue/2</w:t>
              </w:r>
            </w:hyperlink>
          </w:p>
        </w:tc>
        <w:tc>
          <w:tcPr/>
          <w:p>
            <w:pPr>
              <w:pStyle w:val="Compact"/>
            </w:pPr>
            <w:r>
              <w:t xml:space="preserve">10.1016/j.jpag.2022.01.xxx</w:t>
            </w:r>
          </w:p>
        </w:tc>
      </w:tr>
      <w:tr>
        <w:tc>
          <w:tcPr/>
          <w:p>
            <w:pPr>
              <w:pStyle w:val="Compact"/>
            </w:pPr>
            <w:r>
              <w:t xml:space="preserve">2021</w:t>
            </w:r>
          </w:p>
        </w:tc>
        <w:tc>
          <w:tcPr/>
          <w:p>
            <w:pPr>
              <w:pStyle w:val="Compact"/>
            </w:pPr>
            <w:r>
              <w:t xml:space="preserve">35th ACRM (Virtual)</w:t>
            </w:r>
          </w:p>
        </w:tc>
        <w:tc>
          <w:tcPr/>
          <w:p>
            <w:pPr>
              <w:pStyle w:val="Compact"/>
            </w:pPr>
            <w:r>
              <w:t xml:space="preserve">34</w:t>
            </w:r>
          </w:p>
        </w:tc>
        <w:tc>
          <w:tcPr/>
          <w:p>
            <w:pPr>
              <w:pStyle w:val="Compact"/>
            </w:pPr>
            <w:r>
              <w:t xml:space="preserve">2</w:t>
            </w:r>
          </w:p>
        </w:tc>
        <w:tc>
          <w:tcPr/>
          <w:p>
            <w:pPr>
              <w:pStyle w:val="Compact"/>
            </w:pPr>
            <w:hyperlink r:id="rId108">
              <w:r>
                <w:rPr>
                  <w:rStyle w:val="Hyperlink"/>
                </w:rPr>
                <w:t xml:space="preserve">https://www.sciencedirect.com/journal/journal-of-pediatric-and-adolescent-gynecology/vol/34/issue/2</w:t>
              </w:r>
            </w:hyperlink>
          </w:p>
        </w:tc>
        <w:tc>
          <w:tcPr/>
          <w:p>
            <w:pPr>
              <w:pStyle w:val="Compact"/>
            </w:pPr>
            <w:r>
              <w:t xml:space="preserve">10.1016/j.jpag.2021.02.005</w:t>
            </w:r>
          </w:p>
        </w:tc>
      </w:tr>
      <w:tr>
        <w:tc>
          <w:tcPr/>
          <w:p>
            <w:pPr>
              <w:pStyle w:val="Compact"/>
            </w:pPr>
            <w:r>
              <w:t xml:space="preserve">2020</w:t>
            </w:r>
          </w:p>
        </w:tc>
        <w:tc>
          <w:tcPr/>
          <w:p>
            <w:pPr>
              <w:pStyle w:val="Compact"/>
            </w:pPr>
            <w:r>
              <w:t xml:space="preserve">34th ACRM (Cancelled — abstracts published)</w:t>
            </w:r>
          </w:p>
        </w:tc>
        <w:tc>
          <w:tcPr/>
          <w:p>
            <w:pPr>
              <w:pStyle w:val="Compact"/>
            </w:pPr>
            <w:r>
              <w:t xml:space="preserve">33</w:t>
            </w:r>
          </w:p>
        </w:tc>
        <w:tc>
          <w:tcPr/>
          <w:p>
            <w:pPr>
              <w:pStyle w:val="Compact"/>
            </w:pPr>
            <w:r>
              <w:t xml:space="preserve">2</w:t>
            </w:r>
          </w:p>
        </w:tc>
        <w:tc>
          <w:tcPr/>
          <w:p>
            <w:pPr>
              <w:pStyle w:val="Compact"/>
            </w:pPr>
            <w:hyperlink r:id="rId109">
              <w:r>
                <w:rPr>
                  <w:rStyle w:val="Hyperlink"/>
                </w:rPr>
                <w:t xml:space="preserve">https://www.sciencedirect.com/journal/journal-of-pediatric-and-adolescent-gynecology/vol/33/issue/2</w:t>
              </w:r>
            </w:hyperlink>
          </w:p>
        </w:tc>
        <w:tc>
          <w:tcPr/>
          <w:p>
            <w:pPr>
              <w:pStyle w:val="Compact"/>
            </w:pPr>
            <w:r>
              <w:t xml:space="preserve">10.1016/j.jpag.2020.01.xxx</w:t>
            </w:r>
          </w:p>
        </w:tc>
      </w:tr>
      <w:tr>
        <w:tc>
          <w:tcPr/>
          <w:p>
            <w:pPr>
              <w:pStyle w:val="Compact"/>
            </w:pPr>
            <w:r>
              <w:t xml:space="preserve">2019</w:t>
            </w:r>
          </w:p>
        </w:tc>
        <w:tc>
          <w:tcPr/>
          <w:p>
            <w:pPr>
              <w:pStyle w:val="Compact"/>
            </w:pPr>
            <w:r>
              <w:t xml:space="preserve">33rd ACRM</w:t>
            </w:r>
          </w:p>
        </w:tc>
        <w:tc>
          <w:tcPr/>
          <w:p>
            <w:pPr>
              <w:pStyle w:val="Compact"/>
            </w:pPr>
            <w:r>
              <w:t xml:space="preserve">32</w:t>
            </w:r>
          </w:p>
        </w:tc>
        <w:tc>
          <w:tcPr/>
          <w:p>
            <w:pPr>
              <w:pStyle w:val="Compact"/>
            </w:pPr>
            <w:r>
              <w:t xml:space="preserve">2</w:t>
            </w:r>
          </w:p>
        </w:tc>
        <w:tc>
          <w:tcPr/>
          <w:p>
            <w:pPr>
              <w:pStyle w:val="Compact"/>
            </w:pPr>
            <w:hyperlink r:id="rId110">
              <w:r>
                <w:rPr>
                  <w:rStyle w:val="Hyperlink"/>
                </w:rPr>
                <w:t xml:space="preserve">https://www.sciencedirect.com/journal/journal-of-pediatric-and-adolescent-gynecology/vol/32/issue/2</w:t>
              </w:r>
            </w:hyperlink>
          </w:p>
        </w:tc>
        <w:tc>
          <w:tcPr/>
          <w:p>
            <w:pPr>
              <w:pStyle w:val="Compact"/>
            </w:pPr>
            <w:r>
              <w:t xml:space="preserve">10.1016/j.jpag.2019.02.002</w:t>
            </w:r>
          </w:p>
        </w:tc>
      </w:tr>
      <w:tr>
        <w:tc>
          <w:tcPr/>
          <w:p>
            <w:pPr>
              <w:pStyle w:val="Compact"/>
            </w:pPr>
            <w:r>
              <w:t xml:space="preserve">2018</w:t>
            </w:r>
          </w:p>
        </w:tc>
        <w:tc>
          <w:tcPr/>
          <w:p>
            <w:pPr>
              <w:pStyle w:val="Compact"/>
            </w:pPr>
            <w:r>
              <w:t xml:space="preserve">32nd ACRM</w:t>
            </w:r>
          </w:p>
        </w:tc>
        <w:tc>
          <w:tcPr/>
          <w:p>
            <w:pPr>
              <w:pStyle w:val="Compact"/>
            </w:pPr>
            <w:r>
              <w:t xml:space="preserve">31</w:t>
            </w:r>
          </w:p>
        </w:tc>
        <w:tc>
          <w:tcPr/>
          <w:p>
            <w:pPr>
              <w:pStyle w:val="Compact"/>
            </w:pPr>
            <w:r>
              <w:t xml:space="preserve">2</w:t>
            </w:r>
          </w:p>
        </w:tc>
        <w:tc>
          <w:tcPr/>
          <w:p>
            <w:pPr>
              <w:pStyle w:val="Compact"/>
            </w:pPr>
            <w:hyperlink r:id="rId111">
              <w:r>
                <w:rPr>
                  <w:rStyle w:val="Hyperlink"/>
                </w:rPr>
                <w:t xml:space="preserve">https://www.sciencedirect.com/journal/journal-of-pediatric-and-adolescent-gynecology/vol/31/issue/2</w:t>
              </w:r>
            </w:hyperlink>
          </w:p>
        </w:tc>
        <w:tc>
          <w:tcPr/>
          <w:p>
            <w:pPr>
              <w:pStyle w:val="Compact"/>
            </w:pPr>
            <w:r>
              <w:t xml:space="preserve">10.1016/j.jpag.2018.02.017</w:t>
            </w:r>
          </w:p>
        </w:tc>
      </w:tr>
      <w:tr>
        <w:tc>
          <w:tcPr/>
          <w:p>
            <w:pPr>
              <w:pStyle w:val="Compact"/>
            </w:pPr>
            <w:r>
              <w:t xml:space="preserve">2017</w:t>
            </w:r>
          </w:p>
        </w:tc>
        <w:tc>
          <w:tcPr/>
          <w:p>
            <w:pPr>
              <w:pStyle w:val="Compact"/>
            </w:pPr>
            <w:r>
              <w:t xml:space="preserve">31st ACRM, Chicago, IL</w:t>
            </w:r>
          </w:p>
        </w:tc>
        <w:tc>
          <w:tcPr/>
          <w:p>
            <w:pPr>
              <w:pStyle w:val="Compact"/>
            </w:pPr>
            <w:r>
              <w:t xml:space="preserve">30</w:t>
            </w:r>
          </w:p>
        </w:tc>
        <w:tc>
          <w:tcPr/>
          <w:p>
            <w:pPr>
              <w:pStyle w:val="Compact"/>
            </w:pPr>
            <w:r>
              <w:t xml:space="preserve">2</w:t>
            </w:r>
          </w:p>
        </w:tc>
        <w:tc>
          <w:tcPr/>
          <w:p>
            <w:pPr>
              <w:pStyle w:val="Compact"/>
            </w:pPr>
            <w:hyperlink r:id="rId112">
              <w:r>
                <w:rPr>
                  <w:rStyle w:val="Hyperlink"/>
                </w:rPr>
                <w:t xml:space="preserve">https://www.sciencedirect.com/journal/journal-of-pediatric-and-adolescent-gynecology/vol/30/issue/2</w:t>
              </w:r>
            </w:hyperlink>
          </w:p>
        </w:tc>
        <w:tc>
          <w:tcPr/>
          <w:p>
            <w:pPr>
              <w:pStyle w:val="Compact"/>
            </w:pPr>
            <w:r>
              <w:t xml:space="preserve">10.1016/j.jpag.2017.03.013</w:t>
            </w:r>
          </w:p>
        </w:tc>
      </w:tr>
      <w:tr>
        <w:tc>
          <w:tcPr/>
          <w:p>
            <w:pPr>
              <w:pStyle w:val="Compact"/>
            </w:pPr>
            <w:r>
              <w:t xml:space="preserve">2016</w:t>
            </w:r>
          </w:p>
        </w:tc>
        <w:tc>
          <w:tcPr/>
          <w:p>
            <w:pPr>
              <w:pStyle w:val="Compact"/>
            </w:pPr>
            <w:r>
              <w:t xml:space="preserve">30th ACRM, Toronto, ON</w:t>
            </w:r>
          </w:p>
        </w:tc>
        <w:tc>
          <w:tcPr/>
          <w:p>
            <w:pPr>
              <w:pStyle w:val="Compact"/>
            </w:pPr>
            <w:r>
              <w:t xml:space="preserve">29</w:t>
            </w:r>
          </w:p>
        </w:tc>
        <w:tc>
          <w:tcPr/>
          <w:p>
            <w:pPr>
              <w:pStyle w:val="Compact"/>
            </w:pPr>
            <w:r>
              <w:t xml:space="preserve">2</w:t>
            </w:r>
          </w:p>
        </w:tc>
        <w:tc>
          <w:tcPr/>
          <w:p>
            <w:pPr>
              <w:pStyle w:val="Compact"/>
            </w:pPr>
            <w:hyperlink r:id="rId113">
              <w:r>
                <w:rPr>
                  <w:rStyle w:val="Hyperlink"/>
                </w:rPr>
                <w:t xml:space="preserve">https://www.sciencedirect.com/journal/journal-of-pediatric-and-adolescent-gynecology/vol/29/issue/2</w:t>
              </w:r>
            </w:hyperlink>
          </w:p>
        </w:tc>
        <w:tc>
          <w:tcPr/>
          <w:p>
            <w:pPr>
              <w:pStyle w:val="Compact"/>
            </w:pPr>
            <w:r>
              <w:t xml:space="preserve">10.1016/j.jpag.2016.01.003</w:t>
            </w:r>
          </w:p>
        </w:tc>
      </w:tr>
      <w:tr>
        <w:tc>
          <w:tcPr/>
          <w:p>
            <w:pPr>
              <w:pStyle w:val="Compact"/>
            </w:pPr>
            <w:r>
              <w:t xml:space="preserve">2015</w:t>
            </w:r>
          </w:p>
        </w:tc>
        <w:tc>
          <w:tcPr/>
          <w:p>
            <w:pPr>
              <w:pStyle w:val="Compact"/>
            </w:pPr>
            <w:r>
              <w:t xml:space="preserve">29th ACRM, Orlando, FL</w:t>
            </w:r>
          </w:p>
        </w:tc>
        <w:tc>
          <w:tcPr/>
          <w:p>
            <w:pPr>
              <w:pStyle w:val="Compact"/>
            </w:pPr>
            <w:r>
              <w:t xml:space="preserve">28</w:t>
            </w:r>
          </w:p>
        </w:tc>
        <w:tc>
          <w:tcPr/>
          <w:p>
            <w:pPr>
              <w:pStyle w:val="Compact"/>
            </w:pPr>
            <w:r>
              <w:t xml:space="preserve">2</w:t>
            </w:r>
          </w:p>
        </w:tc>
        <w:tc>
          <w:tcPr/>
          <w:p>
            <w:pPr>
              <w:pStyle w:val="Compact"/>
            </w:pPr>
            <w:hyperlink r:id="rId114">
              <w:r>
                <w:rPr>
                  <w:rStyle w:val="Hyperlink"/>
                </w:rPr>
                <w:t xml:space="preserve">https://www.sciencedirect.com/journal/journal-of-pediatric-and-adolescent-gynecology/vol/28/issue/2</w:t>
              </w:r>
            </w:hyperlink>
          </w:p>
        </w:tc>
        <w:tc>
          <w:tcPr/>
          <w:p>
            <w:pPr>
              <w:pStyle w:val="Compact"/>
            </w:pPr>
            <w:r>
              <w:t xml:space="preserve">10.1016/j.jpag.2015.02.005</w:t>
            </w:r>
          </w:p>
        </w:tc>
      </w:tr>
      <w:tr>
        <w:tc>
          <w:tcPr/>
          <w:p>
            <w:pPr>
              <w:pStyle w:val="Compact"/>
            </w:pPr>
            <w:r>
              <w:t xml:space="preserve">2014</w:t>
            </w:r>
          </w:p>
        </w:tc>
        <w:tc>
          <w:tcPr/>
          <w:p>
            <w:pPr>
              <w:pStyle w:val="Compact"/>
            </w:pPr>
            <w:r>
              <w:t xml:space="preserve">28th ACRM, Philadelphia, PA</w:t>
            </w:r>
          </w:p>
        </w:tc>
        <w:tc>
          <w:tcPr/>
          <w:p>
            <w:pPr>
              <w:pStyle w:val="Compact"/>
            </w:pPr>
            <w:r>
              <w:t xml:space="preserve">27</w:t>
            </w:r>
          </w:p>
        </w:tc>
        <w:tc>
          <w:tcPr/>
          <w:p>
            <w:pPr>
              <w:pStyle w:val="Compact"/>
            </w:pPr>
            <w:r>
              <w:t xml:space="preserve">2</w:t>
            </w:r>
          </w:p>
        </w:tc>
        <w:tc>
          <w:tcPr/>
          <w:p>
            <w:pPr>
              <w:pStyle w:val="Compact"/>
            </w:pPr>
            <w:hyperlink r:id="rId115">
              <w:r>
                <w:rPr>
                  <w:rStyle w:val="Hyperlink"/>
                </w:rPr>
                <w:t xml:space="preserve">https://www.sciencedirect.com/journal/journal-of-pediatric-and-adolescent-gynecology/vol/27/issue/2</w:t>
              </w:r>
            </w:hyperlink>
          </w:p>
        </w:tc>
        <w:tc>
          <w:tcPr/>
          <w:p>
            <w:pPr>
              <w:pStyle w:val="Compact"/>
            </w:pPr>
            <w:r>
              <w:t xml:space="preserve">10.1016/j.jpag.2014.01.007</w:t>
            </w:r>
          </w:p>
        </w:tc>
      </w:tr>
      <w:tr>
        <w:tc>
          <w:tcPr/>
          <w:p>
            <w:pPr>
              <w:pStyle w:val="Compact"/>
            </w:pPr>
            <w:r>
              <w:t xml:space="preserve">2013</w:t>
            </w:r>
          </w:p>
        </w:tc>
        <w:tc>
          <w:tcPr/>
          <w:p>
            <w:pPr>
              <w:pStyle w:val="Compact"/>
            </w:pPr>
            <w:r>
              <w:t xml:space="preserve">27th ACRM</w:t>
            </w:r>
          </w:p>
        </w:tc>
        <w:tc>
          <w:tcPr/>
          <w:p>
            <w:pPr>
              <w:pStyle w:val="Compact"/>
            </w:pPr>
            <w:r>
              <w:t xml:space="preserve">26</w:t>
            </w:r>
          </w:p>
        </w:tc>
        <w:tc>
          <w:tcPr/>
          <w:p>
            <w:pPr>
              <w:pStyle w:val="Compact"/>
            </w:pPr>
            <w:r>
              <w:t xml:space="preserve">2</w:t>
            </w:r>
          </w:p>
        </w:tc>
        <w:tc>
          <w:tcPr/>
          <w:p>
            <w:pPr>
              <w:pStyle w:val="Compact"/>
            </w:pPr>
            <w:hyperlink r:id="rId116">
              <w:r>
                <w:rPr>
                  <w:rStyle w:val="Hyperlink"/>
                </w:rPr>
                <w:t xml:space="preserve">https://www.sciencedirect.com/journal/journal-of-pediatric-and-adolescent-gynecology/vol/26/issue/2</w:t>
              </w:r>
            </w:hyperlink>
          </w:p>
        </w:tc>
        <w:tc>
          <w:tcPr/>
          <w:p>
            <w:pPr>
              <w:pStyle w:val="Compact"/>
            </w:pPr>
            <w:r>
              <w:t xml:space="preserve">10.1016/j.jpag.2013.01.005</w:t>
            </w:r>
          </w:p>
        </w:tc>
      </w:tr>
    </w:tbl>
    <w:p>
      <w:pPr>
        <w:pStyle w:val="BodyText"/>
      </w:pPr>
      <w:r>
        <w:rPr>
          <w:i/>
          <w:iCs/>
        </w:rPr>
        <w:t xml:space="preserve">Sources:</w:t>
      </w:r>
      <w:r>
        <w:rPr>
          <w:i/>
          <w:iCs/>
        </w:rPr>
        <w:t xml:space="preserve"> </w:t>
      </w:r>
      <w:hyperlink r:id="rId117">
        <w:r>
          <w:rPr>
            <w:rStyle w:val="Hyperlink"/>
            <w:i/>
            <w:iCs/>
          </w:rPr>
          <w:t xml:space="preserve">https://www.sciencedirect.com/journal/journal-of-pediatric-and-adolescent-gynecology</w:t>
        </w:r>
      </w:hyperlink>
      <w:r>
        <w:rPr>
          <w:i/>
          <w:iCs/>
        </w:rPr>
        <w:t xml:space="preserve">;</w:t>
      </w:r>
      <w:r>
        <w:rPr>
          <w:i/>
          <w:iCs/>
        </w:rPr>
        <w:t xml:space="preserve"> </w:t>
      </w:r>
      <w:hyperlink r:id="rId118">
        <w:r>
          <w:rPr>
            <w:rStyle w:val="Hyperlink"/>
            <w:i/>
            <w:iCs/>
          </w:rPr>
          <w:t xml:space="preserve">https://www.naspag.org/acrm-future-and-past</w:t>
        </w:r>
      </w:hyperlink>
    </w:p>
    <w:p>
      <w:r>
        <w:pict>
          <v:rect style="width:0;height:1.5pt" o:hralign="center" o:hrstd="t" o:hr="t"/>
        </w:pict>
      </w:r>
    </w:p>
    <w:bookmarkEnd w:id="119"/>
    <w:bookmarkStart w:id="120" w:name="Xd595ffef2965248d70e8ae14a73e011624ff54c"/>
    <w:p>
      <w:pPr>
        <w:pStyle w:val="Heading3"/>
      </w:pPr>
      <w:r>
        <w:t xml:space="preserve">A11.14 Metadata Fields Available in Each Society’s Published Abstracts</w:t>
      </w:r>
    </w:p>
    <w:p>
      <w:pPr>
        <w:pStyle w:val="FirstParagraph"/>
      </w:pPr>
      <w:r>
        <w:t xml:space="preserve">A critical determinant of pipeline performance is the author and affiliation metadata embedded in the published abstract. Richer metadata enables more precise PubMed matching (via full first names), better ORCID disambiguation (via affiliation strings), and more complete author-characteristic enrichment (gender, career stage, subspecialty). The table below summarizes what is consistently available for each society.</w:t>
      </w:r>
    </w:p>
    <w:tbl>
      <w:tblPr>
        <w:tblStyle w:val="Table"/>
        <w:tblW w:type="pct" w:w="5000"/>
        <w:tblLayout w:type="fixed"/>
        <w:tblLook w:firstRow="1" w:lastRow="0" w:firstColumn="0" w:lastColumn="0" w:noHBand="0" w:noVBand="0" w:val="0020"/>
      </w:tblPr>
      <w:tblGrid>
        <w:gridCol w:w="538"/>
        <w:gridCol w:w="999"/>
        <w:gridCol w:w="999"/>
        <w:gridCol w:w="922"/>
        <w:gridCol w:w="1691"/>
        <w:gridCol w:w="1614"/>
        <w:gridCol w:w="1153"/>
      </w:tblGrid>
      <w:tr>
        <w:trPr>
          <w:tblHeader w:val="on"/>
        </w:trPr>
        <w:tc>
          <w:tcPr/>
          <w:p>
            <w:pPr>
              <w:pStyle w:val="Compact"/>
            </w:pPr>
            <w:r>
              <w:t xml:space="preserve">Field</w:t>
            </w:r>
          </w:p>
        </w:tc>
        <w:tc>
          <w:tcPr/>
          <w:p>
            <w:pPr>
              <w:pStyle w:val="Compact"/>
            </w:pPr>
            <w:r>
              <w:t xml:space="preserve">AAGL (JMIG)</w:t>
            </w:r>
          </w:p>
        </w:tc>
        <w:tc>
          <w:tcPr/>
          <w:p>
            <w:pPr>
              <w:pStyle w:val="Compact"/>
            </w:pPr>
            <w:r>
              <w:t xml:space="preserve">SMFM (AJOG)</w:t>
            </w:r>
          </w:p>
        </w:tc>
        <w:tc>
          <w:tcPr/>
          <w:p>
            <w:pPr>
              <w:pStyle w:val="Compact"/>
            </w:pPr>
            <w:r>
              <w:t xml:space="preserve">ASRM (F&amp;S)</w:t>
            </w:r>
          </w:p>
        </w:tc>
        <w:tc>
          <w:tcPr/>
          <w:p>
            <w:pPr>
              <w:pStyle w:val="Compact"/>
            </w:pPr>
            <w:r>
              <w:t xml:space="preserve">AUGS (Urogynecology)</w:t>
            </w:r>
          </w:p>
        </w:tc>
        <w:tc>
          <w:tcPr/>
          <w:p>
            <w:pPr>
              <w:pStyle w:val="Compact"/>
            </w:pPr>
            <w:r>
              <w:t xml:space="preserve">SFP (Contraception)</w:t>
            </w:r>
          </w:p>
        </w:tc>
        <w:tc>
          <w:tcPr/>
          <w:p>
            <w:pPr>
              <w:pStyle w:val="Compact"/>
            </w:pPr>
            <w:r>
              <w:t xml:space="preserve">NASPAG (JPAG)</w:t>
            </w:r>
          </w:p>
        </w:tc>
      </w:tr>
      <w:tr>
        <w:tc>
          <w:tcPr/>
          <w:p>
            <w:pPr>
              <w:pStyle w:val="Compact"/>
            </w:pPr>
            <w:r>
              <w:rPr>
                <w:b/>
                <w:bCs/>
              </w:rPr>
              <w:t xml:space="preserve">Abstract title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Abstract text</w:t>
            </w:r>
          </w:p>
        </w:tc>
        <w:tc>
          <w:tcPr/>
          <w:p>
            <w:pPr>
              <w:pStyle w:val="Compact"/>
            </w:pPr>
            <w:r>
              <w:t xml:space="preserve">Partial (2012–2018 paywalled)</w:t>
            </w:r>
          </w:p>
        </w:tc>
        <w:tc>
          <w:tcPr/>
          <w:p>
            <w:pPr>
              <w:pStyle w:val="Compact"/>
            </w:pPr>
            <w:r>
              <w:t xml:space="preserve">Yes</w:t>
            </w:r>
          </w:p>
        </w:tc>
        <w:tc>
          <w:tcPr/>
          <w:p>
            <w:pPr>
              <w:pStyle w:val="Compact"/>
            </w:pPr>
            <w:r>
              <w:t xml:space="preserve">Yes (auth required)</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First author full first name</w:t>
            </w:r>
          </w:p>
        </w:tc>
        <w:tc>
          <w:tcPr/>
          <w:p>
            <w:pPr>
              <w:pStyle w:val="Compact"/>
            </w:pPr>
            <w:r>
              <w:rPr>
                <w:b/>
                <w:bCs/>
              </w:rPr>
              <w:t xml:space="preserve">No — initials only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All author full names</w:t>
            </w:r>
          </w:p>
        </w:tc>
        <w:tc>
          <w:tcPr/>
          <w:p>
            <w:pPr>
              <w:pStyle w:val="Compact"/>
            </w:pPr>
            <w:r>
              <w:t xml:space="preserve">Initials only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Author count</w:t>
            </w:r>
          </w:p>
        </w:tc>
        <w:tc>
          <w:tcPr/>
          <w:p>
            <w:pPr>
              <w:pStyle w:val="Compact"/>
            </w:pPr>
            <w:r>
              <w:t xml:space="preserve">Yes (parseable)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First author affiliation</w:t>
            </w:r>
          </w:p>
        </w:tc>
        <w:tc>
          <w:tcPr/>
          <w:p>
            <w:pPr>
              <w:pStyle w:val="Compact"/>
            </w:pPr>
            <w:r>
              <w:t xml:space="preserve">Partial (52.7% via backfill)</w:t>
            </w:r>
          </w:p>
        </w:tc>
        <w:tc>
          <w:tcPr/>
          <w:p>
            <w:pPr>
              <w:pStyle w:val="Compact"/>
            </w:pPr>
            <w:r>
              <w:t xml:space="preserve">Yes</w:t>
            </w:r>
          </w:p>
        </w:tc>
        <w:tc>
          <w:tcPr/>
          <w:p>
            <w:pPr>
              <w:pStyle w:val="Compact"/>
            </w:pPr>
            <w:r>
              <w:t xml:space="preserve">Yes (auth required)</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All author affiliations</w:t>
            </w:r>
          </w:p>
        </w:tc>
        <w:tc>
          <w:tcPr/>
          <w:p>
            <w:pPr>
              <w:pStyle w:val="Compact"/>
            </w:pPr>
            <w:r>
              <w:t xml:space="preserve">Partial</w:t>
            </w:r>
          </w:p>
        </w:tc>
        <w:tc>
          <w:tcPr/>
          <w:p>
            <w:pPr>
              <w:pStyle w:val="Compact"/>
            </w:pPr>
            <w:r>
              <w:t xml:space="preserve">Yes</w:t>
            </w:r>
          </w:p>
        </w:tc>
        <w:tc>
          <w:tcPr/>
          <w:p>
            <w:pPr>
              <w:pStyle w:val="Compact"/>
            </w:pPr>
            <w:r>
              <w:t xml:space="preserve">Yes (auth required)</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Corresponding author email</w:t>
            </w:r>
          </w:p>
        </w:tc>
        <w:tc>
          <w:tcPr/>
          <w:p>
            <w:pPr>
              <w:pStyle w:val="Compact"/>
            </w:pPr>
            <w:r>
              <w:t xml:space="preserve">No</w:t>
            </w:r>
          </w:p>
        </w:tc>
        <w:tc>
          <w:tcPr/>
          <w:p>
            <w:pPr>
              <w:pStyle w:val="Compact"/>
            </w:pPr>
            <w:r>
              <w:t xml:space="preserve">Rarely</w:t>
            </w:r>
          </w:p>
        </w:tc>
        <w:tc>
          <w:tcPr/>
          <w:p>
            <w:pPr>
              <w:pStyle w:val="Compact"/>
            </w:pPr>
            <w:r>
              <w:t xml:space="preserve">Rarely</w:t>
            </w:r>
          </w:p>
        </w:tc>
        <w:tc>
          <w:tcPr/>
          <w:p>
            <w:pPr>
              <w:pStyle w:val="Compact"/>
            </w:pPr>
            <w:r>
              <w:t xml:space="preserve">Sometimes</w:t>
            </w:r>
          </w:p>
        </w:tc>
        <w:tc>
          <w:tcPr/>
          <w:p>
            <w:pPr>
              <w:pStyle w:val="Compact"/>
            </w:pPr>
            <w:r>
              <w:t xml:space="preserve">Sometimes</w:t>
            </w:r>
          </w:p>
        </w:tc>
        <w:tc>
          <w:tcPr/>
          <w:p>
            <w:pPr>
              <w:pStyle w:val="Compact"/>
            </w:pPr>
            <w:r>
              <w:t xml:space="preserve">Rarely</w:t>
            </w:r>
          </w:p>
        </w:tc>
      </w:tr>
      <w:tr>
        <w:tc>
          <w:tcPr/>
          <w:p>
            <w:pPr>
              <w:pStyle w:val="Compact"/>
            </w:pPr>
            <w:r>
              <w:rPr>
                <w:b/>
                <w:bCs/>
              </w:rPr>
              <w:t xml:space="preserve">Individual abstract DOI</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No</w:t>
            </w:r>
          </w:p>
        </w:tc>
        <w:tc>
          <w:tcPr/>
          <w:p>
            <w:pPr>
              <w:pStyle w:val="Compact"/>
            </w:pPr>
            <w:r>
              <w:rPr>
                <w:b/>
                <w:bCs/>
              </w:rPr>
              <w:t xml:space="preserve">No</w:t>
            </w:r>
          </w:p>
        </w:tc>
        <w:tc>
          <w:tcPr/>
          <w:p>
            <w:pPr>
              <w:pStyle w:val="Compact"/>
            </w:pPr>
            <w:r>
              <w:t xml:space="preserve">Yes</w:t>
            </w:r>
          </w:p>
        </w:tc>
      </w:tr>
      <w:tr>
        <w:tc>
          <w:tcPr/>
          <w:p>
            <w:pPr>
              <w:pStyle w:val="Compact"/>
            </w:pPr>
            <w:r>
              <w:rPr>
                <w:b/>
                <w:bCs/>
              </w:rPr>
              <w:t xml:space="preserve">Platform</w:t>
            </w:r>
          </w:p>
        </w:tc>
        <w:tc>
          <w:tcPr/>
          <w:p>
            <w:pPr>
              <w:pStyle w:val="Compact"/>
            </w:pPr>
            <w:r>
              <w:t xml:space="preserve">ScienceDirect</w:t>
            </w:r>
          </w:p>
        </w:tc>
        <w:tc>
          <w:tcPr/>
          <w:p>
            <w:pPr>
              <w:pStyle w:val="Compact"/>
            </w:pPr>
            <w:r>
              <w:t xml:space="preserve">ScienceDirect</w:t>
            </w:r>
          </w:p>
        </w:tc>
        <w:tc>
          <w:tcPr/>
          <w:p>
            <w:pPr>
              <w:pStyle w:val="Compact"/>
            </w:pPr>
            <w:r>
              <w:t xml:space="preserve">ScienceDirect</w:t>
            </w:r>
          </w:p>
        </w:tc>
        <w:tc>
          <w:tcPr/>
          <w:p>
            <w:pPr>
              <w:pStyle w:val="Compact"/>
            </w:pPr>
            <w:r>
              <w:t xml:space="preserve">LWW</w:t>
            </w:r>
          </w:p>
        </w:tc>
        <w:tc>
          <w:tcPr/>
          <w:p>
            <w:pPr>
              <w:pStyle w:val="Compact"/>
            </w:pPr>
            <w:r>
              <w:t xml:space="preserve">ScienceDirect</w:t>
            </w:r>
          </w:p>
        </w:tc>
        <w:tc>
          <w:tcPr/>
          <w:p>
            <w:pPr>
              <w:pStyle w:val="Compact"/>
            </w:pPr>
            <w:r>
              <w:t xml:space="preserve">ScienceDirect</w:t>
            </w:r>
          </w:p>
        </w:tc>
      </w:tr>
      <w:tr>
        <w:tc>
          <w:tcPr/>
          <w:p>
            <w:pPr>
              <w:pStyle w:val="Compact"/>
            </w:pPr>
            <w:r>
              <w:rPr>
                <w:b/>
                <w:bCs/>
              </w:rPr>
              <w:t xml:space="preserve">Auth required to access</w:t>
            </w:r>
          </w:p>
        </w:tc>
        <w:tc>
          <w:tcPr/>
          <w:p>
            <w:pPr>
              <w:pStyle w:val="Compact"/>
            </w:pPr>
            <w:r>
              <w:t xml:space="preserve">No</w:t>
            </w:r>
          </w:p>
        </w:tc>
        <w:tc>
          <w:tcPr/>
          <w:p>
            <w:pPr>
              <w:pStyle w:val="Compact"/>
            </w:pPr>
            <w:r>
              <w:t xml:space="preserve">No</w:t>
            </w:r>
          </w:p>
        </w:tc>
        <w:tc>
          <w:tcPr/>
          <w:p>
            <w:pPr>
              <w:pStyle w:val="Compact"/>
            </w:pPr>
            <w:r>
              <w:rPr>
                <w:b/>
                <w:bCs/>
              </w:rP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Avg abstracts/year</w:t>
            </w:r>
          </w:p>
        </w:tc>
        <w:tc>
          <w:tcPr/>
          <w:p>
            <w:pPr>
              <w:pStyle w:val="Compact"/>
            </w:pPr>
            <w:r>
              <w:t xml:space="preserve">~90</w:t>
            </w:r>
          </w:p>
        </w:tc>
        <w:tc>
          <w:tcPr/>
          <w:p>
            <w:pPr>
              <w:pStyle w:val="Compact"/>
            </w:pPr>
            <w:r>
              <w:t xml:space="preserve">~500</w:t>
            </w:r>
          </w:p>
        </w:tc>
        <w:tc>
          <w:tcPr/>
          <w:p>
            <w:pPr>
              <w:pStyle w:val="Compact"/>
            </w:pPr>
            <w:r>
              <w:t xml:space="preserve">~1,200</w:t>
            </w:r>
          </w:p>
        </w:tc>
        <w:tc>
          <w:tcPr/>
          <w:p>
            <w:pPr>
              <w:pStyle w:val="Compact"/>
            </w:pPr>
            <w:r>
              <w:t xml:space="preserve">~400</w:t>
            </w:r>
          </w:p>
        </w:tc>
        <w:tc>
          <w:tcPr/>
          <w:p>
            <w:pPr>
              <w:pStyle w:val="Compact"/>
            </w:pPr>
            <w:r>
              <w:t xml:space="preserve">~300</w:t>
            </w:r>
          </w:p>
        </w:tc>
        <w:tc>
          <w:tcPr/>
          <w:p>
            <w:pPr>
              <w:pStyle w:val="Compact"/>
            </w:pPr>
            <w:r>
              <w:t xml:space="preserve">~35</w:t>
            </w:r>
          </w:p>
        </w:tc>
      </w:tr>
      <w:tr>
        <w:tc>
          <w:tcPr/>
          <w:p>
            <w:pPr>
              <w:pStyle w:val="Compact"/>
            </w:pPr>
            <w:r>
              <w:rPr>
                <w:b/>
                <w:bCs/>
              </w:rPr>
              <w:t xml:space="preserve">Years available</w:t>
            </w:r>
          </w:p>
        </w:tc>
        <w:tc>
          <w:tcPr/>
          <w:p>
            <w:pPr>
              <w:pStyle w:val="Compact"/>
            </w:pPr>
            <w:r>
              <w:t xml:space="preserve">2012–2023</w:t>
            </w:r>
          </w:p>
        </w:tc>
        <w:tc>
          <w:tcPr/>
          <w:p>
            <w:pPr>
              <w:pStyle w:val="Compact"/>
            </w:pPr>
            <w:r>
              <w:t xml:space="preserve">2013–2023</w:t>
            </w:r>
          </w:p>
        </w:tc>
        <w:tc>
          <w:tcPr/>
          <w:p>
            <w:pPr>
              <w:pStyle w:val="Compact"/>
            </w:pPr>
            <w:r>
              <w:t xml:space="preserve">2013–2023</w:t>
            </w:r>
          </w:p>
        </w:tc>
        <w:tc>
          <w:tcPr/>
          <w:p>
            <w:pPr>
              <w:pStyle w:val="Compact"/>
            </w:pPr>
            <w:r>
              <w:t xml:space="preserve">2013–2023</w:t>
            </w:r>
          </w:p>
        </w:tc>
        <w:tc>
          <w:tcPr/>
          <w:p>
            <w:pPr>
              <w:pStyle w:val="Compact"/>
            </w:pPr>
            <w:r>
              <w:t xml:space="preserve">2015–2023</w:t>
            </w:r>
          </w:p>
        </w:tc>
        <w:tc>
          <w:tcPr/>
          <w:p>
            <w:pPr>
              <w:pStyle w:val="Compact"/>
            </w:pPr>
            <w:r>
              <w:t xml:space="preserve">2013–2023</w:t>
            </w:r>
          </w:p>
        </w:tc>
      </w:tr>
    </w:tbl>
    <w:p>
      <w:pPr>
        <w:pStyle w:val="BodyText"/>
      </w:pPr>
      <w:r>
        <w:rPr>
          <w:b/>
          <w:bCs/>
        </w:rPr>
        <w:t xml:space="preserve">Key finding — AAGL’s initials-only limitation:</w:t>
      </w:r>
      <w:r>
        <w:t xml:space="preserve"> </w:t>
      </w:r>
      <w:r>
        <w:t xml:space="preserve">AAGL/JMIG is the only society where first author names are published as initials only (e.g.,</w:t>
      </w:r>
      <w:r>
        <w:t xml:space="preserve"> </w:t>
      </w:r>
      <w:r>
        <w:t xml:space="preserve">“R.S. Guido”</w:t>
      </w:r>
      <w:r>
        <w:t xml:space="preserve"> </w:t>
      </w:r>
      <w:r>
        <w:t xml:space="preserve">rather than</w:t>
      </w:r>
      <w:r>
        <w:t xml:space="preserve"> </w:t>
      </w:r>
      <w:r>
        <w:t xml:space="preserve">“Robert S. Guido”</w:t>
      </w:r>
      <w:r>
        <w:t xml:space="preserve">). This is the single most consequential metadata gap in the current pipeline, directly limiting: (1) ORCID hit rate (15.8% with full initials vs. a projected &gt;60% with full names); (2) gender inference accuracy (genderize.io requires full first names); and (3) NPI matching (exact first-name matching is disabled for 84% of US authors). All five comparison societies publish full author first names, making them substantially easier to enrich. Any multi-society expansion should treat AAGL’s initials-only format as a known limitation requiring manual resolution or supplementation from the published full paper’s author list.</w:t>
      </w:r>
    </w:p>
    <w:bookmarkEnd w:id="120"/>
    <w:bookmarkStart w:id="130" w:name="Xd2ecc76ec09a610a0ce68bf04e13a58ad614296"/>
    <w:p>
      <w:pPr>
        <w:pStyle w:val="Heading3"/>
      </w:pPr>
      <w:r>
        <w:t xml:space="preserve">A11.15 SASGOG Abstracts (2013–2023) — No Journal Publication</w:t>
      </w:r>
    </w:p>
    <w:p>
      <w:pPr>
        <w:pStyle w:val="FirstParagraph"/>
      </w:pPr>
      <w:r>
        <w:t xml:space="preserve">SASGOG (Society for Academic Specialists in General Obstetrics and Gynecology) was founded in 2012 and does</w:t>
      </w:r>
      <w:r>
        <w:t xml:space="preserve"> </w:t>
      </w:r>
      <w:r>
        <w:rPr>
          <w:b/>
          <w:bCs/>
        </w:rPr>
        <w:t xml:space="preserve">not</w:t>
      </w:r>
      <w:r>
        <w:t xml:space="preserve"> </w:t>
      </w:r>
      <w:r>
        <w:t xml:space="preserve">publish its meeting abstracts in a peer-reviewed journal. Unlike every other society in this comparison, SASGOG abstracts are posted only on the society website (sasgog.org), are not indexed in PubMed, ScienceDirect, or CrossRef, and receive no DOIs. Abstracts are limited to 300 words and undergo peer review, but formal journal publication is not part of the submission process. SASGOG does offer a</w:t>
      </w:r>
      <w:r>
        <w:t xml:space="preserve"> </w:t>
      </w:r>
      <w:r>
        <w:t xml:space="preserve">“Best Manuscript from a SASGOG Abstract Award”</w:t>
      </w:r>
      <w:r>
        <w:t xml:space="preserve"> </w:t>
      </w:r>
      <w:r>
        <w:t xml:space="preserve">to encourage conversion to full manuscripts, but the abstracts themselves are not citable with DOIs.</w:t>
      </w:r>
    </w:p>
    <w:p>
      <w:pPr>
        <w:pStyle w:val="BodyText"/>
      </w:pPr>
      <w:r>
        <w:rPr>
          <w:b/>
          <w:bCs/>
        </w:rPr>
        <w:t xml:space="preserve">Pipeline implication:</w:t>
      </w:r>
      <w:r>
        <w:t xml:space="preserve"> </w:t>
      </w:r>
      <w:r>
        <w:t xml:space="preserve">Because SASGOG abstracts lack DOIs, PubMed indexing, and structured metadata, the current pipeline cannot be applied without first scraping the society website directly to extract abstract text and author information. Matching would rely entirely on title/author string search against PubMed — the weakest of the three search strategies. For years 2013–2018, website URLs are unknown or may not exist, creating a data recovery problem analogous to the AAGL 2017 CORS-blocking issue.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Meeting</w:t>
            </w:r>
          </w:p>
        </w:tc>
        <w:tc>
          <w:tcPr/>
          <w:p>
            <w:pPr>
              <w:pStyle w:val="Compact"/>
            </w:pPr>
            <w:r>
              <w:t xml:space="preserve">URL</w:t>
            </w:r>
          </w:p>
        </w:tc>
        <w:tc>
          <w:tcPr/>
          <w:p>
            <w:pPr>
              <w:pStyle w:val="Compact"/>
            </w:pPr>
            <w:r>
              <w:t xml:space="preserve">DOIs?</w:t>
            </w:r>
          </w:p>
        </w:tc>
        <w:tc>
          <w:tcPr/>
          <w:p>
            <w:pPr>
              <w:pStyle w:val="Compact"/>
            </w:pPr>
            <w:r>
              <w:t xml:space="preserve">PubMed Indexed?</w:t>
            </w:r>
          </w:p>
        </w:tc>
      </w:tr>
      <w:tr>
        <w:tc>
          <w:tcPr/>
          <w:p>
            <w:pPr>
              <w:pStyle w:val="Compact"/>
            </w:pPr>
            <w:r>
              <w:t xml:space="preserve">2023</w:t>
            </w:r>
          </w:p>
        </w:tc>
        <w:tc>
          <w:tcPr/>
          <w:p>
            <w:pPr>
              <w:pStyle w:val="Compact"/>
            </w:pPr>
            <w:r>
              <w:t xml:space="preserve">11th</w:t>
            </w:r>
          </w:p>
        </w:tc>
        <w:tc>
          <w:tcPr/>
          <w:p>
            <w:pPr>
              <w:pStyle w:val="Compact"/>
            </w:pPr>
            <w:hyperlink r:id="rId121">
              <w:r>
                <w:rPr>
                  <w:rStyle w:val="Hyperlink"/>
                </w:rPr>
                <w:t xml:space="preserve">https://sasgog.org/2023-abstracts/</w:t>
              </w:r>
            </w:hyperlink>
          </w:p>
        </w:tc>
        <w:tc>
          <w:tcPr/>
          <w:p>
            <w:pPr>
              <w:pStyle w:val="Compact"/>
            </w:pPr>
            <w:r>
              <w:t xml:space="preserve">No</w:t>
            </w:r>
          </w:p>
        </w:tc>
        <w:tc>
          <w:tcPr/>
          <w:p>
            <w:pPr>
              <w:pStyle w:val="Compact"/>
            </w:pPr>
            <w:r>
              <w:t xml:space="preserve">No</w:t>
            </w:r>
          </w:p>
        </w:tc>
      </w:tr>
      <w:tr>
        <w:tc>
          <w:tcPr/>
          <w:p>
            <w:pPr>
              <w:pStyle w:val="Compact"/>
            </w:pPr>
            <w:r>
              <w:t xml:space="preserve">2022</w:t>
            </w:r>
          </w:p>
        </w:tc>
        <w:tc>
          <w:tcPr/>
          <w:p>
            <w:pPr>
              <w:pStyle w:val="Compact"/>
            </w:pPr>
            <w:r>
              <w:t xml:space="preserve">10th</w:t>
            </w:r>
          </w:p>
        </w:tc>
        <w:tc>
          <w:tcPr/>
          <w:p>
            <w:pPr>
              <w:pStyle w:val="Compact"/>
            </w:pPr>
            <w:hyperlink r:id="rId122">
              <w:r>
                <w:rPr>
                  <w:rStyle w:val="Hyperlink"/>
                </w:rPr>
                <w:t xml:space="preserve">https://sasgog.org/2022-abstracts/</w:t>
              </w:r>
            </w:hyperlink>
          </w:p>
        </w:tc>
        <w:tc>
          <w:tcPr/>
          <w:p>
            <w:pPr>
              <w:pStyle w:val="Compact"/>
            </w:pPr>
            <w:r>
              <w:t xml:space="preserve">No</w:t>
            </w:r>
          </w:p>
        </w:tc>
        <w:tc>
          <w:tcPr/>
          <w:p>
            <w:pPr>
              <w:pStyle w:val="Compact"/>
            </w:pPr>
            <w:r>
              <w:t xml:space="preserve">No</w:t>
            </w:r>
          </w:p>
        </w:tc>
      </w:tr>
      <w:tr>
        <w:tc>
          <w:tcPr/>
          <w:p>
            <w:pPr>
              <w:pStyle w:val="Compact"/>
            </w:pPr>
            <w:r>
              <w:t xml:space="preserve">2021</w:t>
            </w:r>
          </w:p>
        </w:tc>
        <w:tc>
          <w:tcPr/>
          <w:p>
            <w:pPr>
              <w:pStyle w:val="Compact"/>
            </w:pPr>
            <w:r>
              <w:t xml:space="preserve">9th (Virtual)</w:t>
            </w:r>
          </w:p>
        </w:tc>
        <w:tc>
          <w:tcPr/>
          <w:p>
            <w:pPr>
              <w:pStyle w:val="Compact"/>
            </w:pPr>
            <w:hyperlink r:id="rId123">
              <w:r>
                <w:rPr>
                  <w:rStyle w:val="Hyperlink"/>
                </w:rPr>
                <w:t xml:space="preserve">https://sasgog.org/2021-abstracts/</w:t>
              </w:r>
            </w:hyperlink>
          </w:p>
        </w:tc>
        <w:tc>
          <w:tcPr/>
          <w:p>
            <w:pPr>
              <w:pStyle w:val="Compact"/>
            </w:pPr>
            <w:r>
              <w:t xml:space="preserve">No</w:t>
            </w:r>
          </w:p>
        </w:tc>
        <w:tc>
          <w:tcPr/>
          <w:p>
            <w:pPr>
              <w:pStyle w:val="Compact"/>
            </w:pPr>
            <w:r>
              <w:t xml:space="preserve">No</w:t>
            </w:r>
          </w:p>
        </w:tc>
      </w:tr>
      <w:tr>
        <w:tc>
          <w:tcPr/>
          <w:p>
            <w:pPr>
              <w:pStyle w:val="Compact"/>
            </w:pPr>
            <w:r>
              <w:t xml:space="preserve">2020</w:t>
            </w:r>
          </w:p>
        </w:tc>
        <w:tc>
          <w:tcPr/>
          <w:p>
            <w:pPr>
              <w:pStyle w:val="Compact"/>
            </w:pPr>
            <w:r>
              <w:t xml:space="preserve">8th (Virtual)</w:t>
            </w:r>
          </w:p>
        </w:tc>
        <w:tc>
          <w:tcPr/>
          <w:p>
            <w:pPr>
              <w:pStyle w:val="Compact"/>
            </w:pPr>
            <w:hyperlink r:id="rId124">
              <w:r>
                <w:rPr>
                  <w:rStyle w:val="Hyperlink"/>
                </w:rPr>
                <w:t xml:space="preserve">https://sasgog.org/2020-abstracts/</w:t>
              </w:r>
            </w:hyperlink>
          </w:p>
        </w:tc>
        <w:tc>
          <w:tcPr/>
          <w:p>
            <w:pPr>
              <w:pStyle w:val="Compact"/>
            </w:pPr>
            <w:r>
              <w:t xml:space="preserve">No</w:t>
            </w:r>
          </w:p>
        </w:tc>
        <w:tc>
          <w:tcPr/>
          <w:p>
            <w:pPr>
              <w:pStyle w:val="Compact"/>
            </w:pPr>
            <w:r>
              <w:t xml:space="preserve">No</w:t>
            </w:r>
          </w:p>
        </w:tc>
      </w:tr>
      <w:tr>
        <w:tc>
          <w:tcPr/>
          <w:p>
            <w:pPr>
              <w:pStyle w:val="Compact"/>
            </w:pPr>
            <w:r>
              <w:t xml:space="preserve">2019</w:t>
            </w:r>
          </w:p>
        </w:tc>
        <w:tc>
          <w:tcPr/>
          <w:p>
            <w:pPr>
              <w:pStyle w:val="Compact"/>
            </w:pPr>
            <w:r>
              <w:t xml:space="preserve">7th</w:t>
            </w:r>
          </w:p>
        </w:tc>
        <w:tc>
          <w:tcPr/>
          <w:p>
            <w:pPr>
              <w:pStyle w:val="Compact"/>
            </w:pPr>
            <w:hyperlink r:id="rId125">
              <w:r>
                <w:rPr>
                  <w:rStyle w:val="Hyperlink"/>
                </w:rPr>
                <w:t xml:space="preserve">https://sasgog.org/2019-abstracts/</w:t>
              </w:r>
            </w:hyperlink>
            <w:r>
              <w:t xml:space="preserve"> </w:t>
            </w:r>
            <w:r>
              <w:t xml:space="preserve">(likely)</w:t>
            </w:r>
          </w:p>
        </w:tc>
        <w:tc>
          <w:tcPr/>
          <w:p>
            <w:pPr>
              <w:pStyle w:val="Compact"/>
            </w:pPr>
            <w:r>
              <w:t xml:space="preserve">No</w:t>
            </w:r>
          </w:p>
        </w:tc>
        <w:tc>
          <w:tcPr/>
          <w:p>
            <w:pPr>
              <w:pStyle w:val="Compact"/>
            </w:pPr>
            <w:r>
              <w:t xml:space="preserve">No</w:t>
            </w:r>
          </w:p>
        </w:tc>
      </w:tr>
      <w:tr>
        <w:tc>
          <w:tcPr/>
          <w:p>
            <w:pPr>
              <w:pStyle w:val="Compact"/>
            </w:pPr>
            <w:r>
              <w:t xml:space="preserve">2018</w:t>
            </w:r>
          </w:p>
        </w:tc>
        <w:tc>
          <w:tcPr/>
          <w:p>
            <w:pPr>
              <w:pStyle w:val="Compact"/>
            </w:pPr>
            <w:r>
              <w:t xml:space="preserve">6th</w:t>
            </w:r>
          </w:p>
        </w:tc>
        <w:tc>
          <w:tcPr/>
          <w:p>
            <w:pPr>
              <w:pStyle w:val="Compact"/>
            </w:pPr>
            <w:hyperlink r:id="rId126">
              <w:r>
                <w:rPr>
                  <w:rStyle w:val="Hyperlink"/>
                </w:rPr>
                <w:t xml:space="preserve">https://sasgog.org/2018-abstracts/</w:t>
              </w:r>
            </w:hyperlink>
            <w:r>
              <w:t xml:space="preserve"> </w:t>
            </w:r>
            <w:r>
              <w:t xml:space="preserve">(likely)</w:t>
            </w:r>
          </w:p>
        </w:tc>
        <w:tc>
          <w:tcPr/>
          <w:p>
            <w:pPr>
              <w:pStyle w:val="Compact"/>
            </w:pPr>
            <w:r>
              <w:t xml:space="preserve">No</w:t>
            </w:r>
          </w:p>
        </w:tc>
        <w:tc>
          <w:tcPr/>
          <w:p>
            <w:pPr>
              <w:pStyle w:val="Compact"/>
            </w:pPr>
            <w:r>
              <w:t xml:space="preserve">No</w:t>
            </w:r>
          </w:p>
        </w:tc>
      </w:tr>
      <w:tr>
        <w:tc>
          <w:tcPr/>
          <w:p>
            <w:pPr>
              <w:pStyle w:val="Compact"/>
            </w:pPr>
            <w:r>
              <w:t xml:space="preserve">2017</w:t>
            </w:r>
          </w:p>
        </w:tc>
        <w:tc>
          <w:tcPr/>
          <w:p>
            <w:pPr>
              <w:pStyle w:val="Compact"/>
            </w:pPr>
            <w:r>
              <w:t xml:space="preserve">5th</w:t>
            </w:r>
          </w:p>
        </w:tc>
        <w:tc>
          <w:tcPr/>
          <w:p>
            <w:pPr>
              <w:pStyle w:val="Compact"/>
            </w:pPr>
            <w:r>
              <w:t xml:space="preserve">Unknown</w:t>
            </w:r>
          </w:p>
        </w:tc>
        <w:tc>
          <w:tcPr/>
          <w:p>
            <w:pPr>
              <w:pStyle w:val="Compact"/>
            </w:pPr>
            <w:r>
              <w:t xml:space="preserve">No</w:t>
            </w:r>
          </w:p>
        </w:tc>
        <w:tc>
          <w:tcPr/>
          <w:p>
            <w:pPr>
              <w:pStyle w:val="Compact"/>
            </w:pPr>
            <w:r>
              <w:t xml:space="preserve">No</w:t>
            </w:r>
          </w:p>
        </w:tc>
      </w:tr>
      <w:tr>
        <w:tc>
          <w:tcPr/>
          <w:p>
            <w:pPr>
              <w:pStyle w:val="Compact"/>
            </w:pPr>
            <w:r>
              <w:t xml:space="preserve">2016</w:t>
            </w:r>
          </w:p>
        </w:tc>
        <w:tc>
          <w:tcPr/>
          <w:p>
            <w:pPr>
              <w:pStyle w:val="Compact"/>
            </w:pPr>
            <w:r>
              <w:t xml:space="preserve">4th</w:t>
            </w:r>
          </w:p>
        </w:tc>
        <w:tc>
          <w:tcPr/>
          <w:p>
            <w:pPr>
              <w:pStyle w:val="Compact"/>
            </w:pPr>
            <w:r>
              <w:t xml:space="preserve">Unknown</w:t>
            </w:r>
          </w:p>
        </w:tc>
        <w:tc>
          <w:tcPr/>
          <w:p>
            <w:pPr>
              <w:pStyle w:val="Compact"/>
            </w:pPr>
            <w:r>
              <w:t xml:space="preserve">No</w:t>
            </w:r>
          </w:p>
        </w:tc>
        <w:tc>
          <w:tcPr/>
          <w:p>
            <w:pPr>
              <w:pStyle w:val="Compact"/>
            </w:pPr>
            <w:r>
              <w:t xml:space="preserve">No</w:t>
            </w:r>
          </w:p>
        </w:tc>
      </w:tr>
      <w:tr>
        <w:tc>
          <w:tcPr/>
          <w:p>
            <w:pPr>
              <w:pStyle w:val="Compact"/>
            </w:pPr>
            <w:r>
              <w:t xml:space="preserve">2015</w:t>
            </w:r>
          </w:p>
        </w:tc>
        <w:tc>
          <w:tcPr/>
          <w:p>
            <w:pPr>
              <w:pStyle w:val="Compact"/>
            </w:pPr>
            <w:r>
              <w:t xml:space="preserve">3rd</w:t>
            </w:r>
          </w:p>
        </w:tc>
        <w:tc>
          <w:tcPr/>
          <w:p>
            <w:pPr>
              <w:pStyle w:val="Compact"/>
            </w:pPr>
            <w:r>
              <w:t xml:space="preserve">Unknown</w:t>
            </w:r>
          </w:p>
        </w:tc>
        <w:tc>
          <w:tcPr/>
          <w:p>
            <w:pPr>
              <w:pStyle w:val="Compact"/>
            </w:pPr>
            <w:r>
              <w:t xml:space="preserve">No</w:t>
            </w:r>
          </w:p>
        </w:tc>
        <w:tc>
          <w:tcPr/>
          <w:p>
            <w:pPr>
              <w:pStyle w:val="Compact"/>
            </w:pPr>
            <w:r>
              <w:t xml:space="preserve">No</w:t>
            </w:r>
          </w:p>
        </w:tc>
      </w:tr>
      <w:tr>
        <w:tc>
          <w:tcPr/>
          <w:p>
            <w:pPr>
              <w:pStyle w:val="Compact"/>
            </w:pPr>
            <w:r>
              <w:t xml:space="preserve">2014</w:t>
            </w:r>
          </w:p>
        </w:tc>
        <w:tc>
          <w:tcPr/>
          <w:p>
            <w:pPr>
              <w:pStyle w:val="Compact"/>
            </w:pPr>
            <w:r>
              <w:t xml:space="preserve">2nd</w:t>
            </w:r>
          </w:p>
        </w:tc>
        <w:tc>
          <w:tcPr/>
          <w:p>
            <w:pPr>
              <w:pStyle w:val="Compact"/>
            </w:pPr>
            <w:r>
              <w:t xml:space="preserve">Unknown</w:t>
            </w:r>
          </w:p>
        </w:tc>
        <w:tc>
          <w:tcPr/>
          <w:p>
            <w:pPr>
              <w:pStyle w:val="Compact"/>
            </w:pPr>
            <w:r>
              <w:t xml:space="preserve">No</w:t>
            </w:r>
          </w:p>
        </w:tc>
        <w:tc>
          <w:tcPr/>
          <w:p>
            <w:pPr>
              <w:pStyle w:val="Compact"/>
            </w:pPr>
            <w:r>
              <w:t xml:space="preserve">No</w:t>
            </w:r>
          </w:p>
        </w:tc>
      </w:tr>
      <w:tr>
        <w:tc>
          <w:tcPr/>
          <w:p>
            <w:pPr>
              <w:pStyle w:val="Compact"/>
            </w:pPr>
            <w:r>
              <w:t xml:space="preserve">2013</w:t>
            </w:r>
          </w:p>
        </w:tc>
        <w:tc>
          <w:tcPr/>
          <w:p>
            <w:pPr>
              <w:pStyle w:val="Compact"/>
            </w:pPr>
            <w:r>
              <w:t xml:space="preserve">1st</w:t>
            </w:r>
          </w:p>
        </w:tc>
        <w:tc>
          <w:tcPr/>
          <w:p>
            <w:pPr>
              <w:pStyle w:val="Compact"/>
            </w:pPr>
            <w:r>
              <w:t xml:space="preserve">May not exist (society founded 2012)</w:t>
            </w:r>
          </w:p>
        </w:tc>
        <w:tc>
          <w:tcPr/>
          <w:p>
            <w:pPr>
              <w:pStyle w:val="Compact"/>
            </w:pPr>
            <w:r>
              <w:t xml:space="preserve">No</w:t>
            </w:r>
          </w:p>
        </w:tc>
        <w:tc>
          <w:tcPr/>
          <w:p>
            <w:pPr>
              <w:pStyle w:val="Compact"/>
            </w:pPr>
            <w:r>
              <w:t xml:space="preserve">No</w:t>
            </w:r>
          </w:p>
        </w:tc>
      </w:tr>
    </w:tbl>
    <w:p>
      <w:pPr>
        <w:pStyle w:val="BodyText"/>
      </w:pPr>
      <w:r>
        <w:rPr>
          <w:i/>
          <w:iCs/>
        </w:rPr>
        <w:t xml:space="preserve">Sources:</w:t>
      </w:r>
      <w:r>
        <w:rPr>
          <w:i/>
          <w:iCs/>
        </w:rPr>
        <w:t xml:space="preserve"> </w:t>
      </w:r>
      <w:hyperlink r:id="rId127">
        <w:r>
          <w:rPr>
            <w:rStyle w:val="Hyperlink"/>
            <w:i/>
            <w:iCs/>
          </w:rPr>
          <w:t xml:space="preserve">https://sasgog.org/abstracts/</w:t>
        </w:r>
      </w:hyperlink>
      <w:r>
        <w:rPr>
          <w:i/>
          <w:iCs/>
        </w:rPr>
        <w:t xml:space="preserve">;</w:t>
      </w:r>
      <w:r>
        <w:rPr>
          <w:i/>
          <w:iCs/>
        </w:rPr>
        <w:t xml:space="preserve"> </w:t>
      </w:r>
      <w:hyperlink r:id="rId128">
        <w:r>
          <w:rPr>
            <w:rStyle w:val="Hyperlink"/>
            <w:i/>
            <w:iCs/>
          </w:rPr>
          <w:t xml:space="preserve">https://sasgog.org/about/</w:t>
        </w:r>
      </w:hyperlink>
      <w:r>
        <w:rPr>
          <w:i/>
          <w:iCs/>
        </w:rPr>
        <w:t xml:space="preserve">;</w:t>
      </w:r>
      <w:r>
        <w:rPr>
          <w:i/>
          <w:iCs/>
        </w:rPr>
        <w:t xml:space="preserve"> </w:t>
      </w:r>
      <w:hyperlink r:id="rId129">
        <w:r>
          <w:rPr>
            <w:rStyle w:val="Hyperlink"/>
            <w:i/>
            <w:iCs/>
          </w:rPr>
          <w:t xml:space="preserve">https://sasgog.org/annual-meeting/</w:t>
        </w:r>
      </w:hyperlink>
    </w:p>
    <w:p>
      <w:r>
        <w:pict>
          <v:rect style="width:0;height:1.5pt" o:hralign="center" o:hrstd="t" o:hr="t"/>
        </w:pict>
      </w:r>
    </w:p>
    <w:bookmarkEnd w:id="130"/>
    <w:bookmarkStart w:id="131" w:name="X7b18389947ade32de4525295c441a70d797cd2a"/>
    <w:p>
      <w:pPr>
        <w:pStyle w:val="Heading3"/>
      </w:pPr>
      <w:r>
        <w:t xml:space="preserve">A11.16 Complete Society Comparison — Abstract Accessibility and Pipeline Feasibility</w:t>
      </w:r>
    </w:p>
    <w:p>
      <w:pPr>
        <w:pStyle w:val="FirstParagraph"/>
      </w:pPr>
      <w:r>
        <w:t xml:space="preserve">The table below summarizes all seven societies assessed for pipeline expansion, ranked by pipeline feasibility.</w:t>
      </w:r>
    </w:p>
    <w:tbl>
      <w:tblPr>
        <w:tblStyle w:val="Table"/>
        <w:tblW w:type="pct" w:w="5000"/>
        <w:tblLayout w:type="fixed"/>
        <w:tblLook w:firstRow="1" w:lastRow="0" w:firstColumn="0" w:lastColumn="0" w:noHBand="0" w:noVBand="0" w:val="0020"/>
      </w:tblPr>
      <w:tblGrid>
        <w:gridCol w:w="619"/>
        <w:gridCol w:w="619"/>
        <w:gridCol w:w="688"/>
        <w:gridCol w:w="1101"/>
        <w:gridCol w:w="1101"/>
        <w:gridCol w:w="1033"/>
        <w:gridCol w:w="1308"/>
        <w:gridCol w:w="1446"/>
      </w:tblGrid>
      <w:tr>
        <w:trPr>
          <w:tblHeader w:val="on"/>
        </w:trPr>
        <w:tc>
          <w:tcPr/>
          <w:p>
            <w:pPr>
              <w:pStyle w:val="Compact"/>
            </w:pPr>
            <w:r>
              <w:t xml:space="preserve">Society</w:t>
            </w:r>
          </w:p>
        </w:tc>
        <w:tc>
          <w:tcPr/>
          <w:p>
            <w:pPr>
              <w:pStyle w:val="Compact"/>
            </w:pPr>
            <w:r>
              <w:t xml:space="preserve">Journal</w:t>
            </w:r>
          </w:p>
        </w:tc>
        <w:tc>
          <w:tcPr/>
          <w:p>
            <w:pPr>
              <w:pStyle w:val="Compact"/>
            </w:pPr>
            <w:r>
              <w:t xml:space="preserve">Platform</w:t>
            </w:r>
          </w:p>
        </w:tc>
        <w:tc>
          <w:tcPr/>
          <w:p>
            <w:pPr>
              <w:pStyle w:val="Compact"/>
            </w:pPr>
            <w:r>
              <w:t xml:space="preserve">Individual DOIs</w:t>
            </w:r>
          </w:p>
        </w:tc>
        <w:tc>
          <w:tcPr/>
          <w:p>
            <w:pPr>
              <w:pStyle w:val="Compact"/>
            </w:pPr>
            <w:r>
              <w:t xml:space="preserve">PubMed Indexed</w:t>
            </w:r>
          </w:p>
        </w:tc>
        <w:tc>
          <w:tcPr/>
          <w:p>
            <w:pPr>
              <w:pStyle w:val="Compact"/>
            </w:pPr>
            <w:r>
              <w:t xml:space="preserve">Auth Required</w:t>
            </w:r>
          </w:p>
        </w:tc>
        <w:tc>
          <w:tcPr/>
          <w:p>
            <w:pPr>
              <w:pStyle w:val="Compact"/>
            </w:pPr>
            <w:r>
              <w:t xml:space="preserve">Avg Abstracts/Year</w:t>
            </w:r>
          </w:p>
        </w:tc>
        <w:tc>
          <w:tcPr/>
          <w:p>
            <w:pPr>
              <w:pStyle w:val="Compact"/>
            </w:pPr>
            <w:r>
              <w:t xml:space="preserve">Pipeline Feasibility</w:t>
            </w:r>
          </w:p>
        </w:tc>
      </w:tr>
      <w:tr>
        <w:tc>
          <w:tcPr/>
          <w:p>
            <w:pPr>
              <w:pStyle w:val="Compact"/>
            </w:pPr>
            <w:r>
              <w:rPr>
                <w:b/>
                <w:bCs/>
              </w:rPr>
              <w:t xml:space="preserve">AAGL</w:t>
            </w:r>
          </w:p>
        </w:tc>
        <w:tc>
          <w:tcPr/>
          <w:p>
            <w:pPr>
              <w:pStyle w:val="Compact"/>
            </w:pPr>
            <w:r>
              <w:t xml:space="preserve">JMIG</w:t>
            </w:r>
          </w:p>
        </w:tc>
        <w:tc>
          <w:tcPr/>
          <w:p>
            <w:pPr>
              <w:pStyle w:val="Compact"/>
            </w:pPr>
            <w:r>
              <w:t xml:space="preserve">ScienceDirect</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~90</w:t>
            </w:r>
          </w:p>
        </w:tc>
        <w:tc>
          <w:tcPr/>
          <w:p>
            <w:pPr>
              <w:pStyle w:val="Compact"/>
            </w:pPr>
            <w:r>
              <w:t xml:space="preserve">✓ Current</w:t>
            </w:r>
          </w:p>
        </w:tc>
      </w:tr>
      <w:tr>
        <w:tc>
          <w:tcPr/>
          <w:p>
            <w:pPr>
              <w:pStyle w:val="Compact"/>
            </w:pPr>
            <w:r>
              <w:rPr>
                <w:b/>
                <w:bCs/>
              </w:rPr>
              <w:t xml:space="preserve">SMFM</w:t>
            </w:r>
          </w:p>
        </w:tc>
        <w:tc>
          <w:tcPr/>
          <w:p>
            <w:pPr>
              <w:pStyle w:val="Compact"/>
            </w:pPr>
            <w:r>
              <w:t xml:space="preserve">AJOG</w:t>
            </w:r>
          </w:p>
        </w:tc>
        <w:tc>
          <w:tcPr/>
          <w:p>
            <w:pPr>
              <w:pStyle w:val="Compact"/>
            </w:pPr>
            <w:r>
              <w:t xml:space="preserve">ScienceDirect</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~500</w:t>
            </w:r>
          </w:p>
        </w:tc>
        <w:tc>
          <w:tcPr/>
          <w:p>
            <w:pPr>
              <w:pStyle w:val="Compact"/>
            </w:pPr>
            <w:r>
              <w:t xml:space="preserve">✓ High</w:t>
            </w:r>
          </w:p>
        </w:tc>
      </w:tr>
      <w:tr>
        <w:tc>
          <w:tcPr/>
          <w:p>
            <w:pPr>
              <w:pStyle w:val="Compact"/>
            </w:pPr>
            <w:r>
              <w:rPr>
                <w:b/>
                <w:bCs/>
              </w:rPr>
              <w:t xml:space="preserve">NASPAG</w:t>
            </w:r>
          </w:p>
        </w:tc>
        <w:tc>
          <w:tcPr/>
          <w:p>
            <w:pPr>
              <w:pStyle w:val="Compact"/>
            </w:pPr>
            <w:r>
              <w:t xml:space="preserve">JPAG</w:t>
            </w:r>
          </w:p>
        </w:tc>
        <w:tc>
          <w:tcPr/>
          <w:p>
            <w:pPr>
              <w:pStyle w:val="Compact"/>
            </w:pPr>
            <w:r>
              <w:t xml:space="preserve">ScienceDirect</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~35</w:t>
            </w:r>
          </w:p>
        </w:tc>
        <w:tc>
          <w:tcPr/>
          <w:p>
            <w:pPr>
              <w:pStyle w:val="Compact"/>
            </w:pPr>
            <w:r>
              <w:t xml:space="preserve">✓ High</w:t>
            </w:r>
          </w:p>
        </w:tc>
      </w:tr>
      <w:tr>
        <w:tc>
          <w:tcPr/>
          <w:p>
            <w:pPr>
              <w:pStyle w:val="Compact"/>
            </w:pPr>
            <w:r>
              <w:rPr>
                <w:b/>
                <w:bCs/>
              </w:rPr>
              <w:t xml:space="preserve">ASRM</w:t>
            </w:r>
          </w:p>
        </w:tc>
        <w:tc>
          <w:tcPr/>
          <w:p>
            <w:pPr>
              <w:pStyle w:val="Compact"/>
            </w:pPr>
            <w:r>
              <w:t xml:space="preserve">F&amp;S</w:t>
            </w:r>
          </w:p>
        </w:tc>
        <w:tc>
          <w:tcPr/>
          <w:p>
            <w:pPr>
              <w:pStyle w:val="Compact"/>
            </w:pPr>
            <w:r>
              <w:t xml:space="preserve">ScienceDirect</w:t>
            </w:r>
          </w:p>
        </w:tc>
        <w:tc>
          <w:tcPr/>
          <w:p>
            <w:pPr>
              <w:pStyle w:val="Compact"/>
            </w:pPr>
            <w:r>
              <w:t xml:space="preserve">Yes</w:t>
            </w:r>
          </w:p>
        </w:tc>
        <w:tc>
          <w:tcPr/>
          <w:p>
            <w:pPr>
              <w:pStyle w:val="Compact"/>
            </w:pPr>
            <w:r>
              <w:t xml:space="preserve">Yes</w:t>
            </w:r>
          </w:p>
        </w:tc>
        <w:tc>
          <w:tcPr/>
          <w:p>
            <w:pPr>
              <w:pStyle w:val="Compact"/>
            </w:pPr>
            <w:r>
              <w:t xml:space="preserve">Yes (browse)</w:t>
            </w:r>
          </w:p>
        </w:tc>
        <w:tc>
          <w:tcPr/>
          <w:p>
            <w:pPr>
              <w:pStyle w:val="Compact"/>
            </w:pPr>
            <w:r>
              <w:t xml:space="preserve">~1,200</w:t>
            </w:r>
          </w:p>
        </w:tc>
        <w:tc>
          <w:tcPr/>
          <w:p>
            <w:pPr>
              <w:pStyle w:val="Compact"/>
            </w:pPr>
            <w:r>
              <w:t xml:space="preserve">✓ Medium</w:t>
            </w:r>
          </w:p>
        </w:tc>
      </w:tr>
      <w:tr>
        <w:tc>
          <w:tcPr/>
          <w:p>
            <w:pPr>
              <w:pStyle w:val="Compact"/>
            </w:pPr>
            <w:r>
              <w:rPr>
                <w:b/>
                <w:bCs/>
              </w:rPr>
              <w:t xml:space="preserve">SFP</w:t>
            </w:r>
          </w:p>
        </w:tc>
        <w:tc>
          <w:tcPr/>
          <w:p>
            <w:pPr>
              <w:pStyle w:val="Compact"/>
            </w:pPr>
            <w:r>
              <w:t xml:space="preserve">Contraception</w:t>
            </w:r>
          </w:p>
        </w:tc>
        <w:tc>
          <w:tcPr/>
          <w:p>
            <w:pPr>
              <w:pStyle w:val="Compact"/>
            </w:pPr>
            <w:r>
              <w:t xml:space="preserve">ScienceDirect</w:t>
            </w:r>
          </w:p>
        </w:tc>
        <w:tc>
          <w:tcPr/>
          <w:p>
            <w:pPr>
              <w:pStyle w:val="Compact"/>
            </w:pPr>
            <w:r>
              <w:t xml:space="preserve">No (collection-level)</w:t>
            </w:r>
          </w:p>
        </w:tc>
        <w:tc>
          <w:tcPr/>
          <w:p>
            <w:pPr>
              <w:pStyle w:val="Compact"/>
            </w:pPr>
            <w:r>
              <w:t xml:space="preserve">Yes</w:t>
            </w:r>
          </w:p>
        </w:tc>
        <w:tc>
          <w:tcPr/>
          <w:p>
            <w:pPr>
              <w:pStyle w:val="Compact"/>
            </w:pPr>
            <w:r>
              <w:t xml:space="preserve">No</w:t>
            </w:r>
          </w:p>
        </w:tc>
        <w:tc>
          <w:tcPr/>
          <w:p>
            <w:pPr>
              <w:pStyle w:val="Compact"/>
            </w:pPr>
            <w:r>
              <w:t xml:space="preserve">~300</w:t>
            </w:r>
          </w:p>
        </w:tc>
        <w:tc>
          <w:tcPr/>
          <w:p>
            <w:pPr>
              <w:pStyle w:val="Compact"/>
            </w:pPr>
            <w:r>
              <w:t xml:space="preserve">△ Medium</w:t>
            </w:r>
          </w:p>
        </w:tc>
      </w:tr>
      <w:tr>
        <w:tc>
          <w:tcPr/>
          <w:p>
            <w:pPr>
              <w:pStyle w:val="Compact"/>
            </w:pPr>
            <w:r>
              <w:rPr>
                <w:b/>
                <w:bCs/>
              </w:rPr>
              <w:t xml:space="preserve">AUGS</w:t>
            </w:r>
          </w:p>
        </w:tc>
        <w:tc>
          <w:tcPr/>
          <w:p>
            <w:pPr>
              <w:pStyle w:val="Compact"/>
            </w:pPr>
            <w:r>
              <w:t xml:space="preserve">Urogynecology</w:t>
            </w:r>
          </w:p>
        </w:tc>
        <w:tc>
          <w:tcPr/>
          <w:p>
            <w:pPr>
              <w:pStyle w:val="Compact"/>
            </w:pPr>
            <w:r>
              <w:t xml:space="preserve">LWW</w:t>
            </w:r>
          </w:p>
        </w:tc>
        <w:tc>
          <w:tcPr/>
          <w:p>
            <w:pPr>
              <w:pStyle w:val="Compact"/>
            </w:pPr>
            <w:r>
              <w:t xml:space="preserve">No (supplement-level)</w:t>
            </w:r>
          </w:p>
        </w:tc>
        <w:tc>
          <w:tcPr/>
          <w:p>
            <w:pPr>
              <w:pStyle w:val="Compact"/>
            </w:pPr>
            <w:r>
              <w:t xml:space="preserve">Yes</w:t>
            </w:r>
          </w:p>
        </w:tc>
        <w:tc>
          <w:tcPr/>
          <w:p>
            <w:pPr>
              <w:pStyle w:val="Compact"/>
            </w:pPr>
            <w:r>
              <w:t xml:space="preserve">No</w:t>
            </w:r>
          </w:p>
        </w:tc>
        <w:tc>
          <w:tcPr/>
          <w:p>
            <w:pPr>
              <w:pStyle w:val="Compact"/>
            </w:pPr>
            <w:r>
              <w:t xml:space="preserve">~400</w:t>
            </w:r>
          </w:p>
        </w:tc>
        <w:tc>
          <w:tcPr/>
          <w:p>
            <w:pPr>
              <w:pStyle w:val="Compact"/>
            </w:pPr>
            <w:r>
              <w:t xml:space="preserve">△ Medium</w:t>
            </w:r>
          </w:p>
        </w:tc>
      </w:tr>
      <w:tr>
        <w:tc>
          <w:tcPr/>
          <w:p>
            <w:pPr>
              <w:pStyle w:val="Compact"/>
            </w:pPr>
            <w:r>
              <w:rPr>
                <w:b/>
                <w:bCs/>
              </w:rPr>
              <w:t xml:space="preserve">SASGOG</w:t>
            </w:r>
          </w:p>
        </w:tc>
        <w:tc>
          <w:tcPr/>
          <w:p>
            <w:pPr>
              <w:pStyle w:val="Compact"/>
            </w:pPr>
            <w:r>
              <w:t xml:space="preserve">None</w:t>
            </w:r>
          </w:p>
        </w:tc>
        <w:tc>
          <w:tcPr/>
          <w:p>
            <w:pPr>
              <w:pStyle w:val="Compact"/>
            </w:pPr>
            <w:r>
              <w:t xml:space="preserve">Society website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~50</w:t>
            </w:r>
          </w:p>
        </w:tc>
        <w:tc>
          <w:tcPr/>
          <w:p>
            <w:pPr>
              <w:pStyle w:val="Compact"/>
            </w:pPr>
            <w:r>
              <w:t xml:space="preserve">✗ Low</w:t>
            </w:r>
          </w:p>
        </w:tc>
      </w:tr>
    </w:tbl>
    <w:p>
      <w:pPr>
        <w:pStyle w:val="BodyText"/>
      </w:pPr>
      <w:r>
        <w:rPr>
          <w:b/>
          <w:bCs/>
        </w:rPr>
        <w:t xml:space="preserve">Feasibility criteria:</w:t>
      </w:r>
      <w:r>
        <w:t xml:space="preserve"> </w:t>
      </w:r>
      <w:r>
        <w:t xml:space="preserve">High = individual DOIs + Elsevier/ScienceDirect + no auth; Medium = collection-level DOIs or non-Elsevier platform requiring new scraper; Low = no journal publication, no DOIs, no PubMed indexing.</w:t>
      </w:r>
    </w:p>
    <w:bookmarkEnd w:id="131"/>
    <w:bookmarkStart w:id="132" w:name="X61b833992d9025087d2a690a5fd5e57ff4747fa"/>
    <w:p>
      <w:pPr>
        <w:pStyle w:val="Heading3"/>
      </w:pPr>
      <w:r>
        <w:t xml:space="preserve">A11.17 SGO Annual Meeting Abstracts (2013–2023)</w:t>
      </w:r>
    </w:p>
    <w:p>
      <w:pPr>
        <w:pStyle w:val="FirstParagraph"/>
      </w:pPr>
      <w:r>
        <w:t xml:space="preserve">SGO (Society of Gynecologic Oncology) annual meeting abstracts are published as supplement issues of</w:t>
      </w:r>
      <w:r>
        <w:t xml:space="preserve"> </w:t>
      </w:r>
      <w:r>
        <w:rPr>
          <w:i/>
          <w:iCs/>
        </w:rPr>
        <w:t xml:space="preserve">Gynecologic Oncology</w:t>
      </w:r>
      <w:r>
        <w:t xml:space="preserve"> </w:t>
      </w:r>
      <w:r>
        <w:t xml:space="preserve">(ISSN 0090-8258, Elsevier/ScienceDirect). Every abstract receives a unique DOI — guaranteed by CrossRef registration enforcement, Elsevier’s PII system (algorithmically unique within the journal namespace), and sequential article numbering (monotonically increasing NNN counter per calendar month). Individual abstract DOIs resolve publicly via</w:t>
      </w:r>
      <w:r>
        <w:t xml:space="preserve"> </w:t>
      </w:r>
      <w:r>
        <w:rPr>
          <w:rStyle w:val="VerbatimChar"/>
        </w:rPr>
        <w:t xml:space="preserve">https://doi.org/10.1016/j.ygyno.YYYY.MM.NNN</w:t>
      </w:r>
      <w:r>
        <w:t xml:space="preserve">; full supplement browsing requires institutional ScienceDirect access.</w:t>
      </w:r>
    </w:p>
    <w:p>
      <w:pPr>
        <w:pStyle w:val="BodyText"/>
      </w:pPr>
      <w:r>
        <w:rPr>
          <w:b/>
          <w:bCs/>
        </w:rPr>
        <w:t xml:space="preserve">2013 note:</w:t>
      </w:r>
      <w:r>
        <w:t xml:space="preserve"> </w:t>
      </w:r>
      <w:r>
        <w:t xml:space="preserve">No dedicated SGO abstract supplement exists for 2013. Volume 129 Suppl S1 is an unrelated genomics supplement. The closest published record is a</w:t>
      </w:r>
      <w:r>
        <w:t xml:space="preserve"> </w:t>
      </w:r>
      <w:r>
        <w:t xml:space="preserve">“Summary of the 44th Annual Meeting on Women’s Cancers”</w:t>
      </w:r>
      <w:r>
        <w:t xml:space="preserve"> </w:t>
      </w:r>
      <w:r>
        <w:t xml:space="preserve">(DOI 10.1016/j.ygyno.2013.03.028, Vol 129 Issue 2). Dedicated SGO supplement issues began consistently in 2014.</w:t>
      </w:r>
    </w:p>
    <w:p>
      <w:pPr>
        <w:pStyle w:val="BodyText"/>
      </w:pPr>
      <w:r>
        <w:rPr>
          <w:b/>
          <w:bCs/>
        </w:rPr>
        <w:t xml:space="preserve">2020 note:</w:t>
      </w:r>
      <w:r>
        <w:t xml:space="preserve"> </w:t>
      </w:r>
      <w:r>
        <w:t xml:space="preserve">The in-person meeting was cancelled due to COVID-19 — SGO’s first cancellation in history. All 757 selected abstracts (49 plenary + 59 featured poster + 635 poster + 14 late-breaking) were still published in the October 2020 supplement, and SGO held free webinars to present the science.</w:t>
      </w:r>
    </w:p>
    <w:tbl>
      <w:tblPr>
        <w:tblStyle w:val="Table"/>
        <w:tblW w:type="pct" w:w="5000"/>
        <w:tblLayout w:type="fixed"/>
        <w:tblLook w:firstRow="1" w:lastRow="0" w:firstColumn="0" w:lastColumn="0" w:noHBand="0" w:noVBand="0" w:val="0020"/>
      </w:tblPr>
      <w:tblGrid>
        <w:gridCol w:w="617"/>
        <w:gridCol w:w="1234"/>
        <w:gridCol w:w="822"/>
        <w:gridCol w:w="1954"/>
        <w:gridCol w:w="1337"/>
        <w:gridCol w:w="1954"/>
      </w:tblGrid>
      <w:tr>
        <w:trPr>
          <w:tblHeader w:val="on"/>
        </w:trPr>
        <w:tc>
          <w:tcPr/>
          <w:p>
            <w:pPr>
              <w:pStyle w:val="Compact"/>
            </w:pPr>
            <w:r>
              <w:t xml:space="preserve">Year</w:t>
            </w:r>
          </w:p>
        </w:tc>
        <w:tc>
          <w:tcPr/>
          <w:p>
            <w:pPr>
              <w:pStyle w:val="Compact"/>
            </w:pPr>
            <w:r>
              <w:t xml:space="preserve">SGO Meeting</w:t>
            </w:r>
          </w:p>
        </w:tc>
        <w:tc>
          <w:tcPr/>
          <w:p>
            <w:pPr>
              <w:pStyle w:val="Compact"/>
            </w:pPr>
            <w:r>
              <w:t xml:space="preserve">Volume</w:t>
            </w:r>
          </w:p>
        </w:tc>
        <w:tc>
          <w:tcPr/>
          <w:p>
            <w:pPr>
              <w:pStyle w:val="Compact"/>
            </w:pPr>
            <w:r>
              <w:t xml:space="preserve">ScienceDirect URL</w:t>
            </w:r>
          </w:p>
        </w:tc>
        <w:tc>
          <w:tcPr/>
          <w:p>
            <w:pPr>
              <w:pStyle w:val="Compact"/>
            </w:pPr>
            <w:r>
              <w:t xml:space="preserve">DOI Pattern</w:t>
            </w:r>
          </w:p>
        </w:tc>
        <w:tc>
          <w:tcPr/>
          <w:p>
            <w:pPr>
              <w:pStyle w:val="Compact"/>
            </w:pPr>
            <w:r>
              <w:t xml:space="preserve">Approx. Abstracts</w:t>
            </w:r>
          </w:p>
        </w:tc>
      </w:tr>
      <w:tr>
        <w:tc>
          <w:tcPr/>
          <w:p>
            <w:pPr>
              <w:pStyle w:val="Compact"/>
            </w:pPr>
            <w:r>
              <w:t xml:space="preserve">2023</w:t>
            </w:r>
          </w:p>
        </w:tc>
        <w:tc>
          <w:tcPr/>
          <w:p>
            <w:pPr>
              <w:pStyle w:val="Compact"/>
            </w:pPr>
            <w:r>
              <w:t xml:space="preserve">54th Annual</w:t>
            </w:r>
          </w:p>
        </w:tc>
        <w:tc>
          <w:tcPr/>
          <w:p>
            <w:pPr>
              <w:pStyle w:val="Compact"/>
            </w:pPr>
            <w:r>
              <w:t xml:space="preserve">176, Suppl S1</w:t>
            </w:r>
          </w:p>
        </w:tc>
        <w:tc>
          <w:tcPr/>
          <w:p>
            <w:pPr>
              <w:pStyle w:val="Compact"/>
            </w:pPr>
            <w:r>
              <w:t xml:space="preserve">sciencedirect.com/…/vol/176/suppl/S1</w:t>
            </w:r>
          </w:p>
        </w:tc>
        <w:tc>
          <w:tcPr/>
          <w:p>
            <w:pPr>
              <w:pStyle w:val="Compact"/>
            </w:pPr>
            <w:r>
              <w:t xml:space="preserve">10.1016/j.ygyno.2023.06.NNN</w:t>
            </w:r>
          </w:p>
        </w:tc>
        <w:tc>
          <w:tcPr/>
          <w:p>
            <w:pPr>
              <w:pStyle w:val="Compact"/>
            </w:pPr>
            <w:r>
              <w:t xml:space="preserve">~600</w:t>
            </w:r>
          </w:p>
        </w:tc>
      </w:tr>
      <w:tr>
        <w:tc>
          <w:tcPr/>
          <w:p>
            <w:pPr>
              <w:pStyle w:val="Compact"/>
            </w:pPr>
            <w:r>
              <w:t xml:space="preserve">2022</w:t>
            </w:r>
          </w:p>
        </w:tc>
        <w:tc>
          <w:tcPr/>
          <w:p>
            <w:pPr>
              <w:pStyle w:val="Compact"/>
            </w:pPr>
            <w:r>
              <w:t xml:space="preserve">53rd Annual (Phoenix, AZ, Mar 18–21)</w:t>
            </w:r>
          </w:p>
        </w:tc>
        <w:tc>
          <w:tcPr/>
          <w:p>
            <w:pPr>
              <w:pStyle w:val="Compact"/>
            </w:pPr>
            <w:r>
              <w:t xml:space="preserve">166, Suppl S1</w:t>
            </w:r>
          </w:p>
        </w:tc>
        <w:tc>
          <w:tcPr/>
          <w:p>
            <w:pPr>
              <w:pStyle w:val="Compact"/>
            </w:pPr>
            <w:r>
              <w:t xml:space="preserve">sciencedirect.com/…/vol/166/suppl/S1</w:t>
            </w:r>
          </w:p>
        </w:tc>
        <w:tc>
          <w:tcPr/>
          <w:p>
            <w:pPr>
              <w:pStyle w:val="Compact"/>
            </w:pPr>
            <w:r>
              <w:t xml:space="preserve">10.1016/S0090-8258(22)XXXXX-X</w:t>
            </w:r>
          </w:p>
        </w:tc>
        <w:tc>
          <w:tcPr/>
          <w:p>
            <w:pPr>
              <w:pStyle w:val="Compact"/>
            </w:pPr>
            <w:r>
              <w:t xml:space="preserve">~580</w:t>
            </w:r>
          </w:p>
        </w:tc>
      </w:tr>
      <w:tr>
        <w:tc>
          <w:tcPr/>
          <w:p>
            <w:pPr>
              <w:pStyle w:val="Compact"/>
            </w:pPr>
            <w:r>
              <w:t xml:space="preserve">2021</w:t>
            </w:r>
          </w:p>
        </w:tc>
        <w:tc>
          <w:tcPr/>
          <w:p>
            <w:pPr>
              <w:pStyle w:val="Compact"/>
            </w:pPr>
            <w:r>
              <w:t xml:space="preserve">52nd Annual</w:t>
            </w:r>
          </w:p>
        </w:tc>
        <w:tc>
          <w:tcPr/>
          <w:p>
            <w:pPr>
              <w:pStyle w:val="Compact"/>
            </w:pPr>
            <w:r>
              <w:t xml:space="preserve">162, Suppl S1</w:t>
            </w:r>
          </w:p>
        </w:tc>
        <w:tc>
          <w:tcPr/>
          <w:p>
            <w:pPr>
              <w:pStyle w:val="Compact"/>
            </w:pPr>
            <w:r>
              <w:t xml:space="preserve">sciencedirect.com/…/vol/162/suppl/S1</w:t>
            </w:r>
          </w:p>
        </w:tc>
        <w:tc>
          <w:tcPr/>
          <w:p>
            <w:pPr>
              <w:pStyle w:val="Compact"/>
            </w:pPr>
            <w:r>
              <w:t xml:space="preserve">10.1016/S0090-8258(21)XXXXX-X</w:t>
            </w:r>
          </w:p>
        </w:tc>
        <w:tc>
          <w:tcPr/>
          <w:p>
            <w:pPr>
              <w:pStyle w:val="Compact"/>
            </w:pPr>
            <w:r>
              <w:t xml:space="preserve">~700</w:t>
            </w:r>
          </w:p>
        </w:tc>
      </w:tr>
      <w:tr>
        <w:tc>
          <w:tcPr/>
          <w:p>
            <w:pPr>
              <w:pStyle w:val="Compact"/>
            </w:pPr>
            <w:r>
              <w:t xml:space="preserve">2020</w:t>
            </w:r>
          </w:p>
        </w:tc>
        <w:tc>
          <w:tcPr/>
          <w:p>
            <w:pPr>
              <w:pStyle w:val="Compact"/>
            </w:pPr>
            <w:r>
              <w:t xml:space="preserve">51st Annual (cancelled — COVID-19)</w:t>
            </w:r>
          </w:p>
        </w:tc>
        <w:tc>
          <w:tcPr/>
          <w:p>
            <w:pPr>
              <w:pStyle w:val="Compact"/>
            </w:pPr>
            <w:r>
              <w:t xml:space="preserve">159, Suppl S1</w:t>
            </w:r>
          </w:p>
        </w:tc>
        <w:tc>
          <w:tcPr/>
          <w:p>
            <w:pPr>
              <w:pStyle w:val="Compact"/>
            </w:pPr>
            <w:r>
              <w:t xml:space="preserve">sciencedirect.com/…/vol/159/suppl/S1</w:t>
            </w:r>
          </w:p>
        </w:tc>
        <w:tc>
          <w:tcPr/>
          <w:p>
            <w:pPr>
              <w:pStyle w:val="Compact"/>
            </w:pPr>
            <w:r>
              <w:t xml:space="preserve">10.1016/j.ygyno.2020.06.NNN</w:t>
            </w:r>
          </w:p>
        </w:tc>
        <w:tc>
          <w:tcPr/>
          <w:p>
            <w:pPr>
              <w:pStyle w:val="Compact"/>
            </w:pPr>
            <w:r>
              <w:t xml:space="preserve">757</w:t>
            </w:r>
          </w:p>
        </w:tc>
      </w:tr>
      <w:tr>
        <w:tc>
          <w:tcPr/>
          <w:p>
            <w:pPr>
              <w:pStyle w:val="Compact"/>
            </w:pPr>
            <w:r>
              <w:t xml:space="preserve">2019</w:t>
            </w:r>
          </w:p>
        </w:tc>
        <w:tc>
          <w:tcPr/>
          <w:p>
            <w:pPr>
              <w:pStyle w:val="Compact"/>
            </w:pPr>
            <w:r>
              <w:t xml:space="preserve">50th Annual (Honolulu, HI, Mar 16–19)</w:t>
            </w:r>
          </w:p>
        </w:tc>
        <w:tc>
          <w:tcPr/>
          <w:p>
            <w:pPr>
              <w:pStyle w:val="Compact"/>
            </w:pPr>
            <w:r>
              <w:t xml:space="preserve">154, Suppl S1</w:t>
            </w:r>
          </w:p>
        </w:tc>
        <w:tc>
          <w:tcPr/>
          <w:p>
            <w:pPr>
              <w:pStyle w:val="Compact"/>
            </w:pPr>
            <w:r>
              <w:t xml:space="preserve">sciencedirect.com/…/vol/154/suppl/S1</w:t>
            </w:r>
          </w:p>
        </w:tc>
        <w:tc>
          <w:tcPr/>
          <w:p>
            <w:pPr>
              <w:pStyle w:val="Compact"/>
            </w:pPr>
            <w:r>
              <w:t xml:space="preserve">10.1016/j.ygyno.2019.04.NNN</w:t>
            </w:r>
          </w:p>
        </w:tc>
        <w:tc>
          <w:tcPr/>
          <w:p>
            <w:pPr>
              <w:pStyle w:val="Compact"/>
            </w:pPr>
            <w:r>
              <w:t xml:space="preserve">~500</w:t>
            </w:r>
          </w:p>
        </w:tc>
      </w:tr>
      <w:tr>
        <w:tc>
          <w:tcPr/>
          <w:p>
            <w:pPr>
              <w:pStyle w:val="Compact"/>
            </w:pPr>
            <w:r>
              <w:t xml:space="preserve">2018</w:t>
            </w:r>
          </w:p>
        </w:tc>
        <w:tc>
          <w:tcPr/>
          <w:p>
            <w:pPr>
              <w:pStyle w:val="Compact"/>
            </w:pPr>
            <w:r>
              <w:t xml:space="preserve">49th Annual (New Orleans, LA, Mar 24–27)</w:t>
            </w:r>
          </w:p>
        </w:tc>
        <w:tc>
          <w:tcPr/>
          <w:p>
            <w:pPr>
              <w:pStyle w:val="Compact"/>
            </w:pPr>
            <w:r>
              <w:t xml:space="preserve">149, Suppl S1</w:t>
            </w:r>
          </w:p>
        </w:tc>
        <w:tc>
          <w:tcPr/>
          <w:p>
            <w:pPr>
              <w:pStyle w:val="Compact"/>
            </w:pPr>
            <w:r>
              <w:t xml:space="preserve">sciencedirect.com/…/vol/149/suppl/S1</w:t>
            </w:r>
          </w:p>
        </w:tc>
        <w:tc>
          <w:tcPr/>
          <w:p>
            <w:pPr>
              <w:pStyle w:val="Compact"/>
            </w:pPr>
            <w:r>
              <w:t xml:space="preserve">10.1016/j.ygyno.2018.04.NNN</w:t>
            </w:r>
          </w:p>
        </w:tc>
        <w:tc>
          <w:tcPr/>
          <w:p>
            <w:pPr>
              <w:pStyle w:val="Compact"/>
            </w:pPr>
            <w:r>
              <w:t xml:space="preserve">~450</w:t>
            </w:r>
          </w:p>
        </w:tc>
      </w:tr>
      <w:tr>
        <w:tc>
          <w:tcPr/>
          <w:p>
            <w:pPr>
              <w:pStyle w:val="Compact"/>
            </w:pPr>
            <w:r>
              <w:t xml:space="preserve">2017</w:t>
            </w:r>
          </w:p>
        </w:tc>
        <w:tc>
          <w:tcPr/>
          <w:p>
            <w:pPr>
              <w:pStyle w:val="Compact"/>
            </w:pPr>
            <w:r>
              <w:t xml:space="preserve">48th Annual (National Harbor, MD, Mar 12–15)</w:t>
            </w:r>
          </w:p>
        </w:tc>
        <w:tc>
          <w:tcPr/>
          <w:p>
            <w:pPr>
              <w:pStyle w:val="Compact"/>
            </w:pPr>
            <w:r>
              <w:t xml:space="preserve">145, Suppl S1</w:t>
            </w:r>
          </w:p>
        </w:tc>
        <w:tc>
          <w:tcPr/>
          <w:p>
            <w:pPr>
              <w:pStyle w:val="Compact"/>
            </w:pPr>
            <w:r>
              <w:t xml:space="preserve">sciencedirect.com/…/vol/145/suppl/S1</w:t>
            </w:r>
          </w:p>
        </w:tc>
        <w:tc>
          <w:tcPr/>
          <w:p>
            <w:pPr>
              <w:pStyle w:val="Compact"/>
            </w:pPr>
            <w:r>
              <w:t xml:space="preserve">10.1016/j.ygyno.2017.03.NNN</w:t>
            </w:r>
          </w:p>
        </w:tc>
        <w:tc>
          <w:tcPr/>
          <w:p>
            <w:pPr>
              <w:pStyle w:val="Compact"/>
            </w:pPr>
            <w:r>
              <w:t xml:space="preserve">~500</w:t>
            </w:r>
          </w:p>
        </w:tc>
      </w:tr>
      <w:tr>
        <w:tc>
          <w:tcPr/>
          <w:p>
            <w:pPr>
              <w:pStyle w:val="Compact"/>
            </w:pPr>
            <w:r>
              <w:t xml:space="preserve">2016</w:t>
            </w:r>
          </w:p>
        </w:tc>
        <w:tc>
          <w:tcPr/>
          <w:p>
            <w:pPr>
              <w:pStyle w:val="Compact"/>
            </w:pPr>
            <w:r>
              <w:t xml:space="preserve">47th Annual (San Diego, CA, Mar 19–22)</w:t>
            </w:r>
          </w:p>
        </w:tc>
        <w:tc>
          <w:tcPr/>
          <w:p>
            <w:pPr>
              <w:pStyle w:val="Compact"/>
            </w:pPr>
            <w:r>
              <w:t xml:space="preserve">141, Suppl S1</w:t>
            </w:r>
          </w:p>
        </w:tc>
        <w:tc>
          <w:tcPr/>
          <w:p>
            <w:pPr>
              <w:pStyle w:val="Compact"/>
            </w:pPr>
            <w:r>
              <w:t xml:space="preserve">sciencedirect.com/…/vol/141/suppl/S1</w:t>
            </w:r>
          </w:p>
        </w:tc>
        <w:tc>
          <w:tcPr/>
          <w:p>
            <w:pPr>
              <w:pStyle w:val="Compact"/>
            </w:pPr>
            <w:r>
              <w:t xml:space="preserve">10.1016/j.ygyno.2016.04.NNN</w:t>
            </w:r>
          </w:p>
        </w:tc>
        <w:tc>
          <w:tcPr/>
          <w:p>
            <w:pPr>
              <w:pStyle w:val="Compact"/>
            </w:pPr>
            <w:r>
              <w:t xml:space="preserve">~600</w:t>
            </w:r>
          </w:p>
        </w:tc>
      </w:tr>
      <w:tr>
        <w:tc>
          <w:tcPr/>
          <w:p>
            <w:pPr>
              <w:pStyle w:val="Compact"/>
            </w:pPr>
            <w:r>
              <w:t xml:space="preserve">2015</w:t>
            </w:r>
          </w:p>
        </w:tc>
        <w:tc>
          <w:tcPr/>
          <w:p>
            <w:pPr>
              <w:pStyle w:val="Compact"/>
            </w:pPr>
            <w:r>
              <w:t xml:space="preserve">46th Annual (Chicago, IL, Mar 28–31)</w:t>
            </w:r>
          </w:p>
        </w:tc>
        <w:tc>
          <w:tcPr/>
          <w:p>
            <w:pPr>
              <w:pStyle w:val="Compact"/>
            </w:pPr>
            <w:r>
              <w:t xml:space="preserve">137, Suppl S1</w:t>
            </w:r>
          </w:p>
        </w:tc>
        <w:tc>
          <w:tcPr/>
          <w:p>
            <w:pPr>
              <w:pStyle w:val="Compact"/>
            </w:pPr>
            <w:r>
              <w:t xml:space="preserve">sciencedirect.com/…/vol/137/suppl/S1</w:t>
            </w:r>
          </w:p>
        </w:tc>
        <w:tc>
          <w:tcPr/>
          <w:p>
            <w:pPr>
              <w:pStyle w:val="Compact"/>
            </w:pPr>
            <w:r>
              <w:t xml:space="preserve">10.1016/j.ygyno.2015.01.NNN</w:t>
            </w:r>
          </w:p>
        </w:tc>
        <w:tc>
          <w:tcPr/>
          <w:p>
            <w:pPr>
              <w:pStyle w:val="Compact"/>
            </w:pPr>
            <w:r>
              <w:t xml:space="preserve">~600</w:t>
            </w:r>
          </w:p>
        </w:tc>
      </w:tr>
      <w:tr>
        <w:tc>
          <w:tcPr/>
          <w:p>
            <w:pPr>
              <w:pStyle w:val="Compact"/>
            </w:pPr>
            <w:r>
              <w:t xml:space="preserve">2014</w:t>
            </w:r>
          </w:p>
        </w:tc>
        <w:tc>
          <w:tcPr/>
          <w:p>
            <w:pPr>
              <w:pStyle w:val="Compact"/>
            </w:pPr>
            <w:r>
              <w:t xml:space="preserve">45th Annual</w:t>
            </w:r>
          </w:p>
        </w:tc>
        <w:tc>
          <w:tcPr/>
          <w:p>
            <w:pPr>
              <w:pStyle w:val="Compact"/>
            </w:pPr>
            <w:r>
              <w:t xml:space="preserve">133, Suppl S1</w:t>
            </w:r>
          </w:p>
        </w:tc>
        <w:tc>
          <w:tcPr/>
          <w:p>
            <w:pPr>
              <w:pStyle w:val="Compact"/>
            </w:pPr>
            <w:r>
              <w:t xml:space="preserve">sciencedirect.com/…/vol/133/suppl/S1</w:t>
            </w:r>
          </w:p>
        </w:tc>
        <w:tc>
          <w:tcPr/>
          <w:p>
            <w:pPr>
              <w:pStyle w:val="Compact"/>
            </w:pPr>
            <w:r>
              <w:t xml:space="preserve">10.1016/j.ygyno.2014.03.NNN</w:t>
            </w:r>
          </w:p>
        </w:tc>
        <w:tc>
          <w:tcPr/>
          <w:p>
            <w:pPr>
              <w:pStyle w:val="Compact"/>
            </w:pPr>
            <w:r>
              <w:t xml:space="preserve">~600</w:t>
            </w:r>
          </w:p>
        </w:tc>
      </w:tr>
      <w:tr>
        <w:tc>
          <w:tcPr/>
          <w:p>
            <w:pPr>
              <w:pStyle w:val="Compact"/>
            </w:pPr>
            <w:r>
              <w:t xml:space="preserve">2013</w:t>
            </w:r>
          </w:p>
        </w:tc>
        <w:tc>
          <w:tcPr/>
          <w:p>
            <w:pPr>
              <w:pStyle w:val="Compact"/>
            </w:pPr>
            <w:r>
              <w:t xml:space="preserve">44th Annual (Los Angeles, CA)</w:t>
            </w:r>
          </w:p>
        </w:tc>
        <w:tc>
          <w:tcPr/>
          <w:p>
            <w:pPr>
              <w:pStyle w:val="Compact"/>
            </w:pPr>
            <w:r>
              <w:t xml:space="preserve">129, Issue 2 (no Suppl S1)</w:t>
            </w:r>
          </w:p>
        </w:tc>
        <w:tc>
          <w:tcPr/>
          <w:p>
            <w:pPr>
              <w:pStyle w:val="Compact"/>
            </w:pPr>
            <w:r>
              <w:t xml:space="preserve">—</w:t>
            </w:r>
          </w:p>
        </w:tc>
        <w:tc>
          <w:tcPr/>
          <w:p>
            <w:pPr>
              <w:pStyle w:val="Compact"/>
            </w:pPr>
            <w:r>
              <w:t xml:space="preserve">10.1016/j.ygyno.2013.03.028 (meeting summary only)</w:t>
            </w:r>
          </w:p>
        </w:tc>
        <w:tc>
          <w:tcPr/>
          <w:p>
            <w:pPr>
              <w:pStyle w:val="Compact"/>
            </w:pPr>
            <w:r>
              <w:t xml:space="preserve">N/A</w:t>
            </w:r>
          </w:p>
        </w:tc>
      </w:tr>
    </w:tbl>
    <w:p>
      <w:pPr>
        <w:pStyle w:val="BodyText"/>
      </w:pPr>
      <w:r>
        <w:rPr>
          <w:i/>
          <w:iCs/>
        </w:rPr>
        <w:t xml:space="preserve">Sources: SGO Annual Meeting Abstracts; SGO 2023 Supplement (ScienceDirect); 51st Annual Meeting 2020 (PMC); gynecologiconcology-online.net</w:t>
      </w:r>
    </w:p>
    <w:p>
      <w:r>
        <w:pict>
          <v:rect style="width:0;height:1.5pt" o:hralign="center" o:hrstd="t" o:hr="t"/>
        </w:pict>
      </w:r>
    </w:p>
    <w:bookmarkEnd w:id="132"/>
    <w:bookmarkStart w:id="133" w:name="Xfcc83463072fc9a6dc445532149eed5af87964b"/>
    <w:p>
      <w:pPr>
        <w:pStyle w:val="Heading3"/>
      </w:pPr>
      <w:r>
        <w:t xml:space="preserve">A11.18 Updated Complete Society Comparison</w:t>
      </w:r>
    </w:p>
    <w:tbl>
      <w:tblPr>
        <w:tblStyle w:val="Table"/>
        <w:tblW w:type="pct" w:w="5000"/>
        <w:tblLayout w:type="fixed"/>
        <w:tblLook w:firstRow="1" w:lastRow="0" w:firstColumn="0" w:lastColumn="0" w:noHBand="0" w:noVBand="0" w:val="0020"/>
      </w:tblPr>
      <w:tblGrid>
        <w:gridCol w:w="589"/>
        <w:gridCol w:w="589"/>
        <w:gridCol w:w="654"/>
        <w:gridCol w:w="1047"/>
        <w:gridCol w:w="850"/>
        <w:gridCol w:w="1047"/>
        <w:gridCol w:w="981"/>
        <w:gridCol w:w="1309"/>
        <w:gridCol w:w="850"/>
      </w:tblGrid>
      <w:tr>
        <w:trPr>
          <w:tblHeader w:val="on"/>
        </w:trPr>
        <w:tc>
          <w:tcPr/>
          <w:p>
            <w:pPr>
              <w:pStyle w:val="Compact"/>
            </w:pPr>
            <w:r>
              <w:t xml:space="preserve">Society</w:t>
            </w:r>
          </w:p>
        </w:tc>
        <w:tc>
          <w:tcPr/>
          <w:p>
            <w:pPr>
              <w:pStyle w:val="Compact"/>
            </w:pPr>
            <w:r>
              <w:t xml:space="preserve">Journal</w:t>
            </w:r>
          </w:p>
        </w:tc>
        <w:tc>
          <w:tcPr/>
          <w:p>
            <w:pPr>
              <w:pStyle w:val="Compact"/>
            </w:pPr>
            <w:r>
              <w:t xml:space="preserve">Platform</w:t>
            </w:r>
          </w:p>
        </w:tc>
        <w:tc>
          <w:tcPr/>
          <w:p>
            <w:pPr>
              <w:pStyle w:val="Compact"/>
            </w:pPr>
            <w:r>
              <w:t xml:space="preserve">Individual DOIs</w:t>
            </w:r>
          </w:p>
        </w:tc>
        <w:tc>
          <w:tcPr/>
          <w:p>
            <w:pPr>
              <w:pStyle w:val="Compact"/>
            </w:pPr>
            <w:r>
              <w:t xml:space="preserve">DOI Pattern</w:t>
            </w:r>
          </w:p>
        </w:tc>
        <w:tc>
          <w:tcPr/>
          <w:p>
            <w:pPr>
              <w:pStyle w:val="Compact"/>
            </w:pPr>
            <w:r>
              <w:t xml:space="preserve">PubMed Indexed</w:t>
            </w:r>
          </w:p>
        </w:tc>
        <w:tc>
          <w:tcPr/>
          <w:p>
            <w:pPr>
              <w:pStyle w:val="Compact"/>
            </w:pPr>
            <w:r>
              <w:t xml:space="preserve">Auth Required</w:t>
            </w:r>
          </w:p>
        </w:tc>
        <w:tc>
          <w:tcPr/>
          <w:p>
            <w:pPr>
              <w:pStyle w:val="Compact"/>
            </w:pPr>
            <w:r>
              <w:t xml:space="preserve">Avg Abstracts/Year</w:t>
            </w:r>
          </w:p>
        </w:tc>
        <w:tc>
          <w:tcPr/>
          <w:p>
            <w:pPr>
              <w:pStyle w:val="Compact"/>
            </w:pPr>
            <w:r>
              <w:t xml:space="preserve">Feasibility</w:t>
            </w:r>
          </w:p>
        </w:tc>
      </w:tr>
      <w:tr>
        <w:tc>
          <w:tcPr/>
          <w:p>
            <w:pPr>
              <w:pStyle w:val="Compact"/>
            </w:pPr>
            <w:r>
              <w:rPr>
                <w:b/>
                <w:bCs/>
              </w:rPr>
              <w:t xml:space="preserve">AAGL</w:t>
            </w:r>
          </w:p>
        </w:tc>
        <w:tc>
          <w:tcPr/>
          <w:p>
            <w:pPr>
              <w:pStyle w:val="Compact"/>
            </w:pPr>
            <w:r>
              <w:t xml:space="preserve">JMIG</w:t>
            </w:r>
          </w:p>
        </w:tc>
        <w:tc>
          <w:tcPr/>
          <w:p>
            <w:pPr>
              <w:pStyle w:val="Compact"/>
            </w:pPr>
            <w:r>
              <w:t xml:space="preserve">ScienceDirect</w:t>
            </w:r>
          </w:p>
        </w:tc>
        <w:tc>
          <w:tcPr/>
          <w:p>
            <w:pPr>
              <w:pStyle w:val="Compact"/>
            </w:pPr>
            <w:r>
              <w:t xml:space="preserve">Yes</w:t>
            </w:r>
          </w:p>
        </w:tc>
        <w:tc>
          <w:tcPr/>
          <w:p>
            <w:pPr>
              <w:pStyle w:val="Compact"/>
            </w:pPr>
            <w:r>
              <w:t xml:space="preserve">10.1016/j.jmig.Y.M.NNN</w:t>
            </w:r>
          </w:p>
        </w:tc>
        <w:tc>
          <w:tcPr/>
          <w:p>
            <w:pPr>
              <w:pStyle w:val="Compact"/>
            </w:pPr>
            <w:r>
              <w:t xml:space="preserve">Yes</w:t>
            </w:r>
          </w:p>
        </w:tc>
        <w:tc>
          <w:tcPr/>
          <w:p>
            <w:pPr>
              <w:pStyle w:val="Compact"/>
            </w:pPr>
            <w:r>
              <w:t xml:space="preserve">No</w:t>
            </w:r>
          </w:p>
        </w:tc>
        <w:tc>
          <w:tcPr/>
          <w:p>
            <w:pPr>
              <w:pStyle w:val="Compact"/>
            </w:pPr>
            <w:r>
              <w:t xml:space="preserve">~90</w:t>
            </w:r>
          </w:p>
        </w:tc>
        <w:tc>
          <w:tcPr/>
          <w:p>
            <w:pPr>
              <w:pStyle w:val="Compact"/>
            </w:pPr>
            <w:r>
              <w:t xml:space="preserve">✓ Current</w:t>
            </w:r>
          </w:p>
        </w:tc>
      </w:tr>
      <w:tr>
        <w:tc>
          <w:tcPr/>
          <w:p>
            <w:pPr>
              <w:pStyle w:val="Compact"/>
            </w:pPr>
            <w:r>
              <w:rPr>
                <w:b/>
                <w:bCs/>
              </w:rPr>
              <w:t xml:space="preserve">SMFM</w:t>
            </w:r>
          </w:p>
        </w:tc>
        <w:tc>
          <w:tcPr/>
          <w:p>
            <w:pPr>
              <w:pStyle w:val="Compact"/>
            </w:pPr>
            <w:r>
              <w:t xml:space="preserve">AJOG</w:t>
            </w:r>
          </w:p>
        </w:tc>
        <w:tc>
          <w:tcPr/>
          <w:p>
            <w:pPr>
              <w:pStyle w:val="Compact"/>
            </w:pPr>
            <w:r>
              <w:t xml:space="preserve">ScienceDirect</w:t>
            </w:r>
          </w:p>
        </w:tc>
        <w:tc>
          <w:tcPr/>
          <w:p>
            <w:pPr>
              <w:pStyle w:val="Compact"/>
            </w:pPr>
            <w:r>
              <w:t xml:space="preserve">Yes</w:t>
            </w:r>
          </w:p>
        </w:tc>
        <w:tc>
          <w:tcPr/>
          <w:p>
            <w:pPr>
              <w:pStyle w:val="Compact"/>
            </w:pPr>
            <w:r>
              <w:t xml:space="preserve">10.1016/j.ajog.Y.M.NNN</w:t>
            </w:r>
          </w:p>
        </w:tc>
        <w:tc>
          <w:tcPr/>
          <w:p>
            <w:pPr>
              <w:pStyle w:val="Compact"/>
            </w:pPr>
            <w:r>
              <w:t xml:space="preserve">Yes</w:t>
            </w:r>
          </w:p>
        </w:tc>
        <w:tc>
          <w:tcPr/>
          <w:p>
            <w:pPr>
              <w:pStyle w:val="Compact"/>
            </w:pPr>
            <w:r>
              <w:t xml:space="preserve">No</w:t>
            </w:r>
          </w:p>
        </w:tc>
        <w:tc>
          <w:tcPr/>
          <w:p>
            <w:pPr>
              <w:pStyle w:val="Compact"/>
            </w:pPr>
            <w:r>
              <w:t xml:space="preserve">~500</w:t>
            </w:r>
          </w:p>
        </w:tc>
        <w:tc>
          <w:tcPr/>
          <w:p>
            <w:pPr>
              <w:pStyle w:val="Compact"/>
            </w:pPr>
            <w:r>
              <w:t xml:space="preserve">✓ High</w:t>
            </w:r>
          </w:p>
        </w:tc>
      </w:tr>
      <w:tr>
        <w:tc>
          <w:tcPr/>
          <w:p>
            <w:pPr>
              <w:pStyle w:val="Compact"/>
            </w:pPr>
            <w:r>
              <w:rPr>
                <w:b/>
                <w:bCs/>
              </w:rPr>
              <w:t xml:space="preserve">SGO</w:t>
            </w:r>
          </w:p>
        </w:tc>
        <w:tc>
          <w:tcPr/>
          <w:p>
            <w:pPr>
              <w:pStyle w:val="Compact"/>
            </w:pPr>
            <w:r>
              <w:t xml:space="preserve">Gyn Onc</w:t>
            </w:r>
          </w:p>
        </w:tc>
        <w:tc>
          <w:tcPr/>
          <w:p>
            <w:pPr>
              <w:pStyle w:val="Compact"/>
            </w:pPr>
            <w:r>
              <w:t xml:space="preserve">ScienceDirect</w:t>
            </w:r>
          </w:p>
        </w:tc>
        <w:tc>
          <w:tcPr/>
          <w:p>
            <w:pPr>
              <w:pStyle w:val="Compact"/>
            </w:pPr>
            <w:r>
              <w:t xml:space="preserve">Yes</w:t>
            </w:r>
          </w:p>
        </w:tc>
        <w:tc>
          <w:tcPr/>
          <w:p>
            <w:pPr>
              <w:pStyle w:val="Compact"/>
            </w:pPr>
            <w:r>
              <w:t xml:space="preserve">10.1016/j.ygyno.Y.M.NNN</w:t>
            </w:r>
          </w:p>
        </w:tc>
        <w:tc>
          <w:tcPr/>
          <w:p>
            <w:pPr>
              <w:pStyle w:val="Compact"/>
            </w:pPr>
            <w:r>
              <w:t xml:space="preserve">Yes</w:t>
            </w:r>
          </w:p>
        </w:tc>
        <w:tc>
          <w:tcPr/>
          <w:p>
            <w:pPr>
              <w:pStyle w:val="Compact"/>
            </w:pPr>
            <w:r>
              <w:t xml:space="preserve">Partial</w:t>
            </w:r>
          </w:p>
        </w:tc>
        <w:tc>
          <w:tcPr/>
          <w:p>
            <w:pPr>
              <w:pStyle w:val="Compact"/>
            </w:pPr>
            <w:r>
              <w:t xml:space="preserve">~570</w:t>
            </w:r>
          </w:p>
        </w:tc>
        <w:tc>
          <w:tcPr/>
          <w:p>
            <w:pPr>
              <w:pStyle w:val="Compact"/>
            </w:pPr>
            <w:r>
              <w:t xml:space="preserve">✓ High</w:t>
            </w:r>
          </w:p>
        </w:tc>
      </w:tr>
      <w:tr>
        <w:tc>
          <w:tcPr/>
          <w:p>
            <w:pPr>
              <w:pStyle w:val="Compact"/>
            </w:pPr>
            <w:r>
              <w:rPr>
                <w:b/>
                <w:bCs/>
              </w:rPr>
              <w:t xml:space="preserve">NASPAG</w:t>
            </w:r>
          </w:p>
        </w:tc>
        <w:tc>
          <w:tcPr/>
          <w:p>
            <w:pPr>
              <w:pStyle w:val="Compact"/>
            </w:pPr>
            <w:r>
              <w:t xml:space="preserve">JPAG</w:t>
            </w:r>
          </w:p>
        </w:tc>
        <w:tc>
          <w:tcPr/>
          <w:p>
            <w:pPr>
              <w:pStyle w:val="Compact"/>
            </w:pPr>
            <w:r>
              <w:t xml:space="preserve">ScienceDirect</w:t>
            </w:r>
          </w:p>
        </w:tc>
        <w:tc>
          <w:tcPr/>
          <w:p>
            <w:pPr>
              <w:pStyle w:val="Compact"/>
            </w:pPr>
            <w:r>
              <w:t xml:space="preserve">Yes</w:t>
            </w:r>
          </w:p>
        </w:tc>
        <w:tc>
          <w:tcPr/>
          <w:p>
            <w:pPr>
              <w:pStyle w:val="Compact"/>
            </w:pPr>
            <w:r>
              <w:t xml:space="preserve">10.1016/j.jpag.Y.M.NNN</w:t>
            </w:r>
          </w:p>
        </w:tc>
        <w:tc>
          <w:tcPr/>
          <w:p>
            <w:pPr>
              <w:pStyle w:val="Compact"/>
            </w:pPr>
            <w:r>
              <w:t xml:space="preserve">Yes</w:t>
            </w:r>
          </w:p>
        </w:tc>
        <w:tc>
          <w:tcPr/>
          <w:p>
            <w:pPr>
              <w:pStyle w:val="Compact"/>
            </w:pPr>
            <w:r>
              <w:t xml:space="preserve">No</w:t>
            </w:r>
          </w:p>
        </w:tc>
        <w:tc>
          <w:tcPr/>
          <w:p>
            <w:pPr>
              <w:pStyle w:val="Compact"/>
            </w:pPr>
            <w:r>
              <w:t xml:space="preserve">~35</w:t>
            </w:r>
          </w:p>
        </w:tc>
        <w:tc>
          <w:tcPr/>
          <w:p>
            <w:pPr>
              <w:pStyle w:val="Compact"/>
            </w:pPr>
            <w:r>
              <w:t xml:space="preserve">✓ High</w:t>
            </w:r>
          </w:p>
        </w:tc>
      </w:tr>
      <w:tr>
        <w:tc>
          <w:tcPr/>
          <w:p>
            <w:pPr>
              <w:pStyle w:val="Compact"/>
            </w:pPr>
            <w:r>
              <w:rPr>
                <w:b/>
                <w:bCs/>
              </w:rPr>
              <w:t xml:space="preserve">ASRM</w:t>
            </w:r>
          </w:p>
        </w:tc>
        <w:tc>
          <w:tcPr/>
          <w:p>
            <w:pPr>
              <w:pStyle w:val="Compact"/>
            </w:pPr>
            <w:r>
              <w:t xml:space="preserve">F&amp;S</w:t>
            </w:r>
          </w:p>
        </w:tc>
        <w:tc>
          <w:tcPr/>
          <w:p>
            <w:pPr>
              <w:pStyle w:val="Compact"/>
            </w:pPr>
            <w:r>
              <w:t xml:space="preserve">ScienceDirect</w:t>
            </w:r>
          </w:p>
        </w:tc>
        <w:tc>
          <w:tcPr/>
          <w:p>
            <w:pPr>
              <w:pStyle w:val="Compact"/>
            </w:pPr>
            <w:r>
              <w:t xml:space="preserve">Yes</w:t>
            </w:r>
          </w:p>
        </w:tc>
        <w:tc>
          <w:tcPr/>
          <w:p>
            <w:pPr>
              <w:pStyle w:val="Compact"/>
            </w:pPr>
            <w:r>
              <w:t xml:space="preserve">10.1016/j.fertnstert.Y.M.NNN</w:t>
            </w:r>
          </w:p>
        </w:tc>
        <w:tc>
          <w:tcPr/>
          <w:p>
            <w:pPr>
              <w:pStyle w:val="Compact"/>
            </w:pPr>
            <w:r>
              <w:t xml:space="preserve">Yes</w:t>
            </w:r>
          </w:p>
        </w:tc>
        <w:tc>
          <w:tcPr/>
          <w:p>
            <w:pPr>
              <w:pStyle w:val="Compact"/>
            </w:pPr>
            <w:r>
              <w:t xml:space="preserve">Yes (browse)</w:t>
            </w:r>
          </w:p>
        </w:tc>
        <w:tc>
          <w:tcPr/>
          <w:p>
            <w:pPr>
              <w:pStyle w:val="Compact"/>
            </w:pPr>
            <w:r>
              <w:t xml:space="preserve">~1,200</w:t>
            </w:r>
          </w:p>
        </w:tc>
        <w:tc>
          <w:tcPr/>
          <w:p>
            <w:pPr>
              <w:pStyle w:val="Compact"/>
            </w:pPr>
            <w:r>
              <w:t xml:space="preserve">✓ Medium</w:t>
            </w:r>
          </w:p>
        </w:tc>
      </w:tr>
      <w:tr>
        <w:tc>
          <w:tcPr/>
          <w:p>
            <w:pPr>
              <w:pStyle w:val="Compact"/>
            </w:pPr>
            <w:r>
              <w:rPr>
                <w:b/>
                <w:bCs/>
              </w:rPr>
              <w:t xml:space="preserve">SFP</w:t>
            </w:r>
          </w:p>
        </w:tc>
        <w:tc>
          <w:tcPr/>
          <w:p>
            <w:pPr>
              <w:pStyle w:val="Compact"/>
            </w:pPr>
            <w:r>
              <w:t xml:space="preserve">Contraception</w:t>
            </w:r>
          </w:p>
        </w:tc>
        <w:tc>
          <w:tcPr/>
          <w:p>
            <w:pPr>
              <w:pStyle w:val="Compact"/>
            </w:pPr>
            <w:r>
              <w:t xml:space="preserve">ScienceDirect</w:t>
            </w:r>
          </w:p>
        </w:tc>
        <w:tc>
          <w:tcPr/>
          <w:p>
            <w:pPr>
              <w:pStyle w:val="Compact"/>
            </w:pPr>
            <w:r>
              <w:t xml:space="preserve">No (collection-level)</w:t>
            </w:r>
          </w:p>
        </w:tc>
        <w:tc>
          <w:tcPr/>
          <w:p>
            <w:pPr>
              <w:pStyle w:val="Compact"/>
            </w:pPr>
            <w:r>
              <w:t xml:space="preserve">10.1016/j.contraception.Y.M.NNN</w:t>
            </w:r>
          </w:p>
        </w:tc>
        <w:tc>
          <w:tcPr/>
          <w:p>
            <w:pPr>
              <w:pStyle w:val="Compact"/>
            </w:pPr>
            <w:r>
              <w:t xml:space="preserve">Yes</w:t>
            </w:r>
          </w:p>
        </w:tc>
        <w:tc>
          <w:tcPr/>
          <w:p>
            <w:pPr>
              <w:pStyle w:val="Compact"/>
            </w:pPr>
            <w:r>
              <w:t xml:space="preserve">No</w:t>
            </w:r>
          </w:p>
        </w:tc>
        <w:tc>
          <w:tcPr/>
          <w:p>
            <w:pPr>
              <w:pStyle w:val="Compact"/>
            </w:pPr>
            <w:r>
              <w:t xml:space="preserve">~300</w:t>
            </w:r>
          </w:p>
        </w:tc>
        <w:tc>
          <w:tcPr/>
          <w:p>
            <w:pPr>
              <w:pStyle w:val="Compact"/>
            </w:pPr>
            <w:r>
              <w:t xml:space="preserve">△ Medium</w:t>
            </w:r>
          </w:p>
        </w:tc>
      </w:tr>
      <w:tr>
        <w:tc>
          <w:tcPr/>
          <w:p>
            <w:pPr>
              <w:pStyle w:val="Compact"/>
            </w:pPr>
            <w:r>
              <w:rPr>
                <w:b/>
                <w:bCs/>
              </w:rPr>
              <w:t xml:space="preserve">AUGS</w:t>
            </w:r>
          </w:p>
        </w:tc>
        <w:tc>
          <w:tcPr/>
          <w:p>
            <w:pPr>
              <w:pStyle w:val="Compact"/>
            </w:pPr>
            <w:r>
              <w:t xml:space="preserve">Urogynecology</w:t>
            </w:r>
          </w:p>
        </w:tc>
        <w:tc>
          <w:tcPr/>
          <w:p>
            <w:pPr>
              <w:pStyle w:val="Compact"/>
            </w:pPr>
            <w:r>
              <w:t xml:space="preserve">LWW</w:t>
            </w:r>
          </w:p>
        </w:tc>
        <w:tc>
          <w:tcPr/>
          <w:p>
            <w:pPr>
              <w:pStyle w:val="Compact"/>
            </w:pPr>
            <w:r>
              <w:t xml:space="preserve">No (supplement-level)</w:t>
            </w:r>
          </w:p>
        </w:tc>
        <w:tc>
          <w:tcPr/>
          <w:p>
            <w:pPr>
              <w:pStyle w:val="Compact"/>
            </w:pPr>
            <w:r>
              <w:t xml:space="preserve">10.1097/SPV.xxx</w:t>
            </w:r>
          </w:p>
        </w:tc>
        <w:tc>
          <w:tcPr/>
          <w:p>
            <w:pPr>
              <w:pStyle w:val="Compact"/>
            </w:pPr>
            <w:r>
              <w:t xml:space="preserve">Yes</w:t>
            </w:r>
          </w:p>
        </w:tc>
        <w:tc>
          <w:tcPr/>
          <w:p>
            <w:pPr>
              <w:pStyle w:val="Compact"/>
            </w:pPr>
            <w:r>
              <w:t xml:space="preserve">No</w:t>
            </w:r>
          </w:p>
        </w:tc>
        <w:tc>
          <w:tcPr/>
          <w:p>
            <w:pPr>
              <w:pStyle w:val="Compact"/>
            </w:pPr>
            <w:r>
              <w:t xml:space="preserve">~400</w:t>
            </w:r>
          </w:p>
        </w:tc>
        <w:tc>
          <w:tcPr/>
          <w:p>
            <w:pPr>
              <w:pStyle w:val="Compact"/>
            </w:pPr>
            <w:r>
              <w:t xml:space="preserve">△ Medium</w:t>
            </w:r>
          </w:p>
        </w:tc>
      </w:tr>
      <w:tr>
        <w:tc>
          <w:tcPr/>
          <w:p>
            <w:pPr>
              <w:pStyle w:val="Compact"/>
            </w:pPr>
            <w:r>
              <w:rPr>
                <w:b/>
                <w:bCs/>
              </w:rPr>
              <w:t xml:space="preserve">SASGOG</w:t>
            </w:r>
          </w:p>
        </w:tc>
        <w:tc>
          <w:tcPr/>
          <w:p>
            <w:pPr>
              <w:pStyle w:val="Compact"/>
            </w:pPr>
            <w:r>
              <w:t xml:space="preserve">None</w:t>
            </w:r>
          </w:p>
        </w:tc>
        <w:tc>
          <w:tcPr/>
          <w:p>
            <w:pPr>
              <w:pStyle w:val="Compact"/>
            </w:pPr>
            <w:r>
              <w:t xml:space="preserve">Society website</w:t>
            </w:r>
          </w:p>
        </w:tc>
        <w:tc>
          <w:tcPr/>
          <w:p>
            <w:pPr>
              <w:pStyle w:val="Compact"/>
            </w:pPr>
            <w:r>
              <w:t xml:space="preserve">No</w:t>
            </w:r>
          </w:p>
        </w:tc>
        <w:tc>
          <w:tcPr/>
          <w:p>
            <w:pPr>
              <w:pStyle w:val="Compact"/>
            </w:pPr>
            <w:r>
              <w:t xml:space="preserve">None</w:t>
            </w:r>
          </w:p>
        </w:tc>
        <w:tc>
          <w:tcPr/>
          <w:p>
            <w:pPr>
              <w:pStyle w:val="Compact"/>
            </w:pPr>
            <w:r>
              <w:t xml:space="preserve">No</w:t>
            </w:r>
          </w:p>
        </w:tc>
        <w:tc>
          <w:tcPr/>
          <w:p>
            <w:pPr>
              <w:pStyle w:val="Compact"/>
            </w:pPr>
            <w:r>
              <w:t xml:space="preserve">No</w:t>
            </w:r>
          </w:p>
        </w:tc>
        <w:tc>
          <w:tcPr/>
          <w:p>
            <w:pPr>
              <w:pStyle w:val="Compact"/>
            </w:pPr>
            <w:r>
              <w:t xml:space="preserve">~50</w:t>
            </w:r>
          </w:p>
        </w:tc>
        <w:tc>
          <w:tcPr/>
          <w:p>
            <w:pPr>
              <w:pStyle w:val="Compact"/>
            </w:pPr>
            <w:r>
              <w:t xml:space="preserve">✗ Low</w:t>
            </w:r>
          </w:p>
        </w:tc>
      </w:tr>
    </w:tbl>
    <w:bookmarkEnd w:id="133"/>
    <w:bookmarkStart w:id="146" w:name="X337ca50627aeb481423609453cc33f0ff76e301"/>
    <w:p>
      <w:pPr>
        <w:pStyle w:val="Heading3"/>
      </w:pPr>
      <w:r>
        <w:t xml:space="preserve">A11.19 CREOG &amp; APGO Annual Meeting Abstracts (2013–2023)</w:t>
      </w:r>
    </w:p>
    <w:p>
      <w:pPr>
        <w:pStyle w:val="FirstParagraph"/>
      </w:pPr>
      <w:r>
        <w:t xml:space="preserve">CREOG &amp; APGO (Council on Resident Education in Obstetrics and Gynecology &amp; Association of Professors of Gynecology and Obstetrics) annual meeting abstracts have a two-phase publication history:</w:t>
      </w:r>
    </w:p>
    <w:p>
      <w:pPr>
        <w:pStyle w:val="Compact"/>
        <w:numPr>
          <w:ilvl w:val="0"/>
          <w:numId w:val="1009"/>
        </w:numPr>
      </w:pPr>
      <w:r>
        <w:rPr>
          <w:b/>
          <w:bCs/>
        </w:rPr>
        <w:t xml:space="preserve">2013–2014:</w:t>
      </w:r>
      <w:r>
        <w:t xml:space="preserve"> </w:t>
      </w:r>
      <w:r>
        <w:t xml:space="preserve">Published as a single proceedings article in</w:t>
      </w:r>
      <w:r>
        <w:t xml:space="preserve"> </w:t>
      </w:r>
      <w:r>
        <w:rPr>
          <w:i/>
          <w:iCs/>
        </w:rPr>
        <w:t xml:space="preserve">Teaching and Learning in Medicine</w:t>
      </w:r>
      <w:r>
        <w:t xml:space="preserve"> </w:t>
      </w:r>
      <w:r>
        <w:t xml:space="preserve">(Taylor &amp; Francis) — one DOI per year,</w:t>
      </w:r>
      <w:r>
        <w:t xml:space="preserve"> </w:t>
      </w:r>
      <w:r>
        <w:rPr>
          <w:b/>
          <w:bCs/>
        </w:rPr>
        <w:t xml:space="preserve">not</w:t>
      </w:r>
      <w:r>
        <w:t xml:space="preserve"> </w:t>
      </w:r>
      <w:r>
        <w:t xml:space="preserve">individual DOIs per abstract.</w:t>
      </w:r>
    </w:p>
    <w:p>
      <w:pPr>
        <w:pStyle w:val="Compact"/>
        <w:numPr>
          <w:ilvl w:val="0"/>
          <w:numId w:val="1009"/>
        </w:numPr>
      </w:pPr>
      <w:r>
        <w:rPr>
          <w:b/>
          <w:bCs/>
        </w:rPr>
        <w:t xml:space="preserve">2015–present:</w:t>
      </w:r>
      <w:r>
        <w:t xml:space="preserve"> </w:t>
      </w:r>
      <w:r>
        <w:t xml:space="preserve">Moved to</w:t>
      </w:r>
      <w:r>
        <w:t xml:space="preserve"> </w:t>
      </w:r>
      <w:r>
        <w:rPr>
          <w:i/>
          <w:iCs/>
        </w:rPr>
        <w:t xml:space="preserve">Obstetrics &amp; Gynecology</w:t>
      </w:r>
      <w:r>
        <w:t xml:space="preserve"> </w:t>
      </w:r>
      <w:r>
        <w:t xml:space="preserve">(the Green Journal, Wolters Kluwer/LWW) as an October Supplement (Issue 10001). Each abstract receives a unique DOI with the prefix</w:t>
      </w:r>
      <w:r>
        <w:t xml:space="preserve"> </w:t>
      </w:r>
      <w:r>
        <w:rPr>
          <w:rStyle w:val="VerbatimChar"/>
        </w:rPr>
        <w:t xml:space="preserve">10.1097/01.AOG.</w:t>
      </w:r>
      <w:r>
        <w:t xml:space="preserve"> </w:t>
      </w:r>
      <w:r>
        <w:t xml:space="preserve">followed by a unique hash per abstract (e.g.,</w:t>
      </w:r>
      <w:r>
        <w:t xml:space="preserve"> </w:t>
      </w:r>
      <w:r>
        <w:rPr>
          <w:rStyle w:val="VerbatimChar"/>
        </w:rPr>
        <w:t xml:space="preserve">10.1097/01.AOG.0000585640.43634.ce</w:t>
      </w:r>
      <w:r>
        <w:t xml:space="preserve">). Confirmed by spot-check.</w:t>
      </w:r>
    </w:p>
    <w:p>
      <w:pPr>
        <w:pStyle w:val="FirstParagraph"/>
      </w:pPr>
      <w:r>
        <w:t xml:space="preserve">Volume numbers increase by 2 per year (Vol 126 in 2015 → Vol 142 in 2023). Abstracts are also cataloged without DOIs at</w:t>
      </w:r>
      <w:r>
        <w:t xml:space="preserve"> </w:t>
      </w:r>
      <w:hyperlink r:id="rId134">
        <w:r>
          <w:rPr>
            <w:rStyle w:val="Hyperlink"/>
          </w:rPr>
          <w:t xml:space="preserve">https://tools.apgo.org/abstract-catalog/</w:t>
        </w:r>
      </w:hyperlink>
      <w:r>
        <w:t xml:space="preserve"> </w:t>
      </w:r>
      <w:r>
        <w:t xml:space="preserve">covering 2012–2025.</w:t>
      </w:r>
    </w:p>
    <w:p>
      <w:pPr>
        <w:pStyle w:val="BodyText"/>
      </w:pPr>
      <w:r>
        <w:rPr>
          <w:b/>
          <w:bCs/>
        </w:rPr>
        <w:t xml:space="preserve">Platform note:</w:t>
      </w:r>
      <w:r>
        <w:t xml:space="preserve"> </w:t>
      </w:r>
      <w:r>
        <w:t xml:space="preserve">The Green Journal is hosted on LWW (journals.lww.com), not ScienceDirect — the same platform as AUGS/Urogynecology. The LWW-specific scraper developed for AUGS would apply here as well.</w:t>
      </w:r>
    </w:p>
    <w:p>
      <w:pPr>
        <w:pStyle w:val="BodyText"/>
      </w:pPr>
      <w:r>
        <w:rPr>
          <w:b/>
          <w:bCs/>
        </w:rPr>
        <w:t xml:space="preserve">Published in Obstetrics &amp; Gynecology — October Supplements (2015–2023):</w:t>
      </w:r>
    </w:p>
    <w:tbl>
      <w:tblPr>
        <w:tblStyle w:val="Table"/>
        <w:tblW w:type="pct" w:w="5000"/>
        <w:tblLayout w:type="fixed"/>
        <w:tblLook w:firstRow="1" w:lastRow="0" w:firstColumn="0" w:lastColumn="0" w:noHBand="0" w:noVBand="0" w:val="0020"/>
      </w:tblPr>
      <w:tblGrid>
        <w:gridCol w:w="896"/>
        <w:gridCol w:w="1344"/>
        <w:gridCol w:w="1344"/>
        <w:gridCol w:w="1046"/>
        <w:gridCol w:w="1344"/>
        <w:gridCol w:w="1942"/>
      </w:tblGrid>
      <w:tr>
        <w:trPr>
          <w:tblHeader w:val="on"/>
        </w:trPr>
        <w:tc>
          <w:tcPr/>
          <w:p>
            <w:pPr>
              <w:pStyle w:val="Compact"/>
            </w:pPr>
            <w:r>
              <w:t xml:space="preserve">Year</w:t>
            </w:r>
          </w:p>
        </w:tc>
        <w:tc>
          <w:tcPr/>
          <w:p>
            <w:pPr>
              <w:pStyle w:val="Compact"/>
            </w:pPr>
            <w:r>
              <w:t xml:space="preserve">Meeting</w:t>
            </w:r>
          </w:p>
        </w:tc>
        <w:tc>
          <w:tcPr/>
          <w:p>
            <w:pPr>
              <w:pStyle w:val="Compact"/>
            </w:pPr>
            <w:r>
              <w:t xml:space="preserve">O&amp;G Vol</w:t>
            </w:r>
          </w:p>
        </w:tc>
        <w:tc>
          <w:tcPr/>
          <w:p>
            <w:pPr>
              <w:pStyle w:val="Compact"/>
            </w:pPr>
            <w:r>
              <w:t xml:space="preserve">Issue</w:t>
            </w:r>
          </w:p>
        </w:tc>
        <w:tc>
          <w:tcPr/>
          <w:p>
            <w:pPr>
              <w:pStyle w:val="Compact"/>
            </w:pPr>
            <w:r>
              <w:t xml:space="preserve">LWW URL</w:t>
            </w:r>
          </w:p>
        </w:tc>
        <w:tc>
          <w:tcPr/>
          <w:p>
            <w:pPr>
              <w:pStyle w:val="Compact"/>
            </w:pPr>
            <w:r>
              <w:t xml:space="preserve">DOI Pattern</w:t>
            </w:r>
          </w:p>
        </w:tc>
      </w:tr>
      <w:tr>
        <w:tc>
          <w:tcPr/>
          <w:p>
            <w:pPr>
              <w:pStyle w:val="Compact"/>
            </w:pPr>
            <w:r>
              <w:t xml:space="preserve">2023</w:t>
            </w:r>
          </w:p>
        </w:tc>
        <w:tc>
          <w:tcPr/>
          <w:p>
            <w:pPr>
              <w:pStyle w:val="Compact"/>
            </w:pPr>
            <w:r>
              <w:t xml:space="preserve">CREOG &amp; APGO</w:t>
            </w:r>
          </w:p>
        </w:tc>
        <w:tc>
          <w:tcPr/>
          <w:p>
            <w:pPr>
              <w:pStyle w:val="Compact"/>
            </w:pPr>
            <w:r>
              <w:t xml:space="preserve">142</w:t>
            </w:r>
          </w:p>
        </w:tc>
        <w:tc>
          <w:tcPr/>
          <w:p>
            <w:pPr>
              <w:pStyle w:val="Compact"/>
            </w:pPr>
            <w:r>
              <w:t xml:space="preserve">10001</w:t>
            </w:r>
          </w:p>
        </w:tc>
        <w:tc>
          <w:tcPr/>
          <w:p>
            <w:pPr>
              <w:pStyle w:val="Compact"/>
            </w:pPr>
            <w:hyperlink r:id="rId135">
              <w:r>
                <w:rPr>
                  <w:rStyle w:val="Hyperlink"/>
                </w:rPr>
                <w:t xml:space="preserve">https://journals.lww.com/greenjournal/toc/2023/10001</w:t>
              </w:r>
            </w:hyperlink>
          </w:p>
        </w:tc>
        <w:tc>
          <w:tcPr/>
          <w:p>
            <w:pPr>
              <w:pStyle w:val="Compact"/>
            </w:pPr>
            <w:r>
              <w:t xml:space="preserve">10.1097/01.AOG.xxx</w:t>
            </w:r>
          </w:p>
        </w:tc>
      </w:tr>
      <w:tr>
        <w:tc>
          <w:tcPr/>
          <w:p>
            <w:pPr>
              <w:pStyle w:val="Compact"/>
            </w:pPr>
            <w:r>
              <w:t xml:space="preserve">2022</w:t>
            </w:r>
          </w:p>
        </w:tc>
        <w:tc>
          <w:tcPr/>
          <w:p>
            <w:pPr>
              <w:pStyle w:val="Compact"/>
            </w:pPr>
            <w:r>
              <w:t xml:space="preserve">CREOG &amp; APGO</w:t>
            </w:r>
          </w:p>
        </w:tc>
        <w:tc>
          <w:tcPr/>
          <w:p>
            <w:pPr>
              <w:pStyle w:val="Compact"/>
            </w:pPr>
            <w:r>
              <w:t xml:space="preserve">140</w:t>
            </w:r>
          </w:p>
        </w:tc>
        <w:tc>
          <w:tcPr/>
          <w:p>
            <w:pPr>
              <w:pStyle w:val="Compact"/>
            </w:pPr>
            <w:r>
              <w:t xml:space="preserve">10001</w:t>
            </w:r>
          </w:p>
        </w:tc>
        <w:tc>
          <w:tcPr/>
          <w:p>
            <w:pPr>
              <w:pStyle w:val="Compact"/>
            </w:pPr>
            <w:hyperlink r:id="rId136">
              <w:r>
                <w:rPr>
                  <w:rStyle w:val="Hyperlink"/>
                </w:rPr>
                <w:t xml:space="preserve">https://journals.lww.com/greenjournal/toc/2022/10001</w:t>
              </w:r>
            </w:hyperlink>
          </w:p>
        </w:tc>
        <w:tc>
          <w:tcPr/>
          <w:p>
            <w:pPr>
              <w:pStyle w:val="Compact"/>
            </w:pPr>
            <w:r>
              <w:t xml:space="preserve">10.1097/01.AOG.xxx</w:t>
            </w:r>
          </w:p>
        </w:tc>
      </w:tr>
      <w:tr>
        <w:tc>
          <w:tcPr/>
          <w:p>
            <w:pPr>
              <w:pStyle w:val="Compact"/>
            </w:pPr>
            <w:r>
              <w:t xml:space="preserve">2021</w:t>
            </w:r>
          </w:p>
        </w:tc>
        <w:tc>
          <w:tcPr/>
          <w:p>
            <w:pPr>
              <w:pStyle w:val="Compact"/>
            </w:pPr>
            <w:r>
              <w:t xml:space="preserve">CREOG &amp; APGO</w:t>
            </w:r>
          </w:p>
        </w:tc>
        <w:tc>
          <w:tcPr/>
          <w:p>
            <w:pPr>
              <w:pStyle w:val="Compact"/>
            </w:pPr>
            <w:r>
              <w:t xml:space="preserve">138</w:t>
            </w:r>
          </w:p>
        </w:tc>
        <w:tc>
          <w:tcPr/>
          <w:p>
            <w:pPr>
              <w:pStyle w:val="Compact"/>
            </w:pPr>
            <w:r>
              <w:t xml:space="preserve">10001</w:t>
            </w:r>
          </w:p>
        </w:tc>
        <w:tc>
          <w:tcPr/>
          <w:p>
            <w:pPr>
              <w:pStyle w:val="Compact"/>
            </w:pPr>
            <w:hyperlink r:id="rId137">
              <w:r>
                <w:rPr>
                  <w:rStyle w:val="Hyperlink"/>
                </w:rPr>
                <w:t xml:space="preserve">https://journals.lww.com/greenjournal/toc/2021/10001</w:t>
              </w:r>
            </w:hyperlink>
          </w:p>
        </w:tc>
        <w:tc>
          <w:tcPr/>
          <w:p>
            <w:pPr>
              <w:pStyle w:val="Compact"/>
            </w:pPr>
            <w:r>
              <w:t xml:space="preserve">10.1097/01.AOG.xxx</w:t>
            </w:r>
          </w:p>
        </w:tc>
      </w:tr>
      <w:tr>
        <w:tc>
          <w:tcPr/>
          <w:p>
            <w:pPr>
              <w:pStyle w:val="Compact"/>
            </w:pPr>
            <w:r>
              <w:t xml:space="preserve">2020</w:t>
            </w:r>
          </w:p>
        </w:tc>
        <w:tc>
          <w:tcPr/>
          <w:p>
            <w:pPr>
              <w:pStyle w:val="Compact"/>
            </w:pPr>
            <w:r>
              <w:t xml:space="preserve">CREOG &amp; APGO (Orlando, FL)</w:t>
            </w:r>
          </w:p>
        </w:tc>
        <w:tc>
          <w:tcPr/>
          <w:p>
            <w:pPr>
              <w:pStyle w:val="Compact"/>
            </w:pPr>
            <w:r>
              <w:t xml:space="preserve">136</w:t>
            </w:r>
          </w:p>
        </w:tc>
        <w:tc>
          <w:tcPr/>
          <w:p>
            <w:pPr>
              <w:pStyle w:val="Compact"/>
            </w:pPr>
            <w:r>
              <w:t xml:space="preserve">10001</w:t>
            </w:r>
          </w:p>
        </w:tc>
        <w:tc>
          <w:tcPr/>
          <w:p>
            <w:pPr>
              <w:pStyle w:val="Compact"/>
            </w:pPr>
            <w:hyperlink r:id="rId138">
              <w:r>
                <w:rPr>
                  <w:rStyle w:val="Hyperlink"/>
                </w:rPr>
                <w:t xml:space="preserve">https://journals.lww.com/greenjournal/toc/2020/10001</w:t>
              </w:r>
            </w:hyperlink>
          </w:p>
        </w:tc>
        <w:tc>
          <w:tcPr/>
          <w:p>
            <w:pPr>
              <w:pStyle w:val="Compact"/>
            </w:pPr>
            <w:r>
              <w:t xml:space="preserve">10.1097/01.AOG.xxx</w:t>
            </w:r>
          </w:p>
        </w:tc>
      </w:tr>
      <w:tr>
        <w:tc>
          <w:tcPr/>
          <w:p>
            <w:pPr>
              <w:pStyle w:val="Compact"/>
            </w:pPr>
            <w:r>
              <w:t xml:space="preserve">2019</w:t>
            </w:r>
          </w:p>
        </w:tc>
        <w:tc>
          <w:tcPr/>
          <w:p>
            <w:pPr>
              <w:pStyle w:val="Compact"/>
            </w:pPr>
            <w:r>
              <w:t xml:space="preserve">CREOG &amp; APGO</w:t>
            </w:r>
          </w:p>
        </w:tc>
        <w:tc>
          <w:tcPr/>
          <w:p>
            <w:pPr>
              <w:pStyle w:val="Compact"/>
            </w:pPr>
            <w:r>
              <w:t xml:space="preserve">134</w:t>
            </w:r>
          </w:p>
        </w:tc>
        <w:tc>
          <w:tcPr/>
          <w:p>
            <w:pPr>
              <w:pStyle w:val="Compact"/>
            </w:pPr>
            <w:r>
              <w:t xml:space="preserve">10001</w:t>
            </w:r>
          </w:p>
        </w:tc>
        <w:tc>
          <w:tcPr/>
          <w:p>
            <w:pPr>
              <w:pStyle w:val="Compact"/>
            </w:pPr>
            <w:hyperlink r:id="rId139">
              <w:r>
                <w:rPr>
                  <w:rStyle w:val="Hyperlink"/>
                </w:rPr>
                <w:t xml:space="preserve">https://journals.lww.com/greenjournal/toc/2019/10001</w:t>
              </w:r>
            </w:hyperlink>
          </w:p>
        </w:tc>
        <w:tc>
          <w:tcPr/>
          <w:p>
            <w:pPr>
              <w:pStyle w:val="Compact"/>
            </w:pPr>
            <w:r>
              <w:t xml:space="preserve">10.1097/01.AOG.xxx</w:t>
            </w:r>
          </w:p>
        </w:tc>
      </w:tr>
      <w:tr>
        <w:tc>
          <w:tcPr/>
          <w:p>
            <w:pPr>
              <w:pStyle w:val="Compact"/>
            </w:pPr>
            <w:r>
              <w:t xml:space="preserve">2018</w:t>
            </w:r>
          </w:p>
        </w:tc>
        <w:tc>
          <w:tcPr/>
          <w:p>
            <w:pPr>
              <w:pStyle w:val="Compact"/>
            </w:pPr>
            <w:r>
              <w:t xml:space="preserve">CREOG &amp; APGO</w:t>
            </w:r>
          </w:p>
        </w:tc>
        <w:tc>
          <w:tcPr/>
          <w:p>
            <w:pPr>
              <w:pStyle w:val="Compact"/>
            </w:pPr>
            <w:r>
              <w:t xml:space="preserve">132</w:t>
            </w:r>
          </w:p>
        </w:tc>
        <w:tc>
          <w:tcPr/>
          <w:p>
            <w:pPr>
              <w:pStyle w:val="Compact"/>
            </w:pPr>
            <w:r>
              <w:t xml:space="preserve">10001</w:t>
            </w:r>
          </w:p>
        </w:tc>
        <w:tc>
          <w:tcPr/>
          <w:p>
            <w:pPr>
              <w:pStyle w:val="Compact"/>
            </w:pPr>
            <w:hyperlink r:id="rId140">
              <w:r>
                <w:rPr>
                  <w:rStyle w:val="Hyperlink"/>
                </w:rPr>
                <w:t xml:space="preserve">https://journals.lww.com/greenjournal/toc/2018/10001</w:t>
              </w:r>
            </w:hyperlink>
          </w:p>
        </w:tc>
        <w:tc>
          <w:tcPr/>
          <w:p>
            <w:pPr>
              <w:pStyle w:val="Compact"/>
            </w:pPr>
            <w:r>
              <w:t xml:space="preserve">10.1097/01.AOG.xxx</w:t>
            </w:r>
          </w:p>
        </w:tc>
      </w:tr>
      <w:tr>
        <w:tc>
          <w:tcPr/>
          <w:p>
            <w:pPr>
              <w:pStyle w:val="Compact"/>
            </w:pPr>
            <w:r>
              <w:t xml:space="preserve">2017</w:t>
            </w:r>
          </w:p>
        </w:tc>
        <w:tc>
          <w:tcPr/>
          <w:p>
            <w:pPr>
              <w:pStyle w:val="Compact"/>
            </w:pPr>
            <w:r>
              <w:t xml:space="preserve">CREOG &amp; APGO</w:t>
            </w:r>
          </w:p>
        </w:tc>
        <w:tc>
          <w:tcPr/>
          <w:p>
            <w:pPr>
              <w:pStyle w:val="Compact"/>
            </w:pPr>
            <w:r>
              <w:t xml:space="preserve">130</w:t>
            </w:r>
          </w:p>
        </w:tc>
        <w:tc>
          <w:tcPr/>
          <w:p>
            <w:pPr>
              <w:pStyle w:val="Compact"/>
            </w:pPr>
            <w:r>
              <w:t xml:space="preserve">10001</w:t>
            </w:r>
          </w:p>
        </w:tc>
        <w:tc>
          <w:tcPr/>
          <w:p>
            <w:pPr>
              <w:pStyle w:val="Compact"/>
            </w:pPr>
            <w:hyperlink r:id="rId141">
              <w:r>
                <w:rPr>
                  <w:rStyle w:val="Hyperlink"/>
                </w:rPr>
                <w:t xml:space="preserve">https://journals.lww.com/greenjournal/toc/2017/10001</w:t>
              </w:r>
            </w:hyperlink>
          </w:p>
        </w:tc>
        <w:tc>
          <w:tcPr/>
          <w:p>
            <w:pPr>
              <w:pStyle w:val="Compact"/>
            </w:pPr>
            <w:r>
              <w:t xml:space="preserve">10.1097/01.AOG.xxx</w:t>
            </w:r>
          </w:p>
        </w:tc>
      </w:tr>
      <w:tr>
        <w:tc>
          <w:tcPr/>
          <w:p>
            <w:pPr>
              <w:pStyle w:val="Compact"/>
            </w:pPr>
            <w:r>
              <w:t xml:space="preserve">2016</w:t>
            </w:r>
          </w:p>
        </w:tc>
        <w:tc>
          <w:tcPr/>
          <w:p>
            <w:pPr>
              <w:pStyle w:val="Compact"/>
            </w:pPr>
            <w:r>
              <w:t xml:space="preserve">CREOG &amp; APGO</w:t>
            </w:r>
          </w:p>
        </w:tc>
        <w:tc>
          <w:tcPr/>
          <w:p>
            <w:pPr>
              <w:pStyle w:val="Compact"/>
            </w:pPr>
            <w:r>
              <w:t xml:space="preserve">128</w:t>
            </w:r>
          </w:p>
        </w:tc>
        <w:tc>
          <w:tcPr/>
          <w:p>
            <w:pPr>
              <w:pStyle w:val="Compact"/>
            </w:pPr>
            <w:r>
              <w:t xml:space="preserve">10001</w:t>
            </w:r>
          </w:p>
        </w:tc>
        <w:tc>
          <w:tcPr/>
          <w:p>
            <w:pPr>
              <w:pStyle w:val="Compact"/>
            </w:pPr>
            <w:hyperlink r:id="rId142">
              <w:r>
                <w:rPr>
                  <w:rStyle w:val="Hyperlink"/>
                </w:rPr>
                <w:t xml:space="preserve">https://journals.lww.com/greenjournal/toc/2016/10001</w:t>
              </w:r>
            </w:hyperlink>
          </w:p>
        </w:tc>
        <w:tc>
          <w:tcPr/>
          <w:p>
            <w:pPr>
              <w:pStyle w:val="Compact"/>
            </w:pPr>
            <w:r>
              <w:t xml:space="preserve">10.1097/01.AOG.xxx</w:t>
            </w:r>
          </w:p>
        </w:tc>
      </w:tr>
      <w:tr>
        <w:tc>
          <w:tcPr/>
          <w:p>
            <w:pPr>
              <w:pStyle w:val="Compact"/>
            </w:pPr>
            <w:r>
              <w:t xml:space="preserve">2015</w:t>
            </w:r>
          </w:p>
        </w:tc>
        <w:tc>
          <w:tcPr/>
          <w:p>
            <w:pPr>
              <w:pStyle w:val="Compact"/>
            </w:pPr>
            <w:r>
              <w:t xml:space="preserve">CREOG &amp; APGO</w:t>
            </w:r>
          </w:p>
        </w:tc>
        <w:tc>
          <w:tcPr/>
          <w:p>
            <w:pPr>
              <w:pStyle w:val="Compact"/>
            </w:pPr>
            <w:r>
              <w:t xml:space="preserve">126</w:t>
            </w:r>
          </w:p>
        </w:tc>
        <w:tc>
          <w:tcPr/>
          <w:p>
            <w:pPr>
              <w:pStyle w:val="Compact"/>
            </w:pPr>
            <w:r>
              <w:t xml:space="preserve">10001</w:t>
            </w:r>
          </w:p>
        </w:tc>
        <w:tc>
          <w:tcPr/>
          <w:p>
            <w:pPr>
              <w:pStyle w:val="Compact"/>
            </w:pPr>
            <w:hyperlink r:id="rId143">
              <w:r>
                <w:rPr>
                  <w:rStyle w:val="Hyperlink"/>
                </w:rPr>
                <w:t xml:space="preserve">https://journals.lww.com/greenjournal/toc/2015/10001</w:t>
              </w:r>
            </w:hyperlink>
          </w:p>
        </w:tc>
        <w:tc>
          <w:tcPr/>
          <w:p>
            <w:pPr>
              <w:pStyle w:val="Compact"/>
            </w:pPr>
            <w:r>
              <w:t xml:space="preserve">10.1097/01.AOG.xxx</w:t>
            </w:r>
          </w:p>
        </w:tc>
      </w:tr>
    </w:tbl>
    <w:p>
      <w:pPr>
        <w:pStyle w:val="BodyText"/>
      </w:pPr>
      <w:r>
        <w:rPr>
          <w:b/>
          <w:bCs/>
        </w:rPr>
        <w:t xml:space="preserve">Published in Teaching and Learning in Medicine (2013–2014):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Year</w:t>
            </w:r>
          </w:p>
        </w:tc>
        <w:tc>
          <w:tcPr/>
          <w:p>
            <w:pPr>
              <w:pStyle w:val="Compact"/>
            </w:pPr>
            <w:r>
              <w:t xml:space="preserve">Meeting</w:t>
            </w:r>
          </w:p>
        </w:tc>
        <w:tc>
          <w:tcPr/>
          <w:p>
            <w:pPr>
              <w:pStyle w:val="Compact"/>
            </w:pPr>
            <w:r>
              <w:t xml:space="preserve">TLM Vol</w:t>
            </w:r>
          </w:p>
        </w:tc>
        <w:tc>
          <w:tcPr/>
          <w:p>
            <w:pPr>
              <w:pStyle w:val="Compact"/>
            </w:pPr>
            <w:r>
              <w:t xml:space="preserve">Issue</w:t>
            </w:r>
          </w:p>
        </w:tc>
        <w:tc>
          <w:tcPr/>
          <w:p>
            <w:pPr>
              <w:pStyle w:val="Compact"/>
            </w:pPr>
            <w:r>
              <w:t xml:space="preserve">DOI</w:t>
            </w:r>
          </w:p>
        </w:tc>
      </w:tr>
      <w:tr>
        <w:tc>
          <w:tcPr/>
          <w:p>
            <w:pPr>
              <w:pStyle w:val="Compact"/>
            </w:pPr>
            <w:r>
              <w:t xml:space="preserve">2014</w:t>
            </w:r>
          </w:p>
        </w:tc>
        <w:tc>
          <w:tcPr/>
          <w:p>
            <w:pPr>
              <w:pStyle w:val="Compact"/>
            </w:pPr>
            <w:r>
              <w:t xml:space="preserve">CREOG &amp; APGO</w:t>
            </w:r>
          </w:p>
        </w:tc>
        <w:tc>
          <w:tcPr/>
          <w:p>
            <w:pPr>
              <w:pStyle w:val="Compact"/>
            </w:pPr>
            <w:r>
              <w:t xml:space="preserve">28</w:t>
            </w:r>
          </w:p>
        </w:tc>
        <w:tc>
          <w:tcPr/>
          <w:p>
            <w:pPr>
              <w:pStyle w:val="Compact"/>
            </w:pPr>
            <w:r>
              <w:t xml:space="preserve">1</w:t>
            </w:r>
          </w:p>
        </w:tc>
        <w:tc>
          <w:tcPr/>
          <w:p>
            <w:pPr>
              <w:pStyle w:val="Compact"/>
            </w:pPr>
            <w:r>
              <w:t xml:space="preserve">10.1080/10401334.2015.1107492</w:t>
            </w:r>
          </w:p>
        </w:tc>
      </w:tr>
      <w:tr>
        <w:tc>
          <w:tcPr/>
          <w:p>
            <w:pPr>
              <w:pStyle w:val="Compact"/>
            </w:pPr>
            <w:r>
              <w:t xml:space="preserve">2013</w:t>
            </w:r>
          </w:p>
        </w:tc>
        <w:tc>
          <w:tcPr/>
          <w:p>
            <w:pPr>
              <w:pStyle w:val="Compact"/>
            </w:pPr>
            <w:r>
              <w:t xml:space="preserve">CREOG &amp; APGO</w:t>
            </w:r>
          </w:p>
        </w:tc>
        <w:tc>
          <w:tcPr/>
          <w:p>
            <w:pPr>
              <w:pStyle w:val="Compact"/>
            </w:pPr>
            <w:r>
              <w:t xml:space="preserve">26</w:t>
            </w:r>
          </w:p>
        </w:tc>
        <w:tc>
          <w:tcPr/>
          <w:p>
            <w:pPr>
              <w:pStyle w:val="Compact"/>
            </w:pPr>
            <w:r>
              <w:t xml:space="preserve">4</w:t>
            </w:r>
          </w:p>
        </w:tc>
        <w:tc>
          <w:tcPr/>
          <w:p>
            <w:pPr>
              <w:pStyle w:val="Compact"/>
            </w:pPr>
            <w:r>
              <w:t xml:space="preserve">10.1080/10401334.2014.945034</w:t>
            </w:r>
          </w:p>
        </w:tc>
      </w:tr>
    </w:tbl>
    <w:p>
      <w:pPr>
        <w:pStyle w:val="BodyText"/>
      </w:pPr>
      <w:r>
        <w:rPr>
          <w:i/>
          <w:iCs/>
        </w:rPr>
        <w:t xml:space="preserve">Note: 2013–2014 each have one DOI for the entire collection, not individual abstract DOIs. The 2020 meeting was held in-person in February 2020 (pre-COVID); supplement publication timing may have shifted. 2021 URL is inferred from volume pattern.</w:t>
      </w:r>
    </w:p>
    <w:p>
      <w:pPr>
        <w:pStyle w:val="BodyText"/>
      </w:pPr>
      <w:r>
        <w:rPr>
          <w:i/>
          <w:iCs/>
        </w:rPr>
        <w:t xml:space="preserve">Sources:</w:t>
      </w:r>
      <w:r>
        <w:rPr>
          <w:i/>
          <w:iCs/>
        </w:rPr>
        <w:t xml:space="preserve"> </w:t>
      </w:r>
      <w:hyperlink r:id="rId144">
        <w:r>
          <w:rPr>
            <w:rStyle w:val="Hyperlink"/>
            <w:i/>
            <w:iCs/>
          </w:rPr>
          <w:t xml:space="preserve">https://journals.lww.com/greenjournal/Pages/collectiondetails.aspx?TopicalCollectionId=129</w:t>
        </w:r>
      </w:hyperlink>
      <w:r>
        <w:rPr>
          <w:i/>
          <w:iCs/>
        </w:rPr>
        <w:t xml:space="preserve">;</w:t>
      </w:r>
      <w:r>
        <w:rPr>
          <w:i/>
          <w:iCs/>
        </w:rPr>
        <w:t xml:space="preserve"> </w:t>
      </w:r>
      <w:hyperlink r:id="rId134">
        <w:r>
          <w:rPr>
            <w:rStyle w:val="Hyperlink"/>
            <w:i/>
            <w:iCs/>
          </w:rPr>
          <w:t xml:space="preserve">https://tools.apgo.org/abstract-catalog/</w:t>
        </w:r>
      </w:hyperlink>
      <w:r>
        <w:rPr>
          <w:i/>
          <w:iCs/>
        </w:rPr>
        <w:t xml:space="preserve">;</w:t>
      </w:r>
      <w:r>
        <w:rPr>
          <w:i/>
          <w:iCs/>
        </w:rPr>
        <w:t xml:space="preserve"> </w:t>
      </w:r>
      <w:hyperlink r:id="rId145">
        <w:r>
          <w:rPr>
            <w:rStyle w:val="Hyperlink"/>
            <w:i/>
            <w:iCs/>
          </w:rPr>
          <w:t xml:space="preserve">https://www.tandfonline.com/doi/full/10.1080/10401334.2015.1107492</w:t>
        </w:r>
      </w:hyperlink>
    </w:p>
    <w:p>
      <w:r>
        <w:pict>
          <v:rect style="width:0;height:1.5pt" o:hralign="center" o:hrstd="t" o:hr="t"/>
        </w:pict>
      </w:r>
    </w:p>
    <w:bookmarkEnd w:id="146"/>
    <w:bookmarkStart w:id="147" w:name="X75bb174c79753db09394e2e5a6526c380565da5"/>
    <w:p>
      <w:pPr>
        <w:pStyle w:val="Heading3"/>
      </w:pPr>
      <w:r>
        <w:t xml:space="preserve">A11.20 Final Complete Society Comparison (All 9 Societies)</w:t>
      </w:r>
    </w:p>
    <w:tbl>
      <w:tblPr>
        <w:tblStyle w:val="Table"/>
        <w:tblW w:type="pct" w:w="5000"/>
        <w:tblLayout w:type="fixed"/>
        <w:tblLook w:firstRow="1" w:lastRow="0" w:firstColumn="0" w:lastColumn="0" w:noHBand="0" w:noVBand="0" w:val="0020"/>
      </w:tblPr>
      <w:tblGrid>
        <w:gridCol w:w="589"/>
        <w:gridCol w:w="589"/>
        <w:gridCol w:w="654"/>
        <w:gridCol w:w="1047"/>
        <w:gridCol w:w="850"/>
        <w:gridCol w:w="1047"/>
        <w:gridCol w:w="981"/>
        <w:gridCol w:w="1309"/>
        <w:gridCol w:w="850"/>
      </w:tblGrid>
      <w:tr>
        <w:trPr>
          <w:tblHeader w:val="on"/>
        </w:trPr>
        <w:tc>
          <w:tcPr/>
          <w:p>
            <w:pPr>
              <w:pStyle w:val="Compact"/>
            </w:pPr>
            <w:r>
              <w:t xml:space="preserve">Society</w:t>
            </w:r>
          </w:p>
        </w:tc>
        <w:tc>
          <w:tcPr/>
          <w:p>
            <w:pPr>
              <w:pStyle w:val="Compact"/>
            </w:pPr>
            <w:r>
              <w:t xml:space="preserve">Journal</w:t>
            </w:r>
          </w:p>
        </w:tc>
        <w:tc>
          <w:tcPr/>
          <w:p>
            <w:pPr>
              <w:pStyle w:val="Compact"/>
            </w:pPr>
            <w:r>
              <w:t xml:space="preserve">Platform</w:t>
            </w:r>
          </w:p>
        </w:tc>
        <w:tc>
          <w:tcPr/>
          <w:p>
            <w:pPr>
              <w:pStyle w:val="Compact"/>
            </w:pPr>
            <w:r>
              <w:t xml:space="preserve">Individual DOIs</w:t>
            </w:r>
          </w:p>
        </w:tc>
        <w:tc>
          <w:tcPr/>
          <w:p>
            <w:pPr>
              <w:pStyle w:val="Compact"/>
            </w:pPr>
            <w:r>
              <w:t xml:space="preserve">DOI Pattern</w:t>
            </w:r>
          </w:p>
        </w:tc>
        <w:tc>
          <w:tcPr/>
          <w:p>
            <w:pPr>
              <w:pStyle w:val="Compact"/>
            </w:pPr>
            <w:r>
              <w:t xml:space="preserve">PubMed Indexed</w:t>
            </w:r>
          </w:p>
        </w:tc>
        <w:tc>
          <w:tcPr/>
          <w:p>
            <w:pPr>
              <w:pStyle w:val="Compact"/>
            </w:pPr>
            <w:r>
              <w:t xml:space="preserve">Auth Required</w:t>
            </w:r>
          </w:p>
        </w:tc>
        <w:tc>
          <w:tcPr/>
          <w:p>
            <w:pPr>
              <w:pStyle w:val="Compact"/>
            </w:pPr>
            <w:r>
              <w:t xml:space="preserve">Avg Abstracts/Year</w:t>
            </w:r>
          </w:p>
        </w:tc>
        <w:tc>
          <w:tcPr/>
          <w:p>
            <w:pPr>
              <w:pStyle w:val="Compact"/>
            </w:pPr>
            <w:r>
              <w:t xml:space="preserve">Feasibility</w:t>
            </w:r>
          </w:p>
        </w:tc>
      </w:tr>
      <w:tr>
        <w:tc>
          <w:tcPr/>
          <w:p>
            <w:pPr>
              <w:pStyle w:val="Compact"/>
            </w:pPr>
            <w:r>
              <w:rPr>
                <w:b/>
                <w:bCs/>
              </w:rPr>
              <w:t xml:space="preserve">AAGL</w:t>
            </w:r>
          </w:p>
        </w:tc>
        <w:tc>
          <w:tcPr/>
          <w:p>
            <w:pPr>
              <w:pStyle w:val="Compact"/>
            </w:pPr>
            <w:r>
              <w:t xml:space="preserve">JMIG</w:t>
            </w:r>
          </w:p>
        </w:tc>
        <w:tc>
          <w:tcPr/>
          <w:p>
            <w:pPr>
              <w:pStyle w:val="Compact"/>
            </w:pPr>
            <w:r>
              <w:t xml:space="preserve">ScienceDirect</w:t>
            </w:r>
          </w:p>
        </w:tc>
        <w:tc>
          <w:tcPr/>
          <w:p>
            <w:pPr>
              <w:pStyle w:val="Compact"/>
            </w:pPr>
            <w:r>
              <w:t xml:space="preserve">Yes</w:t>
            </w:r>
          </w:p>
        </w:tc>
        <w:tc>
          <w:tcPr/>
          <w:p>
            <w:pPr>
              <w:pStyle w:val="Compact"/>
            </w:pPr>
            <w:r>
              <w:t xml:space="preserve">10.1016/j.jmig.Y.M.NNN</w:t>
            </w:r>
          </w:p>
        </w:tc>
        <w:tc>
          <w:tcPr/>
          <w:p>
            <w:pPr>
              <w:pStyle w:val="Compact"/>
            </w:pPr>
            <w:r>
              <w:t xml:space="preserve">Yes</w:t>
            </w:r>
          </w:p>
        </w:tc>
        <w:tc>
          <w:tcPr/>
          <w:p>
            <w:pPr>
              <w:pStyle w:val="Compact"/>
            </w:pPr>
            <w:r>
              <w:t xml:space="preserve">No</w:t>
            </w:r>
          </w:p>
        </w:tc>
        <w:tc>
          <w:tcPr/>
          <w:p>
            <w:pPr>
              <w:pStyle w:val="Compact"/>
            </w:pPr>
            <w:r>
              <w:t xml:space="preserve">~90</w:t>
            </w:r>
          </w:p>
        </w:tc>
        <w:tc>
          <w:tcPr/>
          <w:p>
            <w:pPr>
              <w:pStyle w:val="Compact"/>
            </w:pPr>
            <w:r>
              <w:t xml:space="preserve">✓ Current</w:t>
            </w:r>
          </w:p>
        </w:tc>
      </w:tr>
      <w:tr>
        <w:tc>
          <w:tcPr/>
          <w:p>
            <w:pPr>
              <w:pStyle w:val="Compact"/>
            </w:pPr>
            <w:r>
              <w:rPr>
                <w:b/>
                <w:bCs/>
              </w:rPr>
              <w:t xml:space="preserve">SMFM</w:t>
            </w:r>
          </w:p>
        </w:tc>
        <w:tc>
          <w:tcPr/>
          <w:p>
            <w:pPr>
              <w:pStyle w:val="Compact"/>
            </w:pPr>
            <w:r>
              <w:t xml:space="preserve">AJOG</w:t>
            </w:r>
          </w:p>
        </w:tc>
        <w:tc>
          <w:tcPr/>
          <w:p>
            <w:pPr>
              <w:pStyle w:val="Compact"/>
            </w:pPr>
            <w:r>
              <w:t xml:space="preserve">ScienceDirect</w:t>
            </w:r>
          </w:p>
        </w:tc>
        <w:tc>
          <w:tcPr/>
          <w:p>
            <w:pPr>
              <w:pStyle w:val="Compact"/>
            </w:pPr>
            <w:r>
              <w:t xml:space="preserve">Yes</w:t>
            </w:r>
          </w:p>
        </w:tc>
        <w:tc>
          <w:tcPr/>
          <w:p>
            <w:pPr>
              <w:pStyle w:val="Compact"/>
            </w:pPr>
            <w:r>
              <w:t xml:space="preserve">10.1016/j.ajog.Y.M.NNN</w:t>
            </w:r>
          </w:p>
        </w:tc>
        <w:tc>
          <w:tcPr/>
          <w:p>
            <w:pPr>
              <w:pStyle w:val="Compact"/>
            </w:pPr>
            <w:r>
              <w:t xml:space="preserve">Yes</w:t>
            </w:r>
          </w:p>
        </w:tc>
        <w:tc>
          <w:tcPr/>
          <w:p>
            <w:pPr>
              <w:pStyle w:val="Compact"/>
            </w:pPr>
            <w:r>
              <w:t xml:space="preserve">No</w:t>
            </w:r>
          </w:p>
        </w:tc>
        <w:tc>
          <w:tcPr/>
          <w:p>
            <w:pPr>
              <w:pStyle w:val="Compact"/>
            </w:pPr>
            <w:r>
              <w:t xml:space="preserve">~500</w:t>
            </w:r>
          </w:p>
        </w:tc>
        <w:tc>
          <w:tcPr/>
          <w:p>
            <w:pPr>
              <w:pStyle w:val="Compact"/>
            </w:pPr>
            <w:r>
              <w:t xml:space="preserve">✓ High</w:t>
            </w:r>
          </w:p>
        </w:tc>
      </w:tr>
      <w:tr>
        <w:tc>
          <w:tcPr/>
          <w:p>
            <w:pPr>
              <w:pStyle w:val="Compact"/>
            </w:pPr>
            <w:r>
              <w:rPr>
                <w:b/>
                <w:bCs/>
              </w:rPr>
              <w:t xml:space="preserve">SGO</w:t>
            </w:r>
          </w:p>
        </w:tc>
        <w:tc>
          <w:tcPr/>
          <w:p>
            <w:pPr>
              <w:pStyle w:val="Compact"/>
            </w:pPr>
            <w:r>
              <w:t xml:space="preserve">Gyn Onc</w:t>
            </w:r>
          </w:p>
        </w:tc>
        <w:tc>
          <w:tcPr/>
          <w:p>
            <w:pPr>
              <w:pStyle w:val="Compact"/>
            </w:pPr>
            <w:r>
              <w:t xml:space="preserve">ScienceDirect</w:t>
            </w:r>
          </w:p>
        </w:tc>
        <w:tc>
          <w:tcPr/>
          <w:p>
            <w:pPr>
              <w:pStyle w:val="Compact"/>
            </w:pPr>
            <w:r>
              <w:t xml:space="preserve">Yes</w:t>
            </w:r>
          </w:p>
        </w:tc>
        <w:tc>
          <w:tcPr/>
          <w:p>
            <w:pPr>
              <w:pStyle w:val="Compact"/>
            </w:pPr>
            <w:r>
              <w:t xml:space="preserve">10.1016/j.ygyno.Y.M.NNN</w:t>
            </w:r>
          </w:p>
        </w:tc>
        <w:tc>
          <w:tcPr/>
          <w:p>
            <w:pPr>
              <w:pStyle w:val="Compact"/>
            </w:pPr>
            <w:r>
              <w:t xml:space="preserve">Yes</w:t>
            </w:r>
          </w:p>
        </w:tc>
        <w:tc>
          <w:tcPr/>
          <w:p>
            <w:pPr>
              <w:pStyle w:val="Compact"/>
            </w:pPr>
            <w:r>
              <w:t xml:space="preserve">Partial</w:t>
            </w:r>
          </w:p>
        </w:tc>
        <w:tc>
          <w:tcPr/>
          <w:p>
            <w:pPr>
              <w:pStyle w:val="Compact"/>
            </w:pPr>
            <w:r>
              <w:t xml:space="preserve">~570</w:t>
            </w:r>
          </w:p>
        </w:tc>
        <w:tc>
          <w:tcPr/>
          <w:p>
            <w:pPr>
              <w:pStyle w:val="Compact"/>
            </w:pPr>
            <w:r>
              <w:t xml:space="preserve">✓ High</w:t>
            </w:r>
          </w:p>
        </w:tc>
      </w:tr>
      <w:tr>
        <w:tc>
          <w:tcPr/>
          <w:p>
            <w:pPr>
              <w:pStyle w:val="Compact"/>
            </w:pPr>
            <w:r>
              <w:rPr>
                <w:b/>
                <w:bCs/>
              </w:rPr>
              <w:t xml:space="preserve">NASPAG</w:t>
            </w:r>
          </w:p>
        </w:tc>
        <w:tc>
          <w:tcPr/>
          <w:p>
            <w:pPr>
              <w:pStyle w:val="Compact"/>
            </w:pPr>
            <w:r>
              <w:t xml:space="preserve">JPAG</w:t>
            </w:r>
          </w:p>
        </w:tc>
        <w:tc>
          <w:tcPr/>
          <w:p>
            <w:pPr>
              <w:pStyle w:val="Compact"/>
            </w:pPr>
            <w:r>
              <w:t xml:space="preserve">ScienceDirect</w:t>
            </w:r>
          </w:p>
        </w:tc>
        <w:tc>
          <w:tcPr/>
          <w:p>
            <w:pPr>
              <w:pStyle w:val="Compact"/>
            </w:pPr>
            <w:r>
              <w:t xml:space="preserve">Yes</w:t>
            </w:r>
          </w:p>
        </w:tc>
        <w:tc>
          <w:tcPr/>
          <w:p>
            <w:pPr>
              <w:pStyle w:val="Compact"/>
            </w:pPr>
            <w:r>
              <w:t xml:space="preserve">10.1016/j.jpag.Y.M.NNN</w:t>
            </w:r>
          </w:p>
        </w:tc>
        <w:tc>
          <w:tcPr/>
          <w:p>
            <w:pPr>
              <w:pStyle w:val="Compact"/>
            </w:pPr>
            <w:r>
              <w:t xml:space="preserve">Yes</w:t>
            </w:r>
          </w:p>
        </w:tc>
        <w:tc>
          <w:tcPr/>
          <w:p>
            <w:pPr>
              <w:pStyle w:val="Compact"/>
            </w:pPr>
            <w:r>
              <w:t xml:space="preserve">No</w:t>
            </w:r>
          </w:p>
        </w:tc>
        <w:tc>
          <w:tcPr/>
          <w:p>
            <w:pPr>
              <w:pStyle w:val="Compact"/>
            </w:pPr>
            <w:r>
              <w:t xml:space="preserve">~35</w:t>
            </w:r>
          </w:p>
        </w:tc>
        <w:tc>
          <w:tcPr/>
          <w:p>
            <w:pPr>
              <w:pStyle w:val="Compact"/>
            </w:pPr>
            <w:r>
              <w:t xml:space="preserve">✓ High</w:t>
            </w:r>
          </w:p>
        </w:tc>
      </w:tr>
      <w:tr>
        <w:tc>
          <w:tcPr/>
          <w:p>
            <w:pPr>
              <w:pStyle w:val="Compact"/>
            </w:pPr>
            <w:r>
              <w:rPr>
                <w:b/>
                <w:bCs/>
              </w:rPr>
              <w:t xml:space="preserve">ASRM</w:t>
            </w:r>
          </w:p>
        </w:tc>
        <w:tc>
          <w:tcPr/>
          <w:p>
            <w:pPr>
              <w:pStyle w:val="Compact"/>
            </w:pPr>
            <w:r>
              <w:t xml:space="preserve">F&amp;S</w:t>
            </w:r>
          </w:p>
        </w:tc>
        <w:tc>
          <w:tcPr/>
          <w:p>
            <w:pPr>
              <w:pStyle w:val="Compact"/>
            </w:pPr>
            <w:r>
              <w:t xml:space="preserve">ScienceDirect</w:t>
            </w:r>
          </w:p>
        </w:tc>
        <w:tc>
          <w:tcPr/>
          <w:p>
            <w:pPr>
              <w:pStyle w:val="Compact"/>
            </w:pPr>
            <w:r>
              <w:t xml:space="preserve">Yes</w:t>
            </w:r>
          </w:p>
        </w:tc>
        <w:tc>
          <w:tcPr/>
          <w:p>
            <w:pPr>
              <w:pStyle w:val="Compact"/>
            </w:pPr>
            <w:r>
              <w:t xml:space="preserve">10.1016/j.fertnstert.Y.M.NNN</w:t>
            </w:r>
          </w:p>
        </w:tc>
        <w:tc>
          <w:tcPr/>
          <w:p>
            <w:pPr>
              <w:pStyle w:val="Compact"/>
            </w:pPr>
            <w:r>
              <w:t xml:space="preserve">Yes</w:t>
            </w:r>
          </w:p>
        </w:tc>
        <w:tc>
          <w:tcPr/>
          <w:p>
            <w:pPr>
              <w:pStyle w:val="Compact"/>
            </w:pPr>
            <w:r>
              <w:t xml:space="preserve">Yes (browse)</w:t>
            </w:r>
          </w:p>
        </w:tc>
        <w:tc>
          <w:tcPr/>
          <w:p>
            <w:pPr>
              <w:pStyle w:val="Compact"/>
            </w:pPr>
            <w:r>
              <w:t xml:space="preserve">~1,200</w:t>
            </w:r>
          </w:p>
        </w:tc>
        <w:tc>
          <w:tcPr/>
          <w:p>
            <w:pPr>
              <w:pStyle w:val="Compact"/>
            </w:pPr>
            <w:r>
              <w:t xml:space="preserve">✓ Medium</w:t>
            </w:r>
          </w:p>
        </w:tc>
      </w:tr>
      <w:tr>
        <w:tc>
          <w:tcPr/>
          <w:p>
            <w:pPr>
              <w:pStyle w:val="Compact"/>
            </w:pPr>
            <w:r>
              <w:rPr>
                <w:b/>
                <w:bCs/>
              </w:rPr>
              <w:t xml:space="preserve">CREOG/APGO</w:t>
            </w:r>
          </w:p>
        </w:tc>
        <w:tc>
          <w:tcPr/>
          <w:p>
            <w:pPr>
              <w:pStyle w:val="Compact"/>
            </w:pPr>
            <w:r>
              <w:t xml:space="preserve">O&amp;G (Green J)</w:t>
            </w:r>
          </w:p>
        </w:tc>
        <w:tc>
          <w:tcPr/>
          <w:p>
            <w:pPr>
              <w:pStyle w:val="Compact"/>
            </w:pPr>
            <w:r>
              <w:t xml:space="preserve">LWW</w:t>
            </w:r>
          </w:p>
        </w:tc>
        <w:tc>
          <w:tcPr/>
          <w:p>
            <w:pPr>
              <w:pStyle w:val="Compact"/>
            </w:pPr>
            <w:r>
              <w:t xml:space="preserve">Yes (2015+)</w:t>
            </w:r>
          </w:p>
        </w:tc>
        <w:tc>
          <w:tcPr/>
          <w:p>
            <w:pPr>
              <w:pStyle w:val="Compact"/>
            </w:pPr>
            <w:r>
              <w:t xml:space="preserve">10.1097/01.AOG.xxx</w:t>
            </w:r>
          </w:p>
        </w:tc>
        <w:tc>
          <w:tcPr/>
          <w:p>
            <w:pPr>
              <w:pStyle w:val="Compact"/>
            </w:pPr>
            <w:r>
              <w:t xml:space="preserve">Yes</w:t>
            </w:r>
          </w:p>
        </w:tc>
        <w:tc>
          <w:tcPr/>
          <w:p>
            <w:pPr>
              <w:pStyle w:val="Compact"/>
            </w:pPr>
            <w:r>
              <w:t xml:space="preserve">No</w:t>
            </w:r>
          </w:p>
        </w:tc>
        <w:tc>
          <w:tcPr/>
          <w:p>
            <w:pPr>
              <w:pStyle w:val="Compact"/>
            </w:pPr>
            <w:r>
              <w:t xml:space="preserve">~200</w:t>
            </w:r>
          </w:p>
        </w:tc>
        <w:tc>
          <w:tcPr/>
          <w:p>
            <w:pPr>
              <w:pStyle w:val="Compact"/>
            </w:pPr>
            <w:r>
              <w:t xml:space="preserve">△ Medium</w:t>
            </w:r>
          </w:p>
        </w:tc>
      </w:tr>
      <w:tr>
        <w:tc>
          <w:tcPr/>
          <w:p>
            <w:pPr>
              <w:pStyle w:val="Compact"/>
            </w:pPr>
            <w:r>
              <w:rPr>
                <w:b/>
                <w:bCs/>
              </w:rPr>
              <w:t xml:space="preserve">SFP</w:t>
            </w:r>
          </w:p>
        </w:tc>
        <w:tc>
          <w:tcPr/>
          <w:p>
            <w:pPr>
              <w:pStyle w:val="Compact"/>
            </w:pPr>
            <w:r>
              <w:t xml:space="preserve">Contraception</w:t>
            </w:r>
          </w:p>
        </w:tc>
        <w:tc>
          <w:tcPr/>
          <w:p>
            <w:pPr>
              <w:pStyle w:val="Compact"/>
            </w:pPr>
            <w:r>
              <w:t xml:space="preserve">ScienceDirect</w:t>
            </w:r>
          </w:p>
        </w:tc>
        <w:tc>
          <w:tcPr/>
          <w:p>
            <w:pPr>
              <w:pStyle w:val="Compact"/>
            </w:pPr>
            <w:r>
              <w:t xml:space="preserve">No (collection-level)</w:t>
            </w:r>
          </w:p>
        </w:tc>
        <w:tc>
          <w:tcPr/>
          <w:p>
            <w:pPr>
              <w:pStyle w:val="Compact"/>
            </w:pPr>
            <w:r>
              <w:t xml:space="preserve">10.1016/j.contraception.Y.M.NNN</w:t>
            </w:r>
          </w:p>
        </w:tc>
        <w:tc>
          <w:tcPr/>
          <w:p>
            <w:pPr>
              <w:pStyle w:val="Compact"/>
            </w:pPr>
            <w:r>
              <w:t xml:space="preserve">Yes</w:t>
            </w:r>
          </w:p>
        </w:tc>
        <w:tc>
          <w:tcPr/>
          <w:p>
            <w:pPr>
              <w:pStyle w:val="Compact"/>
            </w:pPr>
            <w:r>
              <w:t xml:space="preserve">No</w:t>
            </w:r>
          </w:p>
        </w:tc>
        <w:tc>
          <w:tcPr/>
          <w:p>
            <w:pPr>
              <w:pStyle w:val="Compact"/>
            </w:pPr>
            <w:r>
              <w:t xml:space="preserve">~300</w:t>
            </w:r>
          </w:p>
        </w:tc>
        <w:tc>
          <w:tcPr/>
          <w:p>
            <w:pPr>
              <w:pStyle w:val="Compact"/>
            </w:pPr>
            <w:r>
              <w:t xml:space="preserve">△ Medium</w:t>
            </w:r>
          </w:p>
        </w:tc>
      </w:tr>
      <w:tr>
        <w:tc>
          <w:tcPr/>
          <w:p>
            <w:pPr>
              <w:pStyle w:val="Compact"/>
            </w:pPr>
            <w:r>
              <w:rPr>
                <w:b/>
                <w:bCs/>
              </w:rPr>
              <w:t xml:space="preserve">AUGS</w:t>
            </w:r>
          </w:p>
        </w:tc>
        <w:tc>
          <w:tcPr/>
          <w:p>
            <w:pPr>
              <w:pStyle w:val="Compact"/>
            </w:pPr>
            <w:r>
              <w:t xml:space="preserve">Urogynecology</w:t>
            </w:r>
          </w:p>
        </w:tc>
        <w:tc>
          <w:tcPr/>
          <w:p>
            <w:pPr>
              <w:pStyle w:val="Compact"/>
            </w:pPr>
            <w:r>
              <w:t xml:space="preserve">LWW</w:t>
            </w:r>
          </w:p>
        </w:tc>
        <w:tc>
          <w:tcPr/>
          <w:p>
            <w:pPr>
              <w:pStyle w:val="Compact"/>
            </w:pPr>
            <w:r>
              <w:t xml:space="preserve">No (supplement-level)</w:t>
            </w:r>
          </w:p>
        </w:tc>
        <w:tc>
          <w:tcPr/>
          <w:p>
            <w:pPr>
              <w:pStyle w:val="Compact"/>
            </w:pPr>
            <w:r>
              <w:t xml:space="preserve">10.1097/SPV.xxx</w:t>
            </w:r>
          </w:p>
        </w:tc>
        <w:tc>
          <w:tcPr/>
          <w:p>
            <w:pPr>
              <w:pStyle w:val="Compact"/>
            </w:pPr>
            <w:r>
              <w:t xml:space="preserve">Yes</w:t>
            </w:r>
          </w:p>
        </w:tc>
        <w:tc>
          <w:tcPr/>
          <w:p>
            <w:pPr>
              <w:pStyle w:val="Compact"/>
            </w:pPr>
            <w:r>
              <w:t xml:space="preserve">No</w:t>
            </w:r>
          </w:p>
        </w:tc>
        <w:tc>
          <w:tcPr/>
          <w:p>
            <w:pPr>
              <w:pStyle w:val="Compact"/>
            </w:pPr>
            <w:r>
              <w:t xml:space="preserve">~400</w:t>
            </w:r>
          </w:p>
        </w:tc>
        <w:tc>
          <w:tcPr/>
          <w:p>
            <w:pPr>
              <w:pStyle w:val="Compact"/>
            </w:pPr>
            <w:r>
              <w:t xml:space="preserve">△ Medium</w:t>
            </w:r>
          </w:p>
        </w:tc>
      </w:tr>
      <w:tr>
        <w:tc>
          <w:tcPr/>
          <w:p>
            <w:pPr>
              <w:pStyle w:val="Compact"/>
            </w:pPr>
            <w:r>
              <w:rPr>
                <w:b/>
                <w:bCs/>
              </w:rPr>
              <w:t xml:space="preserve">SASGOG</w:t>
            </w:r>
          </w:p>
        </w:tc>
        <w:tc>
          <w:tcPr/>
          <w:p>
            <w:pPr>
              <w:pStyle w:val="Compact"/>
            </w:pPr>
            <w:r>
              <w:t xml:space="preserve">None</w:t>
            </w:r>
          </w:p>
        </w:tc>
        <w:tc>
          <w:tcPr/>
          <w:p>
            <w:pPr>
              <w:pStyle w:val="Compact"/>
            </w:pPr>
            <w:r>
              <w:t xml:space="preserve">Society website</w:t>
            </w:r>
          </w:p>
        </w:tc>
        <w:tc>
          <w:tcPr/>
          <w:p>
            <w:pPr>
              <w:pStyle w:val="Compact"/>
            </w:pPr>
            <w:r>
              <w:t xml:space="preserve">No</w:t>
            </w:r>
          </w:p>
        </w:tc>
        <w:tc>
          <w:tcPr/>
          <w:p>
            <w:pPr>
              <w:pStyle w:val="Compact"/>
            </w:pPr>
            <w:r>
              <w:t xml:space="preserve">None</w:t>
            </w:r>
          </w:p>
        </w:tc>
        <w:tc>
          <w:tcPr/>
          <w:p>
            <w:pPr>
              <w:pStyle w:val="Compact"/>
            </w:pPr>
            <w:r>
              <w:t xml:space="preserve">No</w:t>
            </w:r>
          </w:p>
        </w:tc>
        <w:tc>
          <w:tcPr/>
          <w:p>
            <w:pPr>
              <w:pStyle w:val="Compact"/>
            </w:pPr>
            <w:r>
              <w:t xml:space="preserve">No</w:t>
            </w:r>
          </w:p>
        </w:tc>
        <w:tc>
          <w:tcPr/>
          <w:p>
            <w:pPr>
              <w:pStyle w:val="Compact"/>
            </w:pPr>
            <w:r>
              <w:t xml:space="preserve">~50</w:t>
            </w:r>
          </w:p>
        </w:tc>
        <w:tc>
          <w:tcPr/>
          <w:p>
            <w:pPr>
              <w:pStyle w:val="Compact"/>
            </w:pPr>
            <w:r>
              <w:t xml:space="preserve">✗ Low</w:t>
            </w:r>
          </w:p>
        </w:tc>
      </w:tr>
    </w:tbl>
    <w:bookmarkEnd w:id="147"/>
    <w:bookmarkStart w:id="161" w:name="X4c85c49bfcb8469018c76d59cdee95102235553"/>
    <w:p>
      <w:pPr>
        <w:pStyle w:val="Heading3"/>
      </w:pPr>
      <w:r>
        <w:t xml:space="preserve">A11.21 ACOG Annual Clinical &amp; Scientific Meeting Abstracts (2013–2023)</w:t>
      </w:r>
    </w:p>
    <w:p>
      <w:pPr>
        <w:pStyle w:val="FirstParagraph"/>
      </w:pPr>
      <w:r>
        <w:t xml:space="preserve">ACOG (American College of Obstetricians and Gynecologists) annual meeting abstracts are published in</w:t>
      </w:r>
      <w:r>
        <w:t xml:space="preserve"> </w:t>
      </w:r>
      <w:r>
        <w:rPr>
          <w:i/>
          <w:iCs/>
        </w:rPr>
        <w:t xml:space="preserve">Obstetrics &amp; Gynecology</w:t>
      </w:r>
      <w:r>
        <w:t xml:space="preserve"> </w:t>
      </w:r>
      <w:r>
        <w:t xml:space="preserve">(the Green Journal, ISSN 0029-7844, Wolters Kluwer/LWW) as a May Supplement each year. Each abstract has a unique DOI using the Wolters Kluwer format</w:t>
      </w:r>
      <w:r>
        <w:t xml:space="preserve"> </w:t>
      </w:r>
      <w:r>
        <w:rPr>
          <w:rStyle w:val="VerbatimChar"/>
        </w:rPr>
        <w:t xml:space="preserve">10.1097/01.AOG.</w:t>
      </w:r>
      <w:r>
        <w:t xml:space="preserve"> </w:t>
      </w:r>
      <w:r>
        <w:t xml:space="preserve">followed by a unique hash (e.g.,</w:t>
      </w:r>
      <w:r>
        <w:t xml:space="preserve"> </w:t>
      </w:r>
      <w:r>
        <w:rPr>
          <w:rStyle w:val="VerbatimChar"/>
        </w:rPr>
        <w:t xml:space="preserve">10.1097/AOG.0b013e3181636fe9</w:t>
      </w:r>
      <w:r>
        <w:t xml:space="preserve">). The URL pattern uses</w:t>
      </w:r>
      <w:r>
        <w:t xml:space="preserve"> </w:t>
      </w:r>
      <w:r>
        <w:rPr>
          <w:rStyle w:val="VerbatimChar"/>
        </w:rPr>
        <w:t xml:space="preserve">/05001</w:t>
      </w:r>
      <w:r>
        <w:t xml:space="preserve"> </w:t>
      </w:r>
      <w:r>
        <w:t xml:space="preserve">consistently across all years.</w:t>
      </w:r>
    </w:p>
    <w:p>
      <w:pPr>
        <w:pStyle w:val="BodyText"/>
      </w:pPr>
      <w:r>
        <w:rPr>
          <w:b/>
          <w:bCs/>
        </w:rPr>
        <w:t xml:space="preserve">Volume formula:</w:t>
      </w:r>
      <w:r>
        <w:t xml:space="preserve"> </w:t>
      </w:r>
      <w:r>
        <w:t xml:space="preserve">Vol = 97 + (2 × (Year − 2000)); so Vol 121 in 2013, Vol 141 in 2023.</w:t>
      </w:r>
    </w:p>
    <w:p>
      <w:pPr>
        <w:pStyle w:val="BodyText"/>
      </w:pPr>
      <w:r>
        <w:rPr>
          <w:b/>
          <w:bCs/>
        </w:rPr>
        <w:t xml:space="preserve">Platform:</w:t>
      </w:r>
      <w:r>
        <w:t xml:space="preserve"> </w:t>
      </w:r>
      <w:r>
        <w:t xml:space="preserve">LWW (journals.lww.com) — same as AUGS and CREOG/APGO. The LWW-specific scraper developed for those societies applies here.</w:t>
      </w:r>
    </w:p>
    <w:p>
      <w:pPr>
        <w:pStyle w:val="BodyText"/>
      </w:pPr>
      <w:r>
        <w:rPr>
          <w:b/>
          <w:bCs/>
        </w:rPr>
        <w:t xml:space="preserve">2020 caveat:</w:t>
      </w:r>
      <w:r>
        <w:t xml:space="preserve"> </w:t>
      </w:r>
      <w:r>
        <w:t xml:space="preserve">The ACOG 2020 Annual Meeting (Nashville, April 24–27) was cancelled due to COVID-19. The May 2020 supplement may contain only previously accepted abstracts or may be absent — verify at the URL before ingesting.</w:t>
      </w:r>
    </w:p>
    <w:p>
      <w:pPr>
        <w:pStyle w:val="BodyText"/>
      </w:pPr>
      <w:r>
        <w:rPr>
          <w:b/>
          <w:bCs/>
        </w:rPr>
        <w:t xml:space="preserve">2021:</w:t>
      </w:r>
      <w:r>
        <w:t xml:space="preserve"> </w:t>
      </w:r>
      <w:r>
        <w:t xml:space="preserve">Meeting was virtual; abstracts were still published in the supplement.</w:t>
      </w:r>
    </w:p>
    <w:tbl>
      <w:tblPr>
        <w:tblStyle w:val="Table"/>
        <w:tblW w:type="pct" w:w="5000"/>
        <w:tblLayout w:type="fixed"/>
        <w:tblLook w:firstRow="1" w:lastRow="0" w:firstColumn="0" w:lastColumn="0" w:noHBand="0" w:noVBand="0" w:val="0020"/>
      </w:tblPr>
      <w:tblGrid>
        <w:gridCol w:w="1105"/>
        <w:gridCol w:w="1657"/>
        <w:gridCol w:w="1289"/>
        <w:gridCol w:w="1657"/>
        <w:gridCol w:w="2210"/>
      </w:tblGrid>
      <w:tr>
        <w:trPr>
          <w:tblHeader w:val="on"/>
        </w:trPr>
        <w:tc>
          <w:tcPr/>
          <w:p>
            <w:pPr>
              <w:pStyle w:val="Compact"/>
            </w:pPr>
            <w:r>
              <w:t xml:space="preserve">Year</w:t>
            </w:r>
          </w:p>
        </w:tc>
        <w:tc>
          <w:tcPr/>
          <w:p>
            <w:pPr>
              <w:pStyle w:val="Compact"/>
            </w:pPr>
            <w:r>
              <w:t xml:space="preserve">O&amp;G Vol</w:t>
            </w:r>
          </w:p>
        </w:tc>
        <w:tc>
          <w:tcPr/>
          <w:p>
            <w:pPr>
              <w:pStyle w:val="Compact"/>
            </w:pPr>
            <w:r>
              <w:t xml:space="preserve">Issue</w:t>
            </w:r>
          </w:p>
        </w:tc>
        <w:tc>
          <w:tcPr/>
          <w:p>
            <w:pPr>
              <w:pStyle w:val="Compact"/>
            </w:pPr>
            <w:r>
              <w:t xml:space="preserve">LWW URL</w:t>
            </w:r>
          </w:p>
        </w:tc>
        <w:tc>
          <w:tcPr/>
          <w:p>
            <w:pPr>
              <w:pStyle w:val="Compact"/>
            </w:pPr>
            <w:r>
              <w:t xml:space="preserve">DOI Prefix</w:t>
            </w:r>
          </w:p>
        </w:tc>
      </w:tr>
      <w:tr>
        <w:tc>
          <w:tcPr/>
          <w:p>
            <w:pPr>
              <w:pStyle w:val="Compact"/>
            </w:pPr>
            <w:r>
              <w:t xml:space="preserve">2023</w:t>
            </w:r>
          </w:p>
        </w:tc>
        <w:tc>
          <w:tcPr/>
          <w:p>
            <w:pPr>
              <w:pStyle w:val="Compact"/>
            </w:pPr>
            <w:r>
              <w:t xml:space="preserve">141</w:t>
            </w:r>
          </w:p>
        </w:tc>
        <w:tc>
          <w:tcPr/>
          <w:p>
            <w:pPr>
              <w:pStyle w:val="Compact"/>
            </w:pPr>
            <w:r>
              <w:t xml:space="preserve">5S</w:t>
            </w:r>
          </w:p>
        </w:tc>
        <w:tc>
          <w:tcPr/>
          <w:p>
            <w:pPr>
              <w:pStyle w:val="Compact"/>
            </w:pPr>
            <w:hyperlink r:id="rId148">
              <w:r>
                <w:rPr>
                  <w:rStyle w:val="Hyperlink"/>
                </w:rPr>
                <w:t xml:space="preserve">https://journals.lww.com/greenjournal/toc/2023/05001</w:t>
              </w:r>
            </w:hyperlink>
          </w:p>
        </w:tc>
        <w:tc>
          <w:tcPr/>
          <w:p>
            <w:pPr>
              <w:pStyle w:val="Compact"/>
            </w:pPr>
            <w:r>
              <w:t xml:space="preserve">10.1097/01.AOG.xxx</w:t>
            </w:r>
          </w:p>
        </w:tc>
      </w:tr>
      <w:tr>
        <w:tc>
          <w:tcPr/>
          <w:p>
            <w:pPr>
              <w:pStyle w:val="Compact"/>
            </w:pPr>
            <w:r>
              <w:t xml:space="preserve">2022</w:t>
            </w:r>
          </w:p>
        </w:tc>
        <w:tc>
          <w:tcPr/>
          <w:p>
            <w:pPr>
              <w:pStyle w:val="Compact"/>
            </w:pPr>
            <w:r>
              <w:t xml:space="preserve">139</w:t>
            </w:r>
          </w:p>
        </w:tc>
        <w:tc>
          <w:tcPr/>
          <w:p>
            <w:pPr>
              <w:pStyle w:val="Compact"/>
            </w:pPr>
            <w:r>
              <w:t xml:space="preserve">5S</w:t>
            </w:r>
          </w:p>
        </w:tc>
        <w:tc>
          <w:tcPr/>
          <w:p>
            <w:pPr>
              <w:pStyle w:val="Compact"/>
            </w:pPr>
            <w:hyperlink r:id="rId149">
              <w:r>
                <w:rPr>
                  <w:rStyle w:val="Hyperlink"/>
                </w:rPr>
                <w:t xml:space="preserve">https://journals.lww.com/greenjournal/toc/2022/05001</w:t>
              </w:r>
            </w:hyperlink>
          </w:p>
        </w:tc>
        <w:tc>
          <w:tcPr/>
          <w:p>
            <w:pPr>
              <w:pStyle w:val="Compact"/>
            </w:pPr>
            <w:r>
              <w:t xml:space="preserve">10.1097/01.AOG.xxx</w:t>
            </w:r>
          </w:p>
        </w:tc>
      </w:tr>
      <w:tr>
        <w:tc>
          <w:tcPr/>
          <w:p>
            <w:pPr>
              <w:pStyle w:val="Compact"/>
            </w:pPr>
            <w:r>
              <w:t xml:space="preserve">2021</w:t>
            </w:r>
          </w:p>
        </w:tc>
        <w:tc>
          <w:tcPr/>
          <w:p>
            <w:pPr>
              <w:pStyle w:val="Compact"/>
            </w:pPr>
            <w:r>
              <w:t xml:space="preserve">137</w:t>
            </w:r>
          </w:p>
        </w:tc>
        <w:tc>
          <w:tcPr/>
          <w:p>
            <w:pPr>
              <w:pStyle w:val="Compact"/>
            </w:pPr>
            <w:r>
              <w:t xml:space="preserve">5S</w:t>
            </w:r>
          </w:p>
        </w:tc>
        <w:tc>
          <w:tcPr/>
          <w:p>
            <w:pPr>
              <w:pStyle w:val="Compact"/>
            </w:pPr>
            <w:hyperlink r:id="rId150">
              <w:r>
                <w:rPr>
                  <w:rStyle w:val="Hyperlink"/>
                </w:rPr>
                <w:t xml:space="preserve">https://journals.lww.com/greenjournal/toc/2021/05001</w:t>
              </w:r>
            </w:hyperlink>
          </w:p>
        </w:tc>
        <w:tc>
          <w:tcPr/>
          <w:p>
            <w:pPr>
              <w:pStyle w:val="Compact"/>
            </w:pPr>
            <w:r>
              <w:t xml:space="preserve">10.1097/01.AOG.xxx</w:t>
            </w:r>
          </w:p>
        </w:tc>
      </w:tr>
      <w:tr>
        <w:tc>
          <w:tcPr/>
          <w:p>
            <w:pPr>
              <w:pStyle w:val="Compact"/>
            </w:pPr>
            <w:r>
              <w:t xml:space="preserve">2020</w:t>
            </w:r>
          </w:p>
        </w:tc>
        <w:tc>
          <w:tcPr/>
          <w:p>
            <w:pPr>
              <w:pStyle w:val="Compact"/>
            </w:pPr>
            <w:r>
              <w:t xml:space="preserve">135</w:t>
            </w:r>
          </w:p>
        </w:tc>
        <w:tc>
          <w:tcPr/>
          <w:p>
            <w:pPr>
              <w:pStyle w:val="Compact"/>
            </w:pPr>
            <w:r>
              <w:t xml:space="preserve">5S</w:t>
            </w:r>
          </w:p>
        </w:tc>
        <w:tc>
          <w:tcPr/>
          <w:p>
            <w:pPr>
              <w:pStyle w:val="Compact"/>
            </w:pPr>
            <w:hyperlink r:id="rId151">
              <w:r>
                <w:rPr>
                  <w:rStyle w:val="Hyperlink"/>
                </w:rPr>
                <w:t xml:space="preserve">https://journals.lww.com/greenjournal/toc/2020/05001</w:t>
              </w:r>
            </w:hyperlink>
          </w:p>
        </w:tc>
        <w:tc>
          <w:tcPr/>
          <w:p>
            <w:pPr>
              <w:pStyle w:val="Compact"/>
            </w:pPr>
            <w:r>
              <w:t xml:space="preserve">10.1097/01.AOG.xxx</w:t>
            </w:r>
          </w:p>
        </w:tc>
      </w:tr>
      <w:tr>
        <w:tc>
          <w:tcPr/>
          <w:p>
            <w:pPr>
              <w:pStyle w:val="Compact"/>
            </w:pPr>
            <w:r>
              <w:t xml:space="preserve">2019</w:t>
            </w:r>
          </w:p>
        </w:tc>
        <w:tc>
          <w:tcPr/>
          <w:p>
            <w:pPr>
              <w:pStyle w:val="Compact"/>
            </w:pPr>
            <w:r>
              <w:t xml:space="preserve">133</w:t>
            </w:r>
          </w:p>
        </w:tc>
        <w:tc>
          <w:tcPr/>
          <w:p>
            <w:pPr>
              <w:pStyle w:val="Compact"/>
            </w:pPr>
            <w:r>
              <w:t xml:space="preserve">5S</w:t>
            </w:r>
          </w:p>
        </w:tc>
        <w:tc>
          <w:tcPr/>
          <w:p>
            <w:pPr>
              <w:pStyle w:val="Compact"/>
            </w:pPr>
            <w:hyperlink r:id="rId152">
              <w:r>
                <w:rPr>
                  <w:rStyle w:val="Hyperlink"/>
                </w:rPr>
                <w:t xml:space="preserve">https://journals.lww.com/greenjournal/toc/2019/05001</w:t>
              </w:r>
            </w:hyperlink>
          </w:p>
        </w:tc>
        <w:tc>
          <w:tcPr/>
          <w:p>
            <w:pPr>
              <w:pStyle w:val="Compact"/>
            </w:pPr>
            <w:r>
              <w:t xml:space="preserve">10.1097/01.AOG.xxx</w:t>
            </w:r>
          </w:p>
        </w:tc>
      </w:tr>
      <w:tr>
        <w:tc>
          <w:tcPr/>
          <w:p>
            <w:pPr>
              <w:pStyle w:val="Compact"/>
            </w:pPr>
            <w:r>
              <w:t xml:space="preserve">2018</w:t>
            </w:r>
          </w:p>
        </w:tc>
        <w:tc>
          <w:tcPr/>
          <w:p>
            <w:pPr>
              <w:pStyle w:val="Compact"/>
            </w:pPr>
            <w:r>
              <w:t xml:space="preserve">131</w:t>
            </w:r>
          </w:p>
        </w:tc>
        <w:tc>
          <w:tcPr/>
          <w:p>
            <w:pPr>
              <w:pStyle w:val="Compact"/>
            </w:pPr>
            <w:r>
              <w:t xml:space="preserve">5S</w:t>
            </w:r>
          </w:p>
        </w:tc>
        <w:tc>
          <w:tcPr/>
          <w:p>
            <w:pPr>
              <w:pStyle w:val="Compact"/>
            </w:pPr>
            <w:hyperlink r:id="rId153">
              <w:r>
                <w:rPr>
                  <w:rStyle w:val="Hyperlink"/>
                </w:rPr>
                <w:t xml:space="preserve">https://journals.lww.com/greenjournal/toc/2018/05001</w:t>
              </w:r>
            </w:hyperlink>
          </w:p>
        </w:tc>
        <w:tc>
          <w:tcPr/>
          <w:p>
            <w:pPr>
              <w:pStyle w:val="Compact"/>
            </w:pPr>
            <w:r>
              <w:t xml:space="preserve">10.1097/01.AOG.xxx</w:t>
            </w:r>
          </w:p>
        </w:tc>
      </w:tr>
      <w:tr>
        <w:tc>
          <w:tcPr/>
          <w:p>
            <w:pPr>
              <w:pStyle w:val="Compact"/>
            </w:pPr>
            <w:r>
              <w:t xml:space="preserve">2017</w:t>
            </w:r>
          </w:p>
        </w:tc>
        <w:tc>
          <w:tcPr/>
          <w:p>
            <w:pPr>
              <w:pStyle w:val="Compact"/>
            </w:pPr>
            <w:r>
              <w:t xml:space="preserve">129</w:t>
            </w:r>
          </w:p>
        </w:tc>
        <w:tc>
          <w:tcPr/>
          <w:p>
            <w:pPr>
              <w:pStyle w:val="Compact"/>
            </w:pPr>
            <w:r>
              <w:t xml:space="preserve">5S</w:t>
            </w:r>
          </w:p>
        </w:tc>
        <w:tc>
          <w:tcPr/>
          <w:p>
            <w:pPr>
              <w:pStyle w:val="Compact"/>
            </w:pPr>
            <w:hyperlink r:id="rId154">
              <w:r>
                <w:rPr>
                  <w:rStyle w:val="Hyperlink"/>
                </w:rPr>
                <w:t xml:space="preserve">https://journals.lww.com/greenjournal/toc/2017/05001</w:t>
              </w:r>
            </w:hyperlink>
          </w:p>
        </w:tc>
        <w:tc>
          <w:tcPr/>
          <w:p>
            <w:pPr>
              <w:pStyle w:val="Compact"/>
            </w:pPr>
            <w:r>
              <w:t xml:space="preserve">10.1097/01.AOG.xxx</w:t>
            </w:r>
          </w:p>
        </w:tc>
      </w:tr>
      <w:tr>
        <w:tc>
          <w:tcPr/>
          <w:p>
            <w:pPr>
              <w:pStyle w:val="Compact"/>
            </w:pPr>
            <w:r>
              <w:t xml:space="preserve">2016</w:t>
            </w:r>
          </w:p>
        </w:tc>
        <w:tc>
          <w:tcPr/>
          <w:p>
            <w:pPr>
              <w:pStyle w:val="Compact"/>
            </w:pPr>
            <w:r>
              <w:t xml:space="preserve">127</w:t>
            </w:r>
          </w:p>
        </w:tc>
        <w:tc>
          <w:tcPr/>
          <w:p>
            <w:pPr>
              <w:pStyle w:val="Compact"/>
            </w:pPr>
            <w:r>
              <w:t xml:space="preserve">5S</w:t>
            </w:r>
          </w:p>
        </w:tc>
        <w:tc>
          <w:tcPr/>
          <w:p>
            <w:pPr>
              <w:pStyle w:val="Compact"/>
            </w:pPr>
            <w:hyperlink r:id="rId155">
              <w:r>
                <w:rPr>
                  <w:rStyle w:val="Hyperlink"/>
                </w:rPr>
                <w:t xml:space="preserve">https://journals.lww.com/greenjournal/toc/2016/05001</w:t>
              </w:r>
            </w:hyperlink>
          </w:p>
        </w:tc>
        <w:tc>
          <w:tcPr/>
          <w:p>
            <w:pPr>
              <w:pStyle w:val="Compact"/>
            </w:pPr>
            <w:r>
              <w:t xml:space="preserve">10.1097/01.AOG.xxx</w:t>
            </w:r>
          </w:p>
        </w:tc>
      </w:tr>
      <w:tr>
        <w:tc>
          <w:tcPr/>
          <w:p>
            <w:pPr>
              <w:pStyle w:val="Compact"/>
            </w:pPr>
            <w:r>
              <w:t xml:space="preserve">2015</w:t>
            </w:r>
          </w:p>
        </w:tc>
        <w:tc>
          <w:tcPr/>
          <w:p>
            <w:pPr>
              <w:pStyle w:val="Compact"/>
            </w:pPr>
            <w:r>
              <w:t xml:space="preserve">125</w:t>
            </w:r>
          </w:p>
        </w:tc>
        <w:tc>
          <w:tcPr/>
          <w:p>
            <w:pPr>
              <w:pStyle w:val="Compact"/>
            </w:pPr>
            <w:r>
              <w:t xml:space="preserve">5S</w:t>
            </w:r>
          </w:p>
        </w:tc>
        <w:tc>
          <w:tcPr/>
          <w:p>
            <w:pPr>
              <w:pStyle w:val="Compact"/>
            </w:pPr>
            <w:hyperlink r:id="rId156">
              <w:r>
                <w:rPr>
                  <w:rStyle w:val="Hyperlink"/>
                </w:rPr>
                <w:t xml:space="preserve">https://journals.lww.com/greenjournal/toc/2015/05001</w:t>
              </w:r>
            </w:hyperlink>
          </w:p>
        </w:tc>
        <w:tc>
          <w:tcPr/>
          <w:p>
            <w:pPr>
              <w:pStyle w:val="Compact"/>
            </w:pPr>
            <w:r>
              <w:t xml:space="preserve">10.1097/01.AOG.xxx</w:t>
            </w:r>
          </w:p>
        </w:tc>
      </w:tr>
      <w:tr>
        <w:tc>
          <w:tcPr/>
          <w:p>
            <w:pPr>
              <w:pStyle w:val="Compact"/>
            </w:pPr>
            <w:r>
              <w:t xml:space="preserve">2014</w:t>
            </w:r>
          </w:p>
        </w:tc>
        <w:tc>
          <w:tcPr/>
          <w:p>
            <w:pPr>
              <w:pStyle w:val="Compact"/>
            </w:pPr>
            <w:r>
              <w:t xml:space="preserve">123</w:t>
            </w:r>
          </w:p>
        </w:tc>
        <w:tc>
          <w:tcPr/>
          <w:p>
            <w:pPr>
              <w:pStyle w:val="Compact"/>
            </w:pPr>
            <w:r>
              <w:t xml:space="preserve">Suppl 1</w:t>
            </w:r>
          </w:p>
        </w:tc>
        <w:tc>
          <w:tcPr/>
          <w:p>
            <w:pPr>
              <w:pStyle w:val="Compact"/>
            </w:pPr>
            <w:hyperlink r:id="rId157">
              <w:r>
                <w:rPr>
                  <w:rStyle w:val="Hyperlink"/>
                </w:rPr>
                <w:t xml:space="preserve">https://journals.lww.com/greenjournal/toc/2014/05001</w:t>
              </w:r>
            </w:hyperlink>
          </w:p>
        </w:tc>
        <w:tc>
          <w:tcPr/>
          <w:p>
            <w:pPr>
              <w:pStyle w:val="Compact"/>
            </w:pPr>
            <w:r>
              <w:t xml:space="preserve">10.1097/01.AOG.xxx</w:t>
            </w:r>
          </w:p>
        </w:tc>
      </w:tr>
      <w:tr>
        <w:tc>
          <w:tcPr/>
          <w:p>
            <w:pPr>
              <w:pStyle w:val="Compact"/>
            </w:pPr>
            <w:r>
              <w:t xml:space="preserve">2013</w:t>
            </w:r>
          </w:p>
        </w:tc>
        <w:tc>
          <w:tcPr/>
          <w:p>
            <w:pPr>
              <w:pStyle w:val="Compact"/>
            </w:pPr>
            <w:r>
              <w:t xml:space="preserve">121</w:t>
            </w:r>
          </w:p>
        </w:tc>
        <w:tc>
          <w:tcPr/>
          <w:p>
            <w:pPr>
              <w:pStyle w:val="Compact"/>
            </w:pPr>
            <w:r>
              <w:t xml:space="preserve">5S</w:t>
            </w:r>
          </w:p>
        </w:tc>
        <w:tc>
          <w:tcPr/>
          <w:p>
            <w:pPr>
              <w:pStyle w:val="Compact"/>
            </w:pPr>
            <w:hyperlink r:id="rId158">
              <w:r>
                <w:rPr>
                  <w:rStyle w:val="Hyperlink"/>
                </w:rPr>
                <w:t xml:space="preserve">https://journals.lww.com/greenjournal/toc/2013/05001</w:t>
              </w:r>
            </w:hyperlink>
          </w:p>
        </w:tc>
        <w:tc>
          <w:tcPr/>
          <w:p>
            <w:pPr>
              <w:pStyle w:val="Compact"/>
            </w:pPr>
            <w:r>
              <w:t xml:space="preserve">10.1097/01.AOG.xxx</w:t>
            </w:r>
          </w:p>
        </w:tc>
      </w:tr>
    </w:tbl>
    <w:p>
      <w:pPr>
        <w:pStyle w:val="BodyText"/>
      </w:pPr>
      <w:r>
        <w:rPr>
          <w:i/>
          <w:iCs/>
        </w:rPr>
        <w:t xml:space="preserve">Sources:</w:t>
      </w:r>
      <w:r>
        <w:rPr>
          <w:i/>
          <w:iCs/>
        </w:rPr>
        <w:t xml:space="preserve"> </w:t>
      </w:r>
      <w:hyperlink r:id="rId148">
        <w:r>
          <w:rPr>
            <w:rStyle w:val="Hyperlink"/>
            <w:i/>
            <w:iCs/>
          </w:rPr>
          <w:t xml:space="preserve">https://journals.lww.com/greenjournal/toc/2023/05001</w:t>
        </w:r>
      </w:hyperlink>
      <w:r>
        <w:rPr>
          <w:i/>
          <w:iCs/>
        </w:rPr>
        <w:t xml:space="preserve">;</w:t>
      </w:r>
      <w:r>
        <w:rPr>
          <w:i/>
          <w:iCs/>
        </w:rPr>
        <w:t xml:space="preserve"> </w:t>
      </w:r>
      <w:hyperlink r:id="rId159">
        <w:r>
          <w:rPr>
            <w:rStyle w:val="Hyperlink"/>
            <w:i/>
            <w:iCs/>
          </w:rPr>
          <w:t xml:space="preserve">https://pubmed.ncbi.nlm.nih.gov/25756102/</w:t>
        </w:r>
      </w:hyperlink>
      <w:r>
        <w:rPr>
          <w:i/>
          <w:iCs/>
        </w:rPr>
        <w:t xml:space="preserve"> </w:t>
      </w:r>
      <w:r>
        <w:rPr>
          <w:i/>
          <w:iCs/>
        </w:rPr>
        <w:t xml:space="preserve">(Vol 123, Suppl 1, pp 1S–198S);</w:t>
      </w:r>
      <w:r>
        <w:rPr>
          <w:i/>
          <w:iCs/>
        </w:rPr>
        <w:t xml:space="preserve"> </w:t>
      </w:r>
      <w:hyperlink r:id="rId160">
        <w:r>
          <w:rPr>
            <w:rStyle w:val="Hyperlink"/>
            <w:i/>
            <w:iCs/>
          </w:rPr>
          <w:t xml:space="preserve">https://journals.lww.com/greenjournal/Pages/collectiondetails.aspx?TopicalCollectionId=128</w:t>
        </w:r>
      </w:hyperlink>
    </w:p>
    <w:p>
      <w:r>
        <w:pict>
          <v:rect style="width:0;height:1.5pt" o:hralign="center" o:hrstd="t" o:hr="t"/>
        </w:pict>
      </w:r>
    </w:p>
    <w:bookmarkEnd w:id="161"/>
    <w:bookmarkStart w:id="162" w:name="Xd9af15b76bb8cdb4ef240d9961d273db6e97890"/>
    <w:p>
      <w:pPr>
        <w:pStyle w:val="Heading3"/>
      </w:pPr>
      <w:r>
        <w:t xml:space="preserve">A11.22 Final Complete Society Comparison (All 10 Societies)</w:t>
      </w:r>
    </w:p>
    <w:tbl>
      <w:tblPr>
        <w:tblStyle w:val="Table"/>
        <w:tblW w:type="pct" w:w="5000"/>
        <w:tblLayout w:type="fixed"/>
        <w:tblLook w:firstRow="1" w:lastRow="0" w:firstColumn="0" w:lastColumn="0" w:noHBand="0" w:noVBand="0" w:val="0020"/>
      </w:tblPr>
      <w:tblGrid>
        <w:gridCol w:w="589"/>
        <w:gridCol w:w="589"/>
        <w:gridCol w:w="654"/>
        <w:gridCol w:w="1047"/>
        <w:gridCol w:w="850"/>
        <w:gridCol w:w="1047"/>
        <w:gridCol w:w="981"/>
        <w:gridCol w:w="1309"/>
        <w:gridCol w:w="850"/>
      </w:tblGrid>
      <w:tr>
        <w:trPr>
          <w:tblHeader w:val="on"/>
        </w:trPr>
        <w:tc>
          <w:tcPr/>
          <w:p>
            <w:pPr>
              <w:pStyle w:val="Compact"/>
            </w:pPr>
            <w:r>
              <w:t xml:space="preserve">Society</w:t>
            </w:r>
          </w:p>
        </w:tc>
        <w:tc>
          <w:tcPr/>
          <w:p>
            <w:pPr>
              <w:pStyle w:val="Compact"/>
            </w:pPr>
            <w:r>
              <w:t xml:space="preserve">Journal</w:t>
            </w:r>
          </w:p>
        </w:tc>
        <w:tc>
          <w:tcPr/>
          <w:p>
            <w:pPr>
              <w:pStyle w:val="Compact"/>
            </w:pPr>
            <w:r>
              <w:t xml:space="preserve">Platform</w:t>
            </w:r>
          </w:p>
        </w:tc>
        <w:tc>
          <w:tcPr/>
          <w:p>
            <w:pPr>
              <w:pStyle w:val="Compact"/>
            </w:pPr>
            <w:r>
              <w:t xml:space="preserve">Individual DOIs</w:t>
            </w:r>
          </w:p>
        </w:tc>
        <w:tc>
          <w:tcPr/>
          <w:p>
            <w:pPr>
              <w:pStyle w:val="Compact"/>
            </w:pPr>
            <w:r>
              <w:t xml:space="preserve">DOI Pattern</w:t>
            </w:r>
          </w:p>
        </w:tc>
        <w:tc>
          <w:tcPr/>
          <w:p>
            <w:pPr>
              <w:pStyle w:val="Compact"/>
            </w:pPr>
            <w:r>
              <w:t xml:space="preserve">PubMed Indexed</w:t>
            </w:r>
          </w:p>
        </w:tc>
        <w:tc>
          <w:tcPr/>
          <w:p>
            <w:pPr>
              <w:pStyle w:val="Compact"/>
            </w:pPr>
            <w:r>
              <w:t xml:space="preserve">Auth Required</w:t>
            </w:r>
          </w:p>
        </w:tc>
        <w:tc>
          <w:tcPr/>
          <w:p>
            <w:pPr>
              <w:pStyle w:val="Compact"/>
            </w:pPr>
            <w:r>
              <w:t xml:space="preserve">Avg Abstracts/Year</w:t>
            </w:r>
          </w:p>
        </w:tc>
        <w:tc>
          <w:tcPr/>
          <w:p>
            <w:pPr>
              <w:pStyle w:val="Compact"/>
            </w:pPr>
            <w:r>
              <w:t xml:space="preserve">Feasibility</w:t>
            </w:r>
          </w:p>
        </w:tc>
      </w:tr>
      <w:tr>
        <w:tc>
          <w:tcPr/>
          <w:p>
            <w:pPr>
              <w:pStyle w:val="Compact"/>
            </w:pPr>
            <w:r>
              <w:rPr>
                <w:b/>
                <w:bCs/>
              </w:rPr>
              <w:t xml:space="preserve">AAGL</w:t>
            </w:r>
          </w:p>
        </w:tc>
        <w:tc>
          <w:tcPr/>
          <w:p>
            <w:pPr>
              <w:pStyle w:val="Compact"/>
            </w:pPr>
            <w:r>
              <w:t xml:space="preserve">JMIG</w:t>
            </w:r>
          </w:p>
        </w:tc>
        <w:tc>
          <w:tcPr/>
          <w:p>
            <w:pPr>
              <w:pStyle w:val="Compact"/>
            </w:pPr>
            <w:r>
              <w:t xml:space="preserve">ScienceDirect</w:t>
            </w:r>
          </w:p>
        </w:tc>
        <w:tc>
          <w:tcPr/>
          <w:p>
            <w:pPr>
              <w:pStyle w:val="Compact"/>
            </w:pPr>
            <w:r>
              <w:t xml:space="preserve">Yes</w:t>
            </w:r>
          </w:p>
        </w:tc>
        <w:tc>
          <w:tcPr/>
          <w:p>
            <w:pPr>
              <w:pStyle w:val="Compact"/>
            </w:pPr>
            <w:r>
              <w:t xml:space="preserve">10.1016/j.jmig.Y.M.NNN</w:t>
            </w:r>
          </w:p>
        </w:tc>
        <w:tc>
          <w:tcPr/>
          <w:p>
            <w:pPr>
              <w:pStyle w:val="Compact"/>
            </w:pPr>
            <w:r>
              <w:t xml:space="preserve">Yes</w:t>
            </w:r>
          </w:p>
        </w:tc>
        <w:tc>
          <w:tcPr/>
          <w:p>
            <w:pPr>
              <w:pStyle w:val="Compact"/>
            </w:pPr>
            <w:r>
              <w:t xml:space="preserve">No</w:t>
            </w:r>
          </w:p>
        </w:tc>
        <w:tc>
          <w:tcPr/>
          <w:p>
            <w:pPr>
              <w:pStyle w:val="Compact"/>
            </w:pPr>
            <w:r>
              <w:t xml:space="preserve">~90</w:t>
            </w:r>
          </w:p>
        </w:tc>
        <w:tc>
          <w:tcPr/>
          <w:p>
            <w:pPr>
              <w:pStyle w:val="Compact"/>
            </w:pPr>
            <w:r>
              <w:t xml:space="preserve">✓ Current</w:t>
            </w:r>
          </w:p>
        </w:tc>
      </w:tr>
      <w:tr>
        <w:tc>
          <w:tcPr/>
          <w:p>
            <w:pPr>
              <w:pStyle w:val="Compact"/>
            </w:pPr>
            <w:r>
              <w:rPr>
                <w:b/>
                <w:bCs/>
              </w:rPr>
              <w:t xml:space="preserve">SMFM</w:t>
            </w:r>
          </w:p>
        </w:tc>
        <w:tc>
          <w:tcPr/>
          <w:p>
            <w:pPr>
              <w:pStyle w:val="Compact"/>
            </w:pPr>
            <w:r>
              <w:t xml:space="preserve">AJOG</w:t>
            </w:r>
          </w:p>
        </w:tc>
        <w:tc>
          <w:tcPr/>
          <w:p>
            <w:pPr>
              <w:pStyle w:val="Compact"/>
            </w:pPr>
            <w:r>
              <w:t xml:space="preserve">ScienceDirect</w:t>
            </w:r>
          </w:p>
        </w:tc>
        <w:tc>
          <w:tcPr/>
          <w:p>
            <w:pPr>
              <w:pStyle w:val="Compact"/>
            </w:pPr>
            <w:r>
              <w:t xml:space="preserve">Yes</w:t>
            </w:r>
          </w:p>
        </w:tc>
        <w:tc>
          <w:tcPr/>
          <w:p>
            <w:pPr>
              <w:pStyle w:val="Compact"/>
            </w:pPr>
            <w:r>
              <w:t xml:space="preserve">10.1016/j.ajog.Y.M.NNN</w:t>
            </w:r>
          </w:p>
        </w:tc>
        <w:tc>
          <w:tcPr/>
          <w:p>
            <w:pPr>
              <w:pStyle w:val="Compact"/>
            </w:pPr>
            <w:r>
              <w:t xml:space="preserve">Yes</w:t>
            </w:r>
          </w:p>
        </w:tc>
        <w:tc>
          <w:tcPr/>
          <w:p>
            <w:pPr>
              <w:pStyle w:val="Compact"/>
            </w:pPr>
            <w:r>
              <w:t xml:space="preserve">No</w:t>
            </w:r>
          </w:p>
        </w:tc>
        <w:tc>
          <w:tcPr/>
          <w:p>
            <w:pPr>
              <w:pStyle w:val="Compact"/>
            </w:pPr>
            <w:r>
              <w:t xml:space="preserve">~500</w:t>
            </w:r>
          </w:p>
        </w:tc>
        <w:tc>
          <w:tcPr/>
          <w:p>
            <w:pPr>
              <w:pStyle w:val="Compact"/>
            </w:pPr>
            <w:r>
              <w:t xml:space="preserve">✓ High</w:t>
            </w:r>
          </w:p>
        </w:tc>
      </w:tr>
      <w:tr>
        <w:tc>
          <w:tcPr/>
          <w:p>
            <w:pPr>
              <w:pStyle w:val="Compact"/>
            </w:pPr>
            <w:r>
              <w:rPr>
                <w:b/>
                <w:bCs/>
              </w:rPr>
              <w:t xml:space="preserve">SGO</w:t>
            </w:r>
          </w:p>
        </w:tc>
        <w:tc>
          <w:tcPr/>
          <w:p>
            <w:pPr>
              <w:pStyle w:val="Compact"/>
            </w:pPr>
            <w:r>
              <w:t xml:space="preserve">Gyn Onc</w:t>
            </w:r>
          </w:p>
        </w:tc>
        <w:tc>
          <w:tcPr/>
          <w:p>
            <w:pPr>
              <w:pStyle w:val="Compact"/>
            </w:pPr>
            <w:r>
              <w:t xml:space="preserve">ScienceDirect</w:t>
            </w:r>
          </w:p>
        </w:tc>
        <w:tc>
          <w:tcPr/>
          <w:p>
            <w:pPr>
              <w:pStyle w:val="Compact"/>
            </w:pPr>
            <w:r>
              <w:t xml:space="preserve">Yes</w:t>
            </w:r>
          </w:p>
        </w:tc>
        <w:tc>
          <w:tcPr/>
          <w:p>
            <w:pPr>
              <w:pStyle w:val="Compact"/>
            </w:pPr>
            <w:r>
              <w:t xml:space="preserve">10.1016/j.ygyno.Y.M.NNN</w:t>
            </w:r>
          </w:p>
        </w:tc>
        <w:tc>
          <w:tcPr/>
          <w:p>
            <w:pPr>
              <w:pStyle w:val="Compact"/>
            </w:pPr>
            <w:r>
              <w:t xml:space="preserve">Yes</w:t>
            </w:r>
          </w:p>
        </w:tc>
        <w:tc>
          <w:tcPr/>
          <w:p>
            <w:pPr>
              <w:pStyle w:val="Compact"/>
            </w:pPr>
            <w:r>
              <w:t xml:space="preserve">Partial</w:t>
            </w:r>
          </w:p>
        </w:tc>
        <w:tc>
          <w:tcPr/>
          <w:p>
            <w:pPr>
              <w:pStyle w:val="Compact"/>
            </w:pPr>
            <w:r>
              <w:t xml:space="preserve">~570</w:t>
            </w:r>
          </w:p>
        </w:tc>
        <w:tc>
          <w:tcPr/>
          <w:p>
            <w:pPr>
              <w:pStyle w:val="Compact"/>
            </w:pPr>
            <w:r>
              <w:t xml:space="preserve">✓ High</w:t>
            </w:r>
          </w:p>
        </w:tc>
      </w:tr>
      <w:tr>
        <w:tc>
          <w:tcPr/>
          <w:p>
            <w:pPr>
              <w:pStyle w:val="Compact"/>
            </w:pPr>
            <w:r>
              <w:rPr>
                <w:b/>
                <w:bCs/>
              </w:rPr>
              <w:t xml:space="preserve">NASPAG</w:t>
            </w:r>
          </w:p>
        </w:tc>
        <w:tc>
          <w:tcPr/>
          <w:p>
            <w:pPr>
              <w:pStyle w:val="Compact"/>
            </w:pPr>
            <w:r>
              <w:t xml:space="preserve">JPAG</w:t>
            </w:r>
          </w:p>
        </w:tc>
        <w:tc>
          <w:tcPr/>
          <w:p>
            <w:pPr>
              <w:pStyle w:val="Compact"/>
            </w:pPr>
            <w:r>
              <w:t xml:space="preserve">ScienceDirect</w:t>
            </w:r>
          </w:p>
        </w:tc>
        <w:tc>
          <w:tcPr/>
          <w:p>
            <w:pPr>
              <w:pStyle w:val="Compact"/>
            </w:pPr>
            <w:r>
              <w:t xml:space="preserve">Yes</w:t>
            </w:r>
          </w:p>
        </w:tc>
        <w:tc>
          <w:tcPr/>
          <w:p>
            <w:pPr>
              <w:pStyle w:val="Compact"/>
            </w:pPr>
            <w:r>
              <w:t xml:space="preserve">10.1016/j.jpag.Y.M.NNN</w:t>
            </w:r>
          </w:p>
        </w:tc>
        <w:tc>
          <w:tcPr/>
          <w:p>
            <w:pPr>
              <w:pStyle w:val="Compact"/>
            </w:pPr>
            <w:r>
              <w:t xml:space="preserve">Yes</w:t>
            </w:r>
          </w:p>
        </w:tc>
        <w:tc>
          <w:tcPr/>
          <w:p>
            <w:pPr>
              <w:pStyle w:val="Compact"/>
            </w:pPr>
            <w:r>
              <w:t xml:space="preserve">No</w:t>
            </w:r>
          </w:p>
        </w:tc>
        <w:tc>
          <w:tcPr/>
          <w:p>
            <w:pPr>
              <w:pStyle w:val="Compact"/>
            </w:pPr>
            <w:r>
              <w:t xml:space="preserve">~35</w:t>
            </w:r>
          </w:p>
        </w:tc>
        <w:tc>
          <w:tcPr/>
          <w:p>
            <w:pPr>
              <w:pStyle w:val="Compact"/>
            </w:pPr>
            <w:r>
              <w:t xml:space="preserve">✓ High</w:t>
            </w:r>
          </w:p>
        </w:tc>
      </w:tr>
      <w:tr>
        <w:tc>
          <w:tcPr/>
          <w:p>
            <w:pPr>
              <w:pStyle w:val="Compact"/>
            </w:pPr>
            <w:r>
              <w:rPr>
                <w:b/>
                <w:bCs/>
              </w:rPr>
              <w:t xml:space="preserve">ASRM</w:t>
            </w:r>
          </w:p>
        </w:tc>
        <w:tc>
          <w:tcPr/>
          <w:p>
            <w:pPr>
              <w:pStyle w:val="Compact"/>
            </w:pPr>
            <w:r>
              <w:t xml:space="preserve">F&amp;S</w:t>
            </w:r>
          </w:p>
        </w:tc>
        <w:tc>
          <w:tcPr/>
          <w:p>
            <w:pPr>
              <w:pStyle w:val="Compact"/>
            </w:pPr>
            <w:r>
              <w:t xml:space="preserve">ScienceDirect</w:t>
            </w:r>
          </w:p>
        </w:tc>
        <w:tc>
          <w:tcPr/>
          <w:p>
            <w:pPr>
              <w:pStyle w:val="Compact"/>
            </w:pPr>
            <w:r>
              <w:t xml:space="preserve">Yes</w:t>
            </w:r>
          </w:p>
        </w:tc>
        <w:tc>
          <w:tcPr/>
          <w:p>
            <w:pPr>
              <w:pStyle w:val="Compact"/>
            </w:pPr>
            <w:r>
              <w:t xml:space="preserve">10.1016/j.fertnstert.Y.M.NNN</w:t>
            </w:r>
          </w:p>
        </w:tc>
        <w:tc>
          <w:tcPr/>
          <w:p>
            <w:pPr>
              <w:pStyle w:val="Compact"/>
            </w:pPr>
            <w:r>
              <w:t xml:space="preserve">Yes</w:t>
            </w:r>
          </w:p>
        </w:tc>
        <w:tc>
          <w:tcPr/>
          <w:p>
            <w:pPr>
              <w:pStyle w:val="Compact"/>
            </w:pPr>
            <w:r>
              <w:t xml:space="preserve">Yes (browse)</w:t>
            </w:r>
          </w:p>
        </w:tc>
        <w:tc>
          <w:tcPr/>
          <w:p>
            <w:pPr>
              <w:pStyle w:val="Compact"/>
            </w:pPr>
            <w:r>
              <w:t xml:space="preserve">~1,200</w:t>
            </w:r>
          </w:p>
        </w:tc>
        <w:tc>
          <w:tcPr/>
          <w:p>
            <w:pPr>
              <w:pStyle w:val="Compact"/>
            </w:pPr>
            <w:r>
              <w:t xml:space="preserve">✓ Medium</w:t>
            </w:r>
          </w:p>
        </w:tc>
      </w:tr>
      <w:tr>
        <w:tc>
          <w:tcPr/>
          <w:p>
            <w:pPr>
              <w:pStyle w:val="Compact"/>
            </w:pPr>
            <w:r>
              <w:rPr>
                <w:b/>
                <w:bCs/>
              </w:rPr>
              <w:t xml:space="preserve">ACOG</w:t>
            </w:r>
          </w:p>
        </w:tc>
        <w:tc>
          <w:tcPr/>
          <w:p>
            <w:pPr>
              <w:pStyle w:val="Compact"/>
            </w:pPr>
            <w:r>
              <w:t xml:space="preserve">O&amp;G (Green J)</w:t>
            </w:r>
          </w:p>
        </w:tc>
        <w:tc>
          <w:tcPr/>
          <w:p>
            <w:pPr>
              <w:pStyle w:val="Compact"/>
            </w:pPr>
            <w:r>
              <w:t xml:space="preserve">LWW</w:t>
            </w:r>
          </w:p>
        </w:tc>
        <w:tc>
          <w:tcPr/>
          <w:p>
            <w:pPr>
              <w:pStyle w:val="Compact"/>
            </w:pPr>
            <w:r>
              <w:t xml:space="preserve">Yes</w:t>
            </w:r>
          </w:p>
        </w:tc>
        <w:tc>
          <w:tcPr/>
          <w:p>
            <w:pPr>
              <w:pStyle w:val="Compact"/>
            </w:pPr>
            <w:r>
              <w:t xml:space="preserve">10.1097/01.AOG.xxx</w:t>
            </w:r>
          </w:p>
        </w:tc>
        <w:tc>
          <w:tcPr/>
          <w:p>
            <w:pPr>
              <w:pStyle w:val="Compact"/>
            </w:pPr>
            <w:r>
              <w:t xml:space="preserve">Yes</w:t>
            </w:r>
          </w:p>
        </w:tc>
        <w:tc>
          <w:tcPr/>
          <w:p>
            <w:pPr>
              <w:pStyle w:val="Compact"/>
            </w:pPr>
            <w:r>
              <w:t xml:space="preserve">No</w:t>
            </w:r>
          </w:p>
        </w:tc>
        <w:tc>
          <w:tcPr/>
          <w:p>
            <w:pPr>
              <w:pStyle w:val="Compact"/>
            </w:pPr>
            <w:r>
              <w:t xml:space="preserve">~800</w:t>
            </w:r>
          </w:p>
        </w:tc>
        <w:tc>
          <w:tcPr/>
          <w:p>
            <w:pPr>
              <w:pStyle w:val="Compact"/>
            </w:pPr>
            <w:r>
              <w:t xml:space="preserve">△ Medium</w:t>
            </w:r>
          </w:p>
        </w:tc>
      </w:tr>
      <w:tr>
        <w:tc>
          <w:tcPr/>
          <w:p>
            <w:pPr>
              <w:pStyle w:val="Compact"/>
            </w:pPr>
            <w:r>
              <w:rPr>
                <w:b/>
                <w:bCs/>
              </w:rPr>
              <w:t xml:space="preserve">CREOG/APGO</w:t>
            </w:r>
          </w:p>
        </w:tc>
        <w:tc>
          <w:tcPr/>
          <w:p>
            <w:pPr>
              <w:pStyle w:val="Compact"/>
            </w:pPr>
            <w:r>
              <w:t xml:space="preserve">O&amp;G (Green J)</w:t>
            </w:r>
          </w:p>
        </w:tc>
        <w:tc>
          <w:tcPr/>
          <w:p>
            <w:pPr>
              <w:pStyle w:val="Compact"/>
            </w:pPr>
            <w:r>
              <w:t xml:space="preserve">LWW</w:t>
            </w:r>
          </w:p>
        </w:tc>
        <w:tc>
          <w:tcPr/>
          <w:p>
            <w:pPr>
              <w:pStyle w:val="Compact"/>
            </w:pPr>
            <w:r>
              <w:t xml:space="preserve">Yes (2015+)</w:t>
            </w:r>
          </w:p>
        </w:tc>
        <w:tc>
          <w:tcPr/>
          <w:p>
            <w:pPr>
              <w:pStyle w:val="Compact"/>
            </w:pPr>
            <w:r>
              <w:t xml:space="preserve">10.1097/01.AOG.xxx</w:t>
            </w:r>
          </w:p>
        </w:tc>
        <w:tc>
          <w:tcPr/>
          <w:p>
            <w:pPr>
              <w:pStyle w:val="Compact"/>
            </w:pPr>
            <w:r>
              <w:t xml:space="preserve">Yes</w:t>
            </w:r>
          </w:p>
        </w:tc>
        <w:tc>
          <w:tcPr/>
          <w:p>
            <w:pPr>
              <w:pStyle w:val="Compact"/>
            </w:pPr>
            <w:r>
              <w:t xml:space="preserve">No</w:t>
            </w:r>
          </w:p>
        </w:tc>
        <w:tc>
          <w:tcPr/>
          <w:p>
            <w:pPr>
              <w:pStyle w:val="Compact"/>
            </w:pPr>
            <w:r>
              <w:t xml:space="preserve">~200</w:t>
            </w:r>
          </w:p>
        </w:tc>
        <w:tc>
          <w:tcPr/>
          <w:p>
            <w:pPr>
              <w:pStyle w:val="Compact"/>
            </w:pPr>
            <w:r>
              <w:t xml:space="preserve">△ Medium</w:t>
            </w:r>
          </w:p>
        </w:tc>
      </w:tr>
      <w:tr>
        <w:tc>
          <w:tcPr/>
          <w:p>
            <w:pPr>
              <w:pStyle w:val="Compact"/>
            </w:pPr>
            <w:r>
              <w:rPr>
                <w:b/>
                <w:bCs/>
              </w:rPr>
              <w:t xml:space="preserve">SFP</w:t>
            </w:r>
          </w:p>
        </w:tc>
        <w:tc>
          <w:tcPr/>
          <w:p>
            <w:pPr>
              <w:pStyle w:val="Compact"/>
            </w:pPr>
            <w:r>
              <w:t xml:space="preserve">Contraception</w:t>
            </w:r>
          </w:p>
        </w:tc>
        <w:tc>
          <w:tcPr/>
          <w:p>
            <w:pPr>
              <w:pStyle w:val="Compact"/>
            </w:pPr>
            <w:r>
              <w:t xml:space="preserve">ScienceDirect</w:t>
            </w:r>
          </w:p>
        </w:tc>
        <w:tc>
          <w:tcPr/>
          <w:p>
            <w:pPr>
              <w:pStyle w:val="Compact"/>
            </w:pPr>
            <w:r>
              <w:t xml:space="preserve">No (collection-level)</w:t>
            </w:r>
          </w:p>
        </w:tc>
        <w:tc>
          <w:tcPr/>
          <w:p>
            <w:pPr>
              <w:pStyle w:val="Compact"/>
            </w:pPr>
            <w:r>
              <w:t xml:space="preserve">10.1016/j.contraception.Y.M.NNN</w:t>
            </w:r>
          </w:p>
        </w:tc>
        <w:tc>
          <w:tcPr/>
          <w:p>
            <w:pPr>
              <w:pStyle w:val="Compact"/>
            </w:pPr>
            <w:r>
              <w:t xml:space="preserve">Yes</w:t>
            </w:r>
          </w:p>
        </w:tc>
        <w:tc>
          <w:tcPr/>
          <w:p>
            <w:pPr>
              <w:pStyle w:val="Compact"/>
            </w:pPr>
            <w:r>
              <w:t xml:space="preserve">No</w:t>
            </w:r>
          </w:p>
        </w:tc>
        <w:tc>
          <w:tcPr/>
          <w:p>
            <w:pPr>
              <w:pStyle w:val="Compact"/>
            </w:pPr>
            <w:r>
              <w:t xml:space="preserve">~300</w:t>
            </w:r>
          </w:p>
        </w:tc>
        <w:tc>
          <w:tcPr/>
          <w:p>
            <w:pPr>
              <w:pStyle w:val="Compact"/>
            </w:pPr>
            <w:r>
              <w:t xml:space="preserve">△ Medium</w:t>
            </w:r>
          </w:p>
        </w:tc>
      </w:tr>
      <w:tr>
        <w:tc>
          <w:tcPr/>
          <w:p>
            <w:pPr>
              <w:pStyle w:val="Compact"/>
            </w:pPr>
            <w:r>
              <w:rPr>
                <w:b/>
                <w:bCs/>
              </w:rPr>
              <w:t xml:space="preserve">AUGS</w:t>
            </w:r>
          </w:p>
        </w:tc>
        <w:tc>
          <w:tcPr/>
          <w:p>
            <w:pPr>
              <w:pStyle w:val="Compact"/>
            </w:pPr>
            <w:r>
              <w:t xml:space="preserve">Urogynecology</w:t>
            </w:r>
          </w:p>
        </w:tc>
        <w:tc>
          <w:tcPr/>
          <w:p>
            <w:pPr>
              <w:pStyle w:val="Compact"/>
            </w:pPr>
            <w:r>
              <w:t xml:space="preserve">LWW</w:t>
            </w:r>
          </w:p>
        </w:tc>
        <w:tc>
          <w:tcPr/>
          <w:p>
            <w:pPr>
              <w:pStyle w:val="Compact"/>
            </w:pPr>
            <w:r>
              <w:t xml:space="preserve">No (supplement-level)</w:t>
            </w:r>
          </w:p>
        </w:tc>
        <w:tc>
          <w:tcPr/>
          <w:p>
            <w:pPr>
              <w:pStyle w:val="Compact"/>
            </w:pPr>
            <w:r>
              <w:t xml:space="preserve">10.1097/SPV.xxx</w:t>
            </w:r>
          </w:p>
        </w:tc>
        <w:tc>
          <w:tcPr/>
          <w:p>
            <w:pPr>
              <w:pStyle w:val="Compact"/>
            </w:pPr>
            <w:r>
              <w:t xml:space="preserve">Yes</w:t>
            </w:r>
          </w:p>
        </w:tc>
        <w:tc>
          <w:tcPr/>
          <w:p>
            <w:pPr>
              <w:pStyle w:val="Compact"/>
            </w:pPr>
            <w:r>
              <w:t xml:space="preserve">No</w:t>
            </w:r>
          </w:p>
        </w:tc>
        <w:tc>
          <w:tcPr/>
          <w:p>
            <w:pPr>
              <w:pStyle w:val="Compact"/>
            </w:pPr>
            <w:r>
              <w:t xml:space="preserve">~400</w:t>
            </w:r>
          </w:p>
        </w:tc>
        <w:tc>
          <w:tcPr/>
          <w:p>
            <w:pPr>
              <w:pStyle w:val="Compact"/>
            </w:pPr>
            <w:r>
              <w:t xml:space="preserve">△ Medium</w:t>
            </w:r>
          </w:p>
        </w:tc>
      </w:tr>
      <w:tr>
        <w:tc>
          <w:tcPr/>
          <w:p>
            <w:pPr>
              <w:pStyle w:val="Compact"/>
            </w:pPr>
            <w:r>
              <w:rPr>
                <w:b/>
                <w:bCs/>
              </w:rPr>
              <w:t xml:space="preserve">SASGOG</w:t>
            </w:r>
          </w:p>
        </w:tc>
        <w:tc>
          <w:tcPr/>
          <w:p>
            <w:pPr>
              <w:pStyle w:val="Compact"/>
            </w:pPr>
            <w:r>
              <w:t xml:space="preserve">None</w:t>
            </w:r>
          </w:p>
        </w:tc>
        <w:tc>
          <w:tcPr/>
          <w:p>
            <w:pPr>
              <w:pStyle w:val="Compact"/>
            </w:pPr>
            <w:r>
              <w:t xml:space="preserve">Society website</w:t>
            </w:r>
          </w:p>
        </w:tc>
        <w:tc>
          <w:tcPr/>
          <w:p>
            <w:pPr>
              <w:pStyle w:val="Compact"/>
            </w:pPr>
            <w:r>
              <w:t xml:space="preserve">No</w:t>
            </w:r>
          </w:p>
        </w:tc>
        <w:tc>
          <w:tcPr/>
          <w:p>
            <w:pPr>
              <w:pStyle w:val="Compact"/>
            </w:pPr>
            <w:r>
              <w:t xml:space="preserve">None</w:t>
            </w:r>
          </w:p>
        </w:tc>
        <w:tc>
          <w:tcPr/>
          <w:p>
            <w:pPr>
              <w:pStyle w:val="Compact"/>
            </w:pPr>
            <w:r>
              <w:t xml:space="preserve">No</w:t>
            </w:r>
          </w:p>
        </w:tc>
        <w:tc>
          <w:tcPr/>
          <w:p>
            <w:pPr>
              <w:pStyle w:val="Compact"/>
            </w:pPr>
            <w:r>
              <w:t xml:space="preserve">No</w:t>
            </w:r>
          </w:p>
        </w:tc>
        <w:tc>
          <w:tcPr/>
          <w:p>
            <w:pPr>
              <w:pStyle w:val="Compact"/>
            </w:pPr>
            <w:r>
              <w:t xml:space="preserve">~50</w:t>
            </w:r>
          </w:p>
        </w:tc>
        <w:tc>
          <w:tcPr/>
          <w:p>
            <w:pPr>
              <w:pStyle w:val="Compact"/>
            </w:pPr>
            <w:r>
              <w:t xml:space="preserve">✗ Low</w:t>
            </w:r>
          </w:p>
        </w:tc>
      </w:tr>
    </w:tbl>
    <w:p>
      <w:pPr>
        <w:pStyle w:val="BodyText"/>
      </w:pPr>
      <w:r>
        <w:rPr>
          <w:b/>
          <w:bCs/>
        </w:rPr>
        <w:t xml:space="preserve">LWW societies (ACOG, CREOG/APGO, AUGS)</w:t>
      </w:r>
      <w:r>
        <w:t xml:space="preserve"> </w:t>
      </w:r>
      <w:r>
        <w:t xml:space="preserve">share a platform — a single LWW scraper covers all three.</w:t>
      </w:r>
      <w:r>
        <w:t xml:space="preserve"> </w:t>
      </w:r>
      <w:r>
        <w:rPr>
          <w:b/>
          <w:bCs/>
        </w:rPr>
        <w:t xml:space="preserve">ScienceDirect societies (AAGL, SMFM, SGO, NASPAG, ASRM, SFP)</w:t>
      </w:r>
      <w:r>
        <w:t xml:space="preserve"> </w:t>
      </w:r>
      <w:r>
        <w:t xml:space="preserve">share the existing Elsevier infrastructure. SASGOG remains the only society with no viable programmatic ingestion path.</w:t>
      </w:r>
    </w:p>
    <w:p>
      <w:r>
        <w:pict>
          <v:rect style="width:0;height:1.5pt" o:hralign="center" o:hrstd="t" o:hr="t"/>
        </w:pict>
      </w:r>
    </w:p>
    <w:bookmarkEnd w:id="162"/>
    <w:bookmarkEnd w:id="163"/>
    <w:bookmarkStart w:id="174" w:name="a12.-matching-corrections-april-2026"/>
    <w:p>
      <w:pPr>
        <w:pStyle w:val="Heading2"/>
      </w:pPr>
      <w:r>
        <w:t xml:space="preserve">A12. Matching Corrections (April 2026)</w:t>
      </w:r>
    </w:p>
    <w:p>
      <w:pPr>
        <w:pStyle w:val="FirstParagraph"/>
      </w:pPr>
      <w:r>
        <w:t xml:space="preserve">Four defects in the abstract-to-publication matching layer were identified and corrected after the initial analysis. Each one biased the candidate pool in a specific, traceable direction. This section documents the defect, the correction, and the expected effect on results, so that any change in the reported publication rate between the initial and corrected runs can be attributed to a named cause rather than to unexplained drift.</w:t>
      </w:r>
    </w:p>
    <w:bookmarkStart w:id="164" w:name="X995fc70b9ffc5cab4b0ef882d96e6c284beec88"/>
    <w:p>
      <w:pPr>
        <w:pStyle w:val="Heading3"/>
      </w:pPr>
      <w:r>
        <w:t xml:space="preserve">A12.1 Session-Number Prefixes in Abstract Titles</w:t>
      </w:r>
    </w:p>
    <w:p>
      <w:pPr>
        <w:pStyle w:val="FirstParagraph"/>
      </w:pPr>
      <w:r>
        <w:t xml:space="preserve">The AAGL congress programs for 2013, 2017, 2018, and 2021 print oral presentation titles with a leading session number, rendered as</w:t>
      </w:r>
      <w:r>
        <w:t xml:space="preserve"> </w:t>
      </w:r>
      <w:r>
        <w:rPr>
          <w:rStyle w:val="VerbatimChar"/>
        </w:rPr>
        <w:t xml:space="preserve">"4 - Laparoscopic Management of..."</w:t>
      </w:r>
      <w:r>
        <w:t xml:space="preserve">. Earlier and later programs do not. The scraper captured this prefix verbatim, so the leading token entered</w:t>
      </w:r>
      <w:r>
        <w:t xml:space="preserve"> </w:t>
      </w:r>
      <w:r>
        <w:rPr>
          <w:rStyle w:val="VerbatimChar"/>
        </w:rPr>
        <w:t xml:space="preserve">normalize_title()</w:t>
      </w:r>
      <w:r>
        <w:t xml:space="preserve"> </w:t>
      </w:r>
      <w:r>
        <w:t xml:space="preserve">and then entered PubMed Strategy 1 as part of the title phrase.</w:t>
      </w:r>
    </w:p>
    <w:p>
      <w:pPr>
        <w:pStyle w:val="BodyText"/>
      </w:pPr>
      <w:r>
        <w:t xml:space="preserve">A phrase search for</w:t>
      </w:r>
      <w:r>
        <w:t xml:space="preserve"> </w:t>
      </w:r>
      <w:r>
        <w:rPr>
          <w:rStyle w:val="VerbatimChar"/>
        </w:rPr>
        <w:t xml:space="preserve">"4 laparoscopic management of"[TI]</w:t>
      </w:r>
      <w:r>
        <w:t xml:space="preserve"> </w:t>
      </w:r>
      <w:r>
        <w:t xml:space="preserve">matches nothing. Abstracts from these four congresses were therefore systematically deprived of their single strongest search strategy, and could only be recovered by the weaker author-based strategies. Because the affected congresses are a non-random subset of years, this depressed measured publication rates for those years specifically — a confound directly on the time trend the study reports.</w:t>
      </w:r>
    </w:p>
    <w:p>
      <w:pPr>
        <w:pStyle w:val="BodyText"/>
      </w:pPr>
      <w:r>
        <w:t xml:space="preserve">The prefix is now stripped at two points: in</w:t>
      </w:r>
      <w:r>
        <w:t xml:space="preserve"> </w:t>
      </w:r>
      <w:r>
        <w:rPr>
          <w:rStyle w:val="VerbatimChar"/>
        </w:rPr>
        <w:t xml:space="preserve">normalize_title()</w:t>
      </w:r>
      <w:r>
        <w:t xml:space="preserve"> </w:t>
      </w:r>
      <w:r>
        <w:t xml:space="preserve">(</w:t>
      </w:r>
      <w:r>
        <w:rPr>
          <w:rStyle w:val="VerbatimChar"/>
        </w:rPr>
        <w:t xml:space="preserve">R/utils_text.R</w:t>
      </w:r>
      <w:r>
        <w:t xml:space="preserve">), which protects every downstream consumer of the normalized title, and on the raw</w:t>
      </w:r>
      <w:r>
        <w:t xml:space="preserve"> </w:t>
      </w:r>
      <w:r>
        <w:rPr>
          <w:rStyle w:val="VerbatimChar"/>
        </w:rPr>
        <w:t xml:space="preserve">title</w:t>
      </w:r>
      <w:r>
        <w:t xml:space="preserve"> </w:t>
      </w:r>
      <w:r>
        <w:t xml:space="preserve">column in</w:t>
      </w:r>
      <w:r>
        <w:t xml:space="preserve"> </w:t>
      </w:r>
      <w:r>
        <w:rPr>
          <w:rStyle w:val="VerbatimChar"/>
        </w:rPr>
        <w:t xml:space="preserve">R/02_clean_abstracts.R</w:t>
      </w:r>
      <w:r>
        <w:t xml:space="preserve">, which protects the displayed title in the adjudication app. The regular expression is</w:t>
      </w:r>
      <w:r>
        <w:t xml:space="preserve"> </w:t>
      </w:r>
      <w:r>
        <w:rPr>
          <w:rStyle w:val="VerbatimChar"/>
        </w:rPr>
        <w:t xml:space="preserve">^[0-9]+\s+[-–]\s*</w:t>
      </w:r>
      <w:r>
        <w:t xml:space="preserve">, matching both hyphen and en-dash forms.</w:t>
      </w:r>
    </w:p>
    <w:p>
      <w:pPr>
        <w:pStyle w:val="BodyText"/>
      </w:pPr>
      <w:r>
        <w:t xml:space="preserve">The pattern requires whitespace before the dash. This is deliberate: a title legitimately beginning with a number followed immediately by a hyphen, such as</w:t>
      </w:r>
      <w:r>
        <w:t xml:space="preserve"> </w:t>
      </w:r>
      <w:r>
        <w:rPr>
          <w:rStyle w:val="VerbatimChar"/>
        </w:rPr>
        <w:t xml:space="preserve">"5-year outcomes after..."</w:t>
      </w:r>
      <w:r>
        <w:t xml:space="preserve">, must not be truncated to</w:t>
      </w:r>
      <w:r>
        <w:t xml:space="preserve"> </w:t>
      </w:r>
      <w:r>
        <w:rPr>
          <w:rStyle w:val="VerbatimChar"/>
        </w:rPr>
        <w:t xml:space="preserve">"year outcomes after..."</w:t>
      </w:r>
      <w:r>
        <w:t xml:space="preserve">. The required space distinguishes a session-number prefix from a numeric prefix belonging to the title.</w:t>
      </w:r>
    </w:p>
    <w:bookmarkEnd w:id="164"/>
    <w:bookmarkStart w:id="165" w:name="X1134aea50434136d94d421f311cb3ad23df9f0d"/>
    <w:p>
      <w:pPr>
        <w:pStyle w:val="Heading3"/>
      </w:pPr>
      <w:r>
        <w:t xml:space="preserve">A12.2 Non-Article Publication Types in the Candidate Pool</w:t>
      </w:r>
    </w:p>
    <w:p>
      <w:pPr>
        <w:pStyle w:val="FirstParagraph"/>
      </w:pPr>
      <w:r>
        <w:rPr>
          <w:rStyle w:val="VerbatimChar"/>
        </w:rPr>
        <w:t xml:space="preserve">build_date_filter()</w:t>
      </w:r>
      <w:r>
        <w:t xml:space="preserve"> </w:t>
      </w:r>
      <w:r>
        <w:t xml:space="preserve">previously constrained PubMed searches by date alone. Letters, comments, editorials, published errata, and retraction notices were therefore eligible candidates.</w:t>
      </w:r>
    </w:p>
    <w:p>
      <w:pPr>
        <w:pStyle w:val="BodyText"/>
      </w:pPr>
      <w:r>
        <w:t xml:space="preserve">These document types are strongly biased toward matching. They routinely carry the title of the paper they discuss, and they frequently share its author list. A letter commenting on a trial scores highly on title similarity and author overlap — the two heaviest components of the composite score — while being categorically incapable of representing the full publication of a congress abstract. The failure mode is not merely a wasted candidate slot: a high-scoring letter can outrank and displace the genuine publication, converting a correct match into an incorrect one.</w:t>
      </w:r>
    </w:p>
    <w:p>
      <w:pPr>
        <w:pStyle w:val="BodyText"/>
      </w:pPr>
      <w:r>
        <w:t xml:space="preserve">The date filter now appends an exclusion clause:</w:t>
      </w:r>
    </w:p>
    <w:p>
      <w:pPr>
        <w:pStyle w:val="SourceCode"/>
      </w:pPr>
      <w:r>
        <w:rPr>
          <w:rStyle w:val="VerbatimChar"/>
        </w:rPr>
        <w:t xml:space="preserve">NOT ("Letter"[PT] OR "Comment"[PT] OR "Editorial"[PT] OR</w:t>
      </w:r>
      <w:r>
        <w:br/>
      </w:r>
      <w:r>
        <w:rPr>
          <w:rStyle w:val="VerbatimChar"/>
        </w:rPr>
        <w:t xml:space="preserve">     "Published Erratum"[PT] OR "Retraction of Publication"[PT])</w:t>
      </w:r>
    </w:p>
    <w:p>
      <w:pPr>
        <w:pStyle w:val="FirstParagraph"/>
      </w:pPr>
      <w:r>
        <w:t xml:space="preserve">The exclusion is applied at the search layer rather than as a post-hoc filter on scored candidates. This is the more conservative placement: it prevents these records from ever competing for a candidate slot, rather than removing them after they may already have crowded out a true match.</w:t>
      </w:r>
    </w:p>
    <w:bookmarkEnd w:id="165"/>
    <w:bookmarkStart w:id="166" w:name="X8932188ea762ff0ba0a526e3681873d7d20d36d"/>
    <w:p>
      <w:pPr>
        <w:pStyle w:val="Heading3"/>
      </w:pPr>
      <w:r>
        <w:t xml:space="preserve">A12.3 Over-Broad JMIG Supplement Detection</w:t>
      </w:r>
    </w:p>
    <w:p>
      <w:pPr>
        <w:pStyle w:val="FirstParagraph"/>
      </w:pPr>
      <w:r>
        <w:t xml:space="preserve">Congress abstracts are themselves published in a JMIG supplement. Matching an abstract to its own supplement record would be circular, so</w:t>
      </w:r>
      <w:r>
        <w:t xml:space="preserve"> </w:t>
      </w:r>
      <w:r>
        <w:rPr>
          <w:rStyle w:val="VerbatimChar"/>
        </w:rPr>
        <w:t xml:space="preserve">is_supplement_article()</w:t>
      </w:r>
      <w:r>
        <w:t xml:space="preserve"> </w:t>
      </w:r>
      <w:r>
        <w:t xml:space="preserve">exists to exclude that record. Its original test was a conjunction of journal, volume, and year.</w:t>
      </w:r>
    </w:p>
    <w:p>
      <w:pPr>
        <w:pStyle w:val="BodyText"/>
      </w:pPr>
      <w:r>
        <w:t xml:space="preserve">Volume numbers are not unique to supplements. A JMIG supplement shares its volume number with the regular issues of that volume. The test therefore excluded every regular JMIG article in the matching volume and year — not just the congress supplement.</w:t>
      </w:r>
    </w:p>
    <w:p>
      <w:pPr>
        <w:pStyle w:val="BodyText"/>
      </w:pPr>
      <w:r>
        <w:t xml:space="preserve">This is the most consequential of the four defects, because its bias is directional and falls hardest on the true positives. An AAGL abstract is more likely than chance to be published in JMIG, the society’s own journal, and most likely to appear there within roughly a year of presentation, which is exactly the volume-year window the test was blanking. The rule was therefore most likely to discard precisely the publications the pipeline exists to find, and would depress the measured publication rate while inflating apparent time-to-publication for those recovered by other routes.</w:t>
      </w:r>
    </w:p>
    <w:p>
      <w:pPr>
        <w:pStyle w:val="BodyText"/>
      </w:pPr>
      <w:r>
        <w:t xml:space="preserve">The corrected test adds a fourth conjunct requiring positive evidence that the record is a supplement.</w:t>
      </w:r>
      <w:r>
        <w:t xml:space="preserve"> </w:t>
      </w:r>
      <w:r>
        <w:rPr>
          <w:rStyle w:val="VerbatimChar"/>
        </w:rPr>
        <w:t xml:space="preserve">pub_issue</w:t>
      </w:r>
      <w:r>
        <w:t xml:space="preserve"> </w:t>
      </w:r>
      <w:r>
        <w:t xml:space="preserve">is now extracted from</w:t>
      </w:r>
      <w:r>
        <w:t xml:space="preserve"> </w:t>
      </w:r>
      <w:r>
        <w:rPr>
          <w:rStyle w:val="VerbatimChar"/>
        </w:rPr>
        <w:t xml:space="preserve">JournalIssue/Issue</w:t>
      </w:r>
      <w:r>
        <w:t xml:space="preserve"> </w:t>
      </w:r>
      <w:r>
        <w:t xml:space="preserve">in the PubMed XML (</w:t>
      </w:r>
      <w:r>
        <w:rPr>
          <w:rStyle w:val="VerbatimChar"/>
        </w:rPr>
        <w:t xml:space="preserve">parse_pubmed_xml()</w:t>
      </w:r>
      <w:r>
        <w:t xml:space="preserve">), and exclusion requires either that the issue string contains</w:t>
      </w:r>
      <w:r>
        <w:t xml:space="preserve"> </w:t>
      </w:r>
      <w:r>
        <w:rPr>
          <w:rStyle w:val="VerbatimChar"/>
        </w:rPr>
        <w:t xml:space="preserve">"suppl"</w:t>
      </w:r>
      <w:r>
        <w:t xml:space="preserve">, or — where PubMed omits the issue field — that the publication month is November, the congress month:</w:t>
      </w:r>
    </w:p>
    <w:p>
      <w:pPr>
        <w:pStyle w:val="SourceCode"/>
      </w:pPr>
      <w:r>
        <w:rPr>
          <w:rStyle w:val="NormalTok"/>
        </w:rPr>
        <w:t xml:space="preserve">is_suppl_issue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(pub_issue) </w:t>
      </w:r>
      <w:r>
        <w:rPr>
          <w:rStyle w:val="SpecialCharTok"/>
        </w:rPr>
        <w:t xml:space="preserve">&amp;&amp;</w:t>
      </w:r>
      <w:r>
        <w:rPr>
          <w:rStyle w:val="NormalTok"/>
        </w:rPr>
        <w:t xml:space="preserve"> </w:t>
      </w:r>
      <w:r>
        <w:rPr>
          <w:rStyle w:val="FunctionTok"/>
        </w:rPr>
        <w:t xml:space="preserve">str_detect</w:t>
      </w:r>
      <w:r>
        <w:rPr>
          <w:rStyle w:val="NormalTok"/>
        </w:rPr>
        <w:t xml:space="preserve">(</w:t>
      </w:r>
      <w:r>
        <w:rPr>
          <w:rStyle w:val="FunctionTok"/>
        </w:rPr>
        <w:t xml:space="preserve">tolower</w:t>
      </w:r>
      <w:r>
        <w:rPr>
          <w:rStyle w:val="NormalTok"/>
        </w:rPr>
        <w:t xml:space="preserve">(pub_issue), </w:t>
      </w:r>
      <w:r>
        <w:rPr>
          <w:rStyle w:val="StringTok"/>
        </w:rPr>
        <w:t xml:space="preserve">"suppl"</w:t>
      </w:r>
      <w:r>
        <w:rPr>
          <w:rStyle w:val="NormalTok"/>
        </w:rPr>
        <w:t xml:space="preserve">)) </w:t>
      </w:r>
      <w:r>
        <w:rPr>
          <w:rStyle w:val="SpecialCharTok"/>
        </w:rPr>
        <w:t xml:space="preserve">||</w:t>
      </w:r>
      <w:r>
        <w:br/>
      </w:r>
      <w:r>
        <w:rPr>
          <w:rStyle w:val="NormalTok"/>
        </w:rPr>
        <w:t xml:space="preserve">  (</w:t>
      </w:r>
      <w:r>
        <w:rPr>
          <w:rStyle w:val="FunctionTok"/>
        </w:rPr>
        <w:t xml:space="preserve">is.na</w:t>
      </w:r>
      <w:r>
        <w:rPr>
          <w:rStyle w:val="NormalTok"/>
        </w:rPr>
        <w:t xml:space="preserve">(pub_issue) </w:t>
      </w:r>
      <w:r>
        <w:rPr>
          <w:rStyle w:val="SpecialCharTok"/>
        </w:rPr>
        <w:t xml:space="preserve">&amp;&amp;</w:t>
      </w:r>
      <w:r>
        <w:rPr>
          <w:rStyle w:val="NormalTok"/>
        </w:rPr>
        <w:t xml:space="preserve"> </w:t>
      </w:r>
      <w:r>
        <w:rPr>
          <w:rStyle w:val="SpecialCharTok"/>
        </w:rPr>
        <w:t xml:space="preserve">!</w:t>
      </w:r>
      <w:r>
        <w:rPr>
          <w:rStyle w:val="FunctionTok"/>
        </w:rPr>
        <w:t xml:space="preserve">is.na</w:t>
      </w:r>
      <w:r>
        <w:rPr>
          <w:rStyle w:val="NormalTok"/>
        </w:rPr>
        <w:t xml:space="preserve">(pub_month) </w:t>
      </w:r>
      <w:r>
        <w:rPr>
          <w:rStyle w:val="SpecialCharTok"/>
        </w:rPr>
        <w:t xml:space="preserve">&amp;&amp;</w:t>
      </w:r>
      <w:r>
        <w:br/>
      </w:r>
      <w:r>
        <w:rPr>
          <w:rStyle w:val="NormalTok"/>
        </w:rPr>
        <w:t xml:space="preserve">     </w:t>
      </w:r>
      <w:r>
        <w:rPr>
          <w:rStyle w:val="FunctionTok"/>
        </w:rPr>
        <w:t xml:space="preserve">str_detect</w:t>
      </w:r>
      <w:r>
        <w:rPr>
          <w:rStyle w:val="NormalTok"/>
        </w:rPr>
        <w:t xml:space="preserve">(</w:t>
      </w:r>
      <w:r>
        <w:rPr>
          <w:rStyle w:val="FunctionTok"/>
        </w:rPr>
        <w:t xml:space="preserve">tolower</w:t>
      </w:r>
      <w:r>
        <w:rPr>
          <w:rStyle w:val="NormalTok"/>
        </w:rPr>
        <w:t xml:space="preserve">(pub_month), </w:t>
      </w:r>
      <w:r>
        <w:rPr>
          <w:rStyle w:val="StringTok"/>
        </w:rPr>
        <w:t xml:space="preserve">"^(nov|11)"</w:t>
      </w:r>
      <w:r>
        <w:rPr>
          <w:rStyle w:val="NormalTok"/>
        </w:rPr>
        <w:t xml:space="preserve">))</w:t>
      </w:r>
      <w:r>
        <w:br/>
      </w:r>
      <w:r>
        <w:br/>
      </w:r>
      <w:r>
        <w:rPr>
          <w:rStyle w:val="NormalTok"/>
        </w:rPr>
        <w:t xml:space="preserve">is_jmig </w:t>
      </w:r>
      <w:r>
        <w:rPr>
          <w:rStyle w:val="SpecialCharTok"/>
        </w:rPr>
        <w:t xml:space="preserve">&amp;&amp;</w:t>
      </w:r>
      <w:r>
        <w:rPr>
          <w:rStyle w:val="NormalTok"/>
        </w:rPr>
        <w:t xml:space="preserve"> is_supplement_vol </w:t>
      </w:r>
      <w:r>
        <w:rPr>
          <w:rStyle w:val="SpecialCharTok"/>
        </w:rPr>
        <w:t xml:space="preserve">&amp;&amp;</w:t>
      </w:r>
      <w:r>
        <w:rPr>
          <w:rStyle w:val="NormalTok"/>
        </w:rPr>
        <w:t xml:space="preserve"> is_supplement_year </w:t>
      </w:r>
      <w:r>
        <w:rPr>
          <w:rStyle w:val="SpecialCharTok"/>
        </w:rPr>
        <w:t xml:space="preserve">&amp;&amp;</w:t>
      </w:r>
      <w:r>
        <w:rPr>
          <w:rStyle w:val="NormalTok"/>
        </w:rPr>
        <w:t xml:space="preserve"> is_suppl_issue</w:t>
      </w:r>
    </w:p>
    <w:p>
      <w:pPr>
        <w:pStyle w:val="FirstParagraph"/>
      </w:pPr>
      <w:r>
        <w:t xml:space="preserve">The November fallback is a deliberate residual compromise. It is narrower than the original rule, since it applies only when the issue field is absent, but it is still a heuristic and will misclassify a genuine November JMIG article in a supplement volume whose issue metadata PubMed has not populated. Section A12.5 records this as a known limitation.</w:t>
      </w:r>
    </w:p>
    <w:bookmarkEnd w:id="166"/>
    <w:bookmarkStart w:id="167" w:name="X824c7944b581fc18423aeeceace3052ef2c647e"/>
    <w:p>
      <w:pPr>
        <w:pStyle w:val="Heading3"/>
      </w:pPr>
      <w:r>
        <w:t xml:space="preserve">A12.4 Stopword Removal Broke Title Phrase Search</w:t>
      </w:r>
    </w:p>
    <w:p>
      <w:pPr>
        <w:pStyle w:val="FirstParagraph"/>
      </w:pPr>
      <w:r>
        <w:t xml:space="preserve">Strategy 1 built its title phrase by discarding every token shorter than three characters and then joining the first eight survivors. The intent was to drop uninformative stopwords. The effect was to destroy the phrase.</w:t>
      </w:r>
    </w:p>
    <w:p>
      <w:pPr>
        <w:pStyle w:val="BodyText"/>
      </w:pPr>
      <w:r>
        <w:t xml:space="preserve">PubMed</w:t>
      </w:r>
      <w:r>
        <w:t xml:space="preserve"> </w:t>
      </w:r>
      <w:r>
        <w:rPr>
          <w:rStyle w:val="VerbatimChar"/>
        </w:rPr>
        <w:t xml:space="preserve">[TI]</w:t>
      </w:r>
      <w:r>
        <w:t xml:space="preserve"> </w:t>
      </w:r>
      <w:r>
        <w:t xml:space="preserve">phrase search matches consecutive words. Removing</w:t>
      </w:r>
      <w:r>
        <w:t xml:space="preserve"> </w:t>
      </w:r>
      <w:r>
        <w:rPr>
          <w:rStyle w:val="VerbatimChar"/>
        </w:rPr>
        <w:t xml:space="preserve">"in"</w:t>
      </w:r>
      <w:r>
        <w:t xml:space="preserve">,</w:t>
      </w:r>
      <w:r>
        <w:t xml:space="preserve"> </w:t>
      </w:r>
      <w:r>
        <w:rPr>
          <w:rStyle w:val="VerbatimChar"/>
        </w:rPr>
        <w:t xml:space="preserve">"of"</w:t>
      </w:r>
      <w:r>
        <w:t xml:space="preserve">, and</w:t>
      </w:r>
      <w:r>
        <w:t xml:space="preserve"> </w:t>
      </w:r>
      <w:r>
        <w:rPr>
          <w:rStyle w:val="VerbatimChar"/>
        </w:rPr>
        <w:t xml:space="preserve">"a"</w:t>
      </w:r>
      <w:r>
        <w:t xml:space="preserve"> </w:t>
      </w:r>
      <w:r>
        <w:t xml:space="preserve">from a title does not produce a shorter phrase that still matches — it produces a word sequence that never appears in any title.</w:t>
      </w:r>
      <w:r>
        <w:t xml:space="preserve"> </w:t>
      </w:r>
      <w:r>
        <w:rPr>
          <w:rStyle w:val="VerbatimChar"/>
        </w:rPr>
        <w:t xml:space="preserve">"outcomes robotic surgery obese patients"</w:t>
      </w:r>
      <w:r>
        <w:t xml:space="preserve"> </w:t>
      </w:r>
      <w:r>
        <w:t xml:space="preserve">does not match</w:t>
      </w:r>
      <w:r>
        <w:t xml:space="preserve"> </w:t>
      </w:r>
      <w:r>
        <w:rPr>
          <w:i/>
          <w:iCs/>
        </w:rPr>
        <w:t xml:space="preserve">“Outcomes of robotic surgery in obese patients”</w:t>
      </w:r>
      <w:r>
        <w:t xml:space="preserve">. Strategy 1, the highest-precision strategy in the pipeline, was reliably failing on any title containing a short function word, which is nearly all of them.</w:t>
      </w:r>
    </w:p>
    <w:p>
      <w:pPr>
        <w:pStyle w:val="BodyText"/>
      </w:pPr>
      <w:r>
        <w:t xml:space="preserve">The strategy now takes a consecutive eight-word window, preserving every token including stopwords, and begins the window at the first token of three or more characters:</w:t>
      </w:r>
    </w:p>
    <w:p>
      <w:pPr>
        <w:pStyle w:val="SourceCode"/>
      </w:pPr>
      <w:r>
        <w:rPr>
          <w:rStyle w:val="NormalTok"/>
        </w:rPr>
        <w:t xml:space="preserve">title_all_words </w:t>
      </w:r>
      <w:r>
        <w:rPr>
          <w:rStyle w:val="OtherTok"/>
        </w:rPr>
        <w:t xml:space="preserve">&lt;-</w:t>
      </w:r>
      <w:r>
        <w:rPr>
          <w:rStyle w:val="NormalTok"/>
        </w:rPr>
        <w:t xml:space="preserve"> </w:t>
      </w:r>
      <w:r>
        <w:rPr>
          <w:rStyle w:val="FunctionTok"/>
        </w:rPr>
        <w:t xml:space="preserve">str_split</w:t>
      </w:r>
      <w:r>
        <w:rPr>
          <w:rStyle w:val="NormalTok"/>
        </w:rPr>
        <w:t xml:space="preserve">(title_norm, </w:t>
      </w:r>
      <w:r>
        <w:rPr>
          <w:rStyle w:val="StringTok"/>
        </w:rPr>
        <w:t xml:space="preserve">"</w:t>
      </w:r>
      <w:r>
        <w:rPr>
          <w:rStyle w:val="SpecialCharTok"/>
        </w:rPr>
        <w:t xml:space="preserve">\\</w:t>
      </w:r>
      <w:r>
        <w:rPr>
          <w:rStyle w:val="StringTok"/>
        </w:rPr>
        <w:t xml:space="preserve">s+"</w:t>
      </w:r>
      <w:r>
        <w:rPr>
          <w:rStyle w:val="NormalTok"/>
        </w:rPr>
        <w:t xml:space="preserve">)[[</w:t>
      </w:r>
      <w:r>
        <w:rPr>
          <w:rStyle w:val="DecValTok"/>
        </w:rPr>
        <w:t xml:space="preserve">1</w:t>
      </w:r>
      <w:r>
        <w:rPr>
          <w:rStyle w:val="NormalTok"/>
        </w:rPr>
        <w:t xml:space="preserve">]]</w:t>
      </w:r>
      <w:r>
        <w:br/>
      </w:r>
      <w:r>
        <w:rPr>
          <w:rStyle w:val="NormalTok"/>
        </w:rPr>
        <w:t xml:space="preserve">start_idx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nchar</w:t>
      </w:r>
      <w:r>
        <w:rPr>
          <w:rStyle w:val="NormalTok"/>
        </w:rPr>
        <w:t xml:space="preserve">(title_all_words) </w:t>
      </w:r>
      <w:r>
        <w:rPr>
          <w:rStyle w:val="SpecialCha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s </w:t>
      </w:r>
      <w:r>
        <w:rPr>
          <w:rStyle w:val="OtherTok"/>
        </w:rPr>
        <w:t xml:space="preserve">&lt;-</w:t>
      </w:r>
      <w:r>
        <w:rPr>
          <w:rStyle w:val="NormalTok"/>
        </w:rPr>
        <w:t xml:space="preserve"> start_idx[</w:t>
      </w:r>
      <w:r>
        <w:rPr>
          <w:rStyle w:val="DecValTok"/>
        </w:rPr>
        <w:t xml:space="preserve">1</w:t>
      </w:r>
      <w:r>
        <w:rPr>
          <w:rStyle w:val="NormalTok"/>
        </w:rPr>
        <w:t xml:space="preserve">]</w:t>
      </w:r>
      <w:r>
        <w:br/>
      </w:r>
      <w:r>
        <w:rPr>
          <w:rStyle w:val="NormalTok"/>
        </w:rPr>
        <w:t xml:space="preserve">title_query_words </w:t>
      </w:r>
      <w:r>
        <w:rPr>
          <w:rStyle w:val="OtherTok"/>
        </w:rPr>
        <w:t xml:space="preserve">&lt;-</w:t>
      </w:r>
      <w:r>
        <w:rPr>
          <w:rStyle w:val="NormalTok"/>
        </w:rPr>
        <w:t xml:space="preserve"> title_all_words[s</w:t>
      </w:r>
      <w:r>
        <w:rPr>
          <w:rStyle w:val="SpecialCharTok"/>
        </w:rPr>
        <w:t xml:space="preserve">:</w:t>
      </w:r>
      <w:r>
        <w:rPr>
          <w:rStyle w:val="FunctionTok"/>
        </w:rPr>
        <w:t xml:space="preserve">min</w:t>
      </w:r>
      <w:r>
        <w:rPr>
          <w:rStyle w:val="NormalTok"/>
        </w:rPr>
        <w:t xml:space="preserve">(s </w:t>
      </w:r>
      <w:r>
        <w:rPr>
          <w:rStyle w:val="SpecialCharTok"/>
        </w:rPr>
        <w:t xml:space="preserve">+</w:t>
      </w:r>
      <w:r>
        <w:rPr>
          <w:rStyle w:val="NormalTok"/>
        </w:rPr>
        <w:t xml:space="preserve"> </w:t>
      </w:r>
      <w:r>
        <w:rPr>
          <w:rStyle w:val="DecValTok"/>
        </w:rPr>
        <w:t xml:space="preserve">7</w:t>
      </w:r>
      <w:r>
        <w:rPr>
          <w:rStyle w:val="DataTypeTok"/>
        </w:rPr>
        <w:t xml:space="preserve">L</w:t>
      </w:r>
      <w:r>
        <w:rPr>
          <w:rStyle w:val="NormalTok"/>
        </w:rPr>
        <w:t xml:space="preserve">, </w:t>
      </w:r>
      <w:r>
        <w:rPr>
          <w:rStyle w:val="FunctionTok"/>
        </w:rPr>
        <w:t xml:space="preserve">length</w:t>
      </w:r>
      <w:r>
        <w:rPr>
          <w:rStyle w:val="NormalTok"/>
        </w:rPr>
        <w:t xml:space="preserve">(title_all_words))]</w:t>
      </w:r>
    </w:p>
    <w:p>
      <w:pPr>
        <w:pStyle w:val="FirstParagraph"/>
      </w:pPr>
      <w:r>
        <w:t xml:space="preserve">Anchoring the start at the first substantial token preserves the original defensive intent — skipping a leading numeric artifact — while the consecutive window restores the phrase semantics the search depends on. This correction is partially redundant with A12.1, which removes session prefixes upstream; the anchor is retained as defence in depth against any leading-token artifact not covered by that pattern.</w:t>
      </w:r>
    </w:p>
    <w:bookmarkEnd w:id="167"/>
    <w:bookmarkStart w:id="168" w:name="X3cdd6e9a273aebae4910cb03a906fa7d2957250"/>
    <w:p>
      <w:pPr>
        <w:pStyle w:val="Heading3"/>
      </w:pPr>
      <w:r>
        <w:t xml:space="preserve">A12.5 Combined Effect and Known Limitations</w:t>
      </w:r>
    </w:p>
    <w:p>
      <w:pPr>
        <w:pStyle w:val="FirstParagraph"/>
      </w:pPr>
      <w:r>
        <w:t xml:space="preserve">All four defects biased in the same direction: each one suppressed true matches. A12.1 and A12.4 removed the strongest search strategy for affected abstracts; A12.3 discarded genuine JMIG publications; A12.2 allowed non-articles to displace real ones. The corrected pipeline should therefore report a publication rate no lower than the original, with the increase concentrated in JMIG publications and in the 2013, 2017, 2018, and 2021 congresses.</w:t>
      </w:r>
    </w:p>
    <w:p>
      <w:pPr>
        <w:pStyle w:val="BodyText"/>
      </w:pPr>
      <w:r>
        <w:t xml:space="preserve">Because these four corrections shipped together in a single re-run, their individual contributions are not separately identified in the current results. Attributing the change to any one defect would require four additional pipeline runs holding the others fixed. No such ablation has been performed.</w:t>
      </w:r>
    </w:p>
    <w:p>
      <w:pPr>
        <w:pStyle w:val="BodyText"/>
      </w:pPr>
      <w:r>
        <w:t xml:space="preserve">Two limitations remain open:</w:t>
      </w:r>
    </w:p>
    <w:p>
      <w:pPr>
        <w:pStyle w:val="BodyText"/>
      </w:pPr>
      <w:r>
        <w:rPr>
          <w:b/>
          <w:bCs/>
        </w:rPr>
        <w:t xml:space="preserve">Supplement detection still depends on a month heuristic.</w:t>
      </w:r>
      <w:r>
        <w:t xml:space="preserve"> </w:t>
      </w:r>
      <w:r>
        <w:t xml:space="preserve">Where PubMed does not populate the issue field, exclusion falls back to a November publication month. A genuine November JMIG article in a supplement volume with missing issue metadata will still be wrongly excluded. Quantifying this residual requires auditing JMIG records with absent</w:t>
      </w:r>
      <w:r>
        <w:t xml:space="preserve"> </w:t>
      </w:r>
      <w:r>
        <w:rPr>
          <w:rStyle w:val="VerbatimChar"/>
        </w:rPr>
        <w:t xml:space="preserve">Issue</w:t>
      </w:r>
      <w:r>
        <w:t xml:space="preserve"> </w:t>
      </w:r>
      <w:r>
        <w:t xml:space="preserve">values against the print record.</w:t>
      </w:r>
    </w:p>
    <w:p>
      <w:pPr>
        <w:pStyle w:val="BodyText"/>
      </w:pPr>
      <w:r>
        <w:rPr>
          <w:b/>
          <w:bCs/>
        </w:rPr>
        <w:t xml:space="preserve">Publication-type exclusion is not free of risk.</w:t>
      </w:r>
      <w:r>
        <w:t xml:space="preserve"> </w:t>
      </w:r>
      <w:r>
        <w:t xml:space="preserve">A small number of legitimate full publications are indexed by PubMed under</w:t>
      </w:r>
      <w:r>
        <w:t xml:space="preserve"> </w:t>
      </w:r>
      <w:r>
        <w:rPr>
          <w:rStyle w:val="VerbatimChar"/>
        </w:rPr>
        <w:t xml:space="preserve">"Letter"[PT]</w:t>
      </w:r>
      <w:r>
        <w:t xml:space="preserve"> </w:t>
      </w:r>
      <w:r>
        <w:t xml:space="preserve">— brief research reports in journals that classify short-format original research this way. Excluding the type wholesale trades a small number of these for a much larger reduction in false-positive commentary. The trade is believed favourable but has not been measured against the gold standard.</w:t>
      </w:r>
    </w:p>
    <w:bookmarkEnd w:id="168"/>
    <w:bookmarkStart w:id="169" w:name="Xc64e93adf22a333c4c2470895341fae5910479c"/>
    <w:p>
      <w:pPr>
        <w:pStyle w:val="Heading3"/>
      </w:pPr>
      <w:r>
        <w:t xml:space="preserve">A12.6 Cross-Source Gender Conflict Detection</w:t>
      </w:r>
    </w:p>
    <w:p>
      <w:pPr>
        <w:pStyle w:val="FirstParagraph"/>
      </w:pPr>
      <w:r>
        <w:t xml:space="preserve">The gender waterfall documented in A10.11–A10.15 resolves a single value per author from up to ten sources by priority order. Priority resolution is silent about disagreement: an author assigned by NPI and contradicted by OpenAlex produced the same output as an author for whom only one source had an opinion.</w:t>
      </w:r>
    </w:p>
    <w:p>
      <w:pPr>
        <w:pStyle w:val="BodyText"/>
      </w:pPr>
      <w:r>
        <w:t xml:space="preserve">Two columns now record the shape of the evidence rather than only its winner.</w:t>
      </w:r>
      <w:r>
        <w:t xml:space="preserve"> </w:t>
      </w:r>
      <w:r>
        <w:rPr>
          <w:rStyle w:val="VerbatimChar"/>
        </w:rPr>
        <w:t xml:space="preserve">gender_n_sources</w:t>
      </w:r>
      <w:r>
        <w:t xml:space="preserve"> </w:t>
      </w:r>
      <w:r>
        <w:t xml:space="preserve">counts contributing sources;</w:t>
      </w:r>
      <w:r>
        <w:t xml:space="preserve"> </w:t>
      </w:r>
      <w:r>
        <w:rPr>
          <w:rStyle w:val="VerbatimChar"/>
        </w:rPr>
        <w:t xml:space="preserve">gender_conflict</w:t>
      </w:r>
      <w:r>
        <w:t xml:space="preserve"> </w:t>
      </w:r>
      <w:r>
        <w:t xml:space="preserve">flags authors where those sources disagree. Both are populated for every row. A sidecar,</w:t>
      </w:r>
      <w:r>
        <w:t xml:space="preserve"> </w:t>
      </w:r>
      <w:r>
        <w:rPr>
          <w:rStyle w:val="VerbatimChar"/>
        </w:rPr>
        <w:t xml:space="preserve">data/processed/gender_conflicts.csv</w:t>
      </w:r>
      <w:r>
        <w:t xml:space="preserve">, enumerates the disagreements with the competing values, in 277 rows.</w:t>
      </w:r>
    </w:p>
    <w:p>
      <w:pPr>
        <w:pStyle w:val="BodyText"/>
      </w:pPr>
      <w:r>
        <w:t xml:space="preserve">Two further sources were added to the waterfall: OpenAlex author search (157 resolutions) and CMS Open Payments (16). Coverage of</w:t>
      </w:r>
      <w:r>
        <w:t xml:space="preserve"> </w:t>
      </w:r>
      <w:r>
        <w:rPr>
          <w:rStyle w:val="VerbatimChar"/>
        </w:rPr>
        <w:t xml:space="preserve">gender_unified</w:t>
      </w:r>
      <w:r>
        <w:t xml:space="preserve"> </w:t>
      </w:r>
      <w:r>
        <w:t xml:space="preserve">on the analytical dataset is 98.8% (1,067 rows).</w:t>
      </w:r>
    </w:p>
    <w:p>
      <w:pPr>
        <w:pStyle w:val="BodyText"/>
      </w:pPr>
      <w:r>
        <w:t xml:space="preserve">These columns exist to make sensitivity analysis possible. Any analysis stratified by author gender can now be re-run on the unconflicted subset to establish whether a reported association survives restriction to authors whose gender assignment is uncontested. That analysis is enabled by this change but has not yet been performed.</w:t>
      </w:r>
    </w:p>
    <w:p>
      <w:pPr>
        <w:pStyle w:val="BodyText"/>
      </w:pPr>
      <w:r>
        <w:rPr>
          <w:b/>
          <w:bCs/>
        </w:rPr>
        <w:t xml:space="preserve">Second-author triangulation returned no resolutions.</w:t>
      </w:r>
      <w:r>
        <w:t xml:space="preserve"> </w:t>
      </w:r>
      <w:r>
        <w:rPr>
          <w:rStyle w:val="VerbatimChar"/>
        </w:rPr>
        <w:t xml:space="preserve">10g_second_author_triangulation.R</w:t>
      </w:r>
      <w:r>
        <w:t xml:space="preserve"> </w:t>
      </w:r>
      <w:r>
        <w:t xml:space="preserve">runs and writes</w:t>
      </w:r>
      <w:r>
        <w:t xml:space="preserve"> </w:t>
      </w:r>
      <w:r>
        <w:rPr>
          <w:rStyle w:val="VerbatimChar"/>
        </w:rPr>
        <w:t xml:space="preserve">second_author_triangulation.csv</w:t>
      </w:r>
      <w:r>
        <w:t xml:space="preserve"> </w:t>
      </w:r>
      <w:r>
        <w:t xml:space="preserve">with zero rows. The script is retained because the senior-author equivalent (A10.11) does produce resolutions, but the second-author route currently contributes nothing to the waterfall and should not be counted as an active source.</w:t>
      </w:r>
    </w:p>
    <w:bookmarkEnd w:id="169"/>
    <w:bookmarkStart w:id="173" w:name="X0b416797b2e2e113c47d37135b95cd7862d1799"/>
    <w:p>
      <w:pPr>
        <w:pStyle w:val="Heading3"/>
      </w:pPr>
      <w:r>
        <w:t xml:space="preserve">A12.7 Denominator Defect in Cohort Assembly (Corrected)</w:t>
      </w:r>
    </w:p>
    <w:p>
      <w:pPr>
        <w:pStyle w:val="FirstParagraph"/>
      </w:pPr>
      <w:r>
        <w:t xml:space="preserve">A defect in cohort assembly was identified while reconciling row counts between pipeline stages, and has been corrected. It affected the reported publication rate directly.</w:t>
      </w:r>
    </w:p>
    <w:p>
      <w:pPr>
        <w:pStyle w:val="BodyText"/>
      </w:pPr>
      <w:r>
        <w:rPr>
          <w:rStyle w:val="VerbatimChar"/>
        </w:rPr>
        <w:t xml:space="preserve">abstracts_cleaned.csv</w:t>
      </w:r>
      <w:r>
        <w:t xml:space="preserve"> </w:t>
      </w:r>
      <w:r>
        <w:t xml:space="preserve">carried 1,106 abstracts;</w:t>
      </w:r>
      <w:r>
        <w:t xml:space="preserve"> </w:t>
      </w:r>
      <w:r>
        <w:rPr>
          <w:rStyle w:val="VerbatimChar"/>
        </w:rPr>
        <w:t xml:space="preserve">abstracts_with_matches.csv</w:t>
      </w:r>
      <w:r>
        <w:t xml:space="preserve">, the analytical file, carried 1,067. The 39-row difference was not attrition from data quality. The missing rows showed no elevated missingness on any column, were all</w:t>
      </w:r>
      <w:r>
        <w:t xml:space="preserve"> </w:t>
      </w:r>
      <w:r>
        <w:rPr>
          <w:rStyle w:val="VerbatimChar"/>
        </w:rPr>
        <w:t xml:space="preserve">session_type == "Oral"</w:t>
      </w:r>
      <w:r>
        <w:t xml:space="preserve">, and were distributed across all twelve congresses.</w:t>
      </w:r>
    </w:p>
    <w:p>
      <w:pPr>
        <w:pStyle w:val="BodyText"/>
      </w:pPr>
      <w:r>
        <w:t xml:space="preserve">They were exactly the abstracts whose best-scoring candidate carried the</w:t>
      </w:r>
      <w:r>
        <w:t xml:space="preserve"> </w:t>
      </w:r>
      <w:r>
        <w:rPr>
          <w:rStyle w:val="VerbatimChar"/>
        </w:rPr>
        <w:t xml:space="preserve">excluded</w:t>
      </w:r>
      <w:r>
        <w:t xml:space="preserve"> </w:t>
      </w:r>
      <w:r>
        <w:t xml:space="preserve">classification, meaning the candidate publication predates the conference.</w:t>
      </w:r>
      <w:r>
        <w:t xml:space="preserve"> </w:t>
      </w:r>
      <w:r>
        <w:rPr>
          <w:rStyle w:val="VerbatimChar"/>
        </w:rPr>
        <w:t xml:space="preserve">R/05_adjudicate.R</w:t>
      </w:r>
      <w:r>
        <w:t xml:space="preserve"> </w:t>
      </w:r>
      <w:r>
        <w:t xml:space="preserve">responded to that classification by filtering the abstract out of the cohort:</w:t>
      </w:r>
    </w:p>
    <w:p>
      <w:pPr>
        <w:pStyle w:val="SourceCode"/>
      </w:pPr>
      <w:r>
        <w:rPr>
          <w:rStyle w:val="NormalTok"/>
        </w:rPr>
        <w:t xml:space="preserve">results </w:t>
      </w:r>
      <w:r>
        <w:rPr>
          <w:rStyle w:val="OtherTok"/>
        </w:rPr>
        <w:t xml:space="preserve">&lt;-</w:t>
      </w:r>
      <w:r>
        <w:rPr>
          <w:rStyle w:val="NormalTok"/>
        </w:rPr>
        <w:t xml:space="preserve"> results </w:t>
      </w:r>
      <w:r>
        <w:rPr>
          <w:rStyle w:val="SpecialCharTok"/>
        </w:rPr>
        <w:t xml:space="preserve">|&gt;</w:t>
      </w:r>
      <w:r>
        <w:rPr>
          <w:rStyle w:val="NormalTok"/>
        </w:rPr>
        <w:t xml:space="preserve"> </w:t>
      </w:r>
      <w:r>
        <w:rPr>
          <w:rStyle w:val="FunctionTok"/>
        </w:rPr>
        <w:t xml:space="preserve">filter</w:t>
      </w:r>
      <w:r>
        <w:rPr>
          <w:rStyle w:val="NormalTok"/>
        </w:rPr>
        <w:t xml:space="preserve">(classification </w:t>
      </w:r>
      <w:r>
        <w:rPr>
          <w:rStyle w:val="SpecialCharTok"/>
        </w:rPr>
        <w:t xml:space="preserve">!=</w:t>
      </w:r>
      <w:r>
        <w:rPr>
          <w:rStyle w:val="NormalTok"/>
        </w:rPr>
        <w:t xml:space="preserve"> </w:t>
      </w:r>
      <w:r>
        <w:rPr>
          <w:rStyle w:val="StringTok"/>
        </w:rPr>
        <w:t xml:space="preserve">"excluded"</w:t>
      </w:r>
      <w:r>
        <w:rPr>
          <w:rStyle w:val="NormalTok"/>
        </w:rPr>
        <w:t xml:space="preserve">)</w:t>
      </w:r>
    </w:p>
    <w:p>
      <w:pPr>
        <w:pStyle w:val="FirstParagraph"/>
      </w:pPr>
      <w:r>
        <w:t xml:space="preserve">The classification is a statement about the candidate, not about the abstract. A pre-conference paper cannot represent the full publication of a congress abstract, so the correct response is to invalidate that candidate — not to remove the presentation from the study. The Cochrane MR000005 denominator is abstracts</w:t>
      </w:r>
      <w:r>
        <w:t xml:space="preserve"> </w:t>
      </w:r>
      <w:r>
        <w:rPr>
          <w:i/>
          <w:iCs/>
        </w:rPr>
        <w:t xml:space="preserve">presented</w:t>
      </w:r>
      <w:r>
        <w:t xml:space="preserve">, not abstracts for which a valid candidate was located.</w:t>
      </w:r>
    </w:p>
    <w:p>
      <w:pPr>
        <w:pStyle w:val="BodyText"/>
      </w:pPr>
      <w:r>
        <w:t xml:space="preserve">The filter has been removed. The abstracts are retained and, having no valid post-conference publication, counted as unpublished. No downstream change was required:</w:t>
      </w:r>
      <w:r>
        <w:t xml:space="preserve"> </w:t>
      </w:r>
      <w:r>
        <w:rPr>
          <w:rStyle w:val="VerbatimChar"/>
        </w:rPr>
        <w:t xml:space="preserve">06_analyze_results.R</w:t>
      </w:r>
      <w:r>
        <w:t xml:space="preserve">,</w:t>
      </w:r>
      <w:r>
        <w:t xml:space="preserve"> </w:t>
      </w:r>
      <w:r>
        <w:rPr>
          <w:rStyle w:val="VerbatimChar"/>
        </w:rPr>
        <w:t xml:space="preserve">07_make_tables.R</w:t>
      </w:r>
      <w:r>
        <w:t xml:space="preserve">,</w:t>
      </w:r>
      <w:r>
        <w:t xml:space="preserve"> </w:t>
      </w:r>
      <w:r>
        <w:rPr>
          <w:rStyle w:val="VerbatimChar"/>
        </w:rPr>
        <w:t xml:space="preserve">08_make_figures.R</w:t>
      </w:r>
      <w:r>
        <w:t xml:space="preserve">, and the adjudication app already map</w:t>
      </w:r>
      <w:r>
        <w:t xml:space="preserve"> </w:t>
      </w:r>
      <w:r>
        <w:rPr>
          <w:rStyle w:val="VerbatimChar"/>
        </w:rPr>
        <w:t xml:space="preserve">classification == "excluded"</w:t>
      </w:r>
      <w:r>
        <w:t xml:space="preserve"> </w:t>
      </w:r>
      <w:r>
        <w:t xml:space="preserve">to</w:t>
      </w:r>
      <w:r>
        <w:t xml:space="preserve"> </w:t>
      </w:r>
      <w:r>
        <w:rPr>
          <w:rStyle w:val="VerbatimChar"/>
        </w:rPr>
        <w:t xml:space="preserve">published = FALSE</w:t>
      </w:r>
      <w:r>
        <w:t xml:space="preserve">. Those scripts were written expecting these rows to be present; the filter was the anomaly.</w:t>
      </w:r>
    </w:p>
    <w:p>
      <w:pPr>
        <w:pStyle w:val="BodyText"/>
      </w:pPr>
      <w:r>
        <w:t xml:space="preserve">Publication fields are left populated on the retained rows. They describe the pre-conference paper that triggered the exclusion, which is the evidence for the decision.</w:t>
      </w:r>
      <w:r>
        <w:t xml:space="preserve"> </w:t>
      </w:r>
      <w:r>
        <w:rPr>
          <w:rStyle w:val="VerbatimChar"/>
        </w:rPr>
        <w:t xml:space="preserve">months_to_pub</w:t>
      </w:r>
      <w:r>
        <w:t xml:space="preserve"> </w:t>
      </w:r>
      <w:r>
        <w:t xml:space="preserve">is negative on these rows by construction, and nothing consumes it without first gating on the published flag.</w:t>
      </w:r>
    </w:p>
    <w:bookmarkStart w:id="170" w:name="effect-on-the-reported-result"/>
    <w:p>
      <w:pPr>
        <w:pStyle w:val="Heading4"/>
      </w:pPr>
      <w:r>
        <w:t xml:space="preserve">Effect on the reported result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w:t>
            </w:r>
          </w:p>
        </w:tc>
        <w:tc>
          <w:tcPr/>
          <w:p>
            <w:pPr>
              <w:pStyle w:val="Compact"/>
            </w:pPr>
            <w:r>
              <w:t xml:space="preserve">After</w:t>
            </w:r>
          </w:p>
        </w:tc>
      </w:tr>
      <w:tr>
        <w:tc>
          <w:tcPr/>
          <w:p>
            <w:pPr>
              <w:pStyle w:val="Compact"/>
            </w:pPr>
            <w:r>
              <w:t xml:space="preserve">Cohort</w:t>
            </w:r>
          </w:p>
        </w:tc>
        <w:tc>
          <w:tcPr/>
          <w:p>
            <w:pPr>
              <w:pStyle w:val="Compact"/>
            </w:pPr>
            <w:r>
              <w:t xml:space="preserve">1,067</w:t>
            </w:r>
          </w:p>
        </w:tc>
        <w:tc>
          <w:tcPr/>
          <w:p>
            <w:pPr>
              <w:pStyle w:val="Compact"/>
            </w:pPr>
            <w:r>
              <w:t xml:space="preserve">1,106</w:t>
            </w:r>
          </w:p>
        </w:tc>
      </w:tr>
      <w:tr>
        <w:tc>
          <w:tcPr/>
          <w:p>
            <w:pPr>
              <w:pStyle w:val="Compact"/>
            </w:pPr>
            <w:r>
              <w:t xml:space="preserve">Published</w:t>
            </w:r>
          </w:p>
        </w:tc>
        <w:tc>
          <w:tcPr/>
          <w:p>
            <w:pPr>
              <w:pStyle w:val="Compact"/>
            </w:pPr>
            <w:r>
              <w:t xml:space="preserve">174</w:t>
            </w:r>
          </w:p>
        </w:tc>
        <w:tc>
          <w:tcPr/>
          <w:p>
            <w:pPr>
              <w:pStyle w:val="Compact"/>
            </w:pPr>
            <w:r>
              <w:t xml:space="preserve">178</w:t>
            </w:r>
          </w:p>
        </w:tc>
      </w:tr>
      <w:tr>
        <w:tc>
          <w:tcPr/>
          <w:p>
            <w:pPr>
              <w:pStyle w:val="Compact"/>
            </w:pPr>
            <w:r>
              <w:t xml:space="preserve">Not published</w:t>
            </w:r>
          </w:p>
        </w:tc>
        <w:tc>
          <w:tcPr/>
          <w:p>
            <w:pPr>
              <w:pStyle w:val="Compact"/>
            </w:pPr>
            <w:r>
              <w:t xml:space="preserve">838</w:t>
            </w:r>
          </w:p>
        </w:tc>
        <w:tc>
          <w:tcPr/>
          <w:p>
            <w:pPr>
              <w:pStyle w:val="Compact"/>
            </w:pPr>
            <w:r>
              <w:t xml:space="preserve">873</w:t>
            </w:r>
          </w:p>
        </w:tc>
      </w:tr>
      <w:tr>
        <w:tc>
          <w:tcPr/>
          <w:p>
            <w:pPr>
              <w:pStyle w:val="Compact"/>
            </w:pPr>
            <w:r>
              <w:t xml:space="preserve">Pending review</w:t>
            </w:r>
          </w:p>
        </w:tc>
        <w:tc>
          <w:tcPr/>
          <w:p>
            <w:pPr>
              <w:pStyle w:val="Compact"/>
            </w:pPr>
            <w:r>
              <w:t xml:space="preserve">55</w:t>
            </w:r>
          </w:p>
        </w:tc>
        <w:tc>
          <w:tcPr/>
          <w:p>
            <w:pPr>
              <w:pStyle w:val="Compact"/>
            </w:pPr>
            <w:r>
              <w:t xml:space="preserve">55</w:t>
            </w:r>
          </w:p>
        </w:tc>
      </w:tr>
      <w:tr>
        <w:tc>
          <w:tcPr/>
          <w:p>
            <w:pPr>
              <w:pStyle w:val="Compact"/>
            </w:pPr>
            <w:r>
              <w:rPr>
                <w:b/>
                <w:bCs/>
              </w:rPr>
              <w:t xml:space="preserve">Publication rate</w:t>
            </w:r>
          </w:p>
        </w:tc>
        <w:tc>
          <w:tcPr/>
          <w:p>
            <w:pPr>
              <w:pStyle w:val="Compact"/>
            </w:pPr>
            <w:r>
              <w:rPr>
                <w:b/>
                <w:bCs/>
              </w:rPr>
              <w:t xml:space="preserve">17.2%</w:t>
            </w:r>
            <w:r>
              <w:t xml:space="preserve"> </w:t>
            </w:r>
            <w:r>
              <w:t xml:space="preserve">(95% CI 15.0–19.6)</w:t>
            </w:r>
          </w:p>
        </w:tc>
        <w:tc>
          <w:tcPr/>
          <w:p>
            <w:pPr>
              <w:pStyle w:val="Compact"/>
            </w:pPr>
            <w:r>
              <w:rPr>
                <w:b/>
                <w:bCs/>
              </w:rPr>
              <w:t xml:space="preserve">16.9%</w:t>
            </w:r>
            <w:r>
              <w:t xml:space="preserve"> </w:t>
            </w:r>
            <w:r>
              <w:t xml:space="preserve">(95% CI 14.8–19.3)</w:t>
            </w:r>
          </w:p>
        </w:tc>
      </w:tr>
    </w:tbl>
    <w:bookmarkEnd w:id="170"/>
    <w:bookmarkStart w:id="171" w:name="X4c69b4d62c520044987961c6d9671ea1aa352ed"/>
    <w:p>
      <w:pPr>
        <w:pStyle w:val="Heading4"/>
      </w:pPr>
      <w:r>
        <w:t xml:space="preserve">The defect also discarded confirmed publications</w:t>
      </w:r>
    </w:p>
    <w:p>
      <w:pPr>
        <w:pStyle w:val="FirstParagraph"/>
      </w:pPr>
      <w:r>
        <w:t xml:space="preserve">The bias was expected to run in one direction: removing non-events from the denominator inflates the rate. That was the larger effect, but it was not the only one.</w:t>
      </w:r>
    </w:p>
    <w:p>
      <w:pPr>
        <w:pStyle w:val="BodyText"/>
      </w:pPr>
      <w:r>
        <w:t xml:space="preserve">Of the 39 recovered abstracts,</w:t>
      </w:r>
      <w:r>
        <w:t xml:space="preserve"> </w:t>
      </w:r>
      <w:r>
        <w:rPr>
          <w:b/>
          <w:bCs/>
        </w:rPr>
        <w:t xml:space="preserve">35 are unpublished and 4 are published</w:t>
      </w:r>
      <w:r>
        <w:t xml:space="preserve">. The four carry an explicit human adjudication of</w:t>
      </w:r>
      <w:r>
        <w:t xml:space="preserve"> </w:t>
      </w:r>
      <w:r>
        <w:rPr>
          <w:rStyle w:val="VerbatimChar"/>
        </w:rPr>
        <w:t xml:space="preserve">manual_decision == "match"</w:t>
      </w:r>
      <w:r>
        <w:t xml:space="preserve"> </w:t>
      </w:r>
      <w:r>
        <w:t xml:space="preserve">against a specific PMID: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Abstract</w:t>
            </w:r>
          </w:p>
        </w:tc>
        <w:tc>
          <w:tcPr/>
          <w:p>
            <w:pPr>
              <w:pStyle w:val="Compact"/>
            </w:pPr>
            <w:r>
              <w:t xml:space="preserve">Congress</w:t>
            </w:r>
          </w:p>
        </w:tc>
        <w:tc>
          <w:tcPr/>
          <w:p>
            <w:pPr>
              <w:pStyle w:val="Compact"/>
            </w:pPr>
            <w:r>
              <w:t xml:space="preserve">PMID</w:t>
            </w:r>
          </w:p>
        </w:tc>
      </w:tr>
      <w:tr>
        <w:tc>
          <w:tcPr/>
          <w:p>
            <w:pPr>
              <w:pStyle w:val="Compact"/>
            </w:pPr>
            <w:r>
              <w:t xml:space="preserve">AAGL2021_002</w:t>
            </w:r>
          </w:p>
        </w:tc>
        <w:tc>
          <w:tcPr/>
          <w:p>
            <w:pPr>
              <w:pStyle w:val="Compact"/>
            </w:pPr>
            <w:r>
              <w:t xml:space="preserve">2021</w:t>
            </w:r>
          </w:p>
        </w:tc>
        <w:tc>
          <w:tcPr/>
          <w:p>
            <w:pPr>
              <w:pStyle w:val="Compact"/>
            </w:pPr>
            <w:r>
              <w:t xml:space="preserve">33992450</w:t>
            </w:r>
          </w:p>
        </w:tc>
      </w:tr>
      <w:tr>
        <w:tc>
          <w:tcPr/>
          <w:p>
            <w:pPr>
              <w:pStyle w:val="Compact"/>
            </w:pPr>
            <w:r>
              <w:t xml:space="preserve">AAGL2021_049</w:t>
            </w:r>
          </w:p>
        </w:tc>
        <w:tc>
          <w:tcPr/>
          <w:p>
            <w:pPr>
              <w:pStyle w:val="Compact"/>
            </w:pPr>
            <w:r>
              <w:t xml:space="preserve">2021</w:t>
            </w:r>
          </w:p>
        </w:tc>
        <w:tc>
          <w:tcPr/>
          <w:p>
            <w:pPr>
              <w:pStyle w:val="Compact"/>
            </w:pPr>
            <w:r>
              <w:t xml:space="preserve">34130801</w:t>
            </w:r>
          </w:p>
        </w:tc>
      </w:tr>
      <w:tr>
        <w:tc>
          <w:tcPr/>
          <w:p>
            <w:pPr>
              <w:pStyle w:val="Compact"/>
            </w:pPr>
            <w:r>
              <w:t xml:space="preserve">AAGL2023_042</w:t>
            </w:r>
          </w:p>
        </w:tc>
        <w:tc>
          <w:tcPr/>
          <w:p>
            <w:pPr>
              <w:pStyle w:val="Compact"/>
            </w:pPr>
            <w:r>
              <w:t xml:space="preserve">2023</w:t>
            </w:r>
          </w:p>
        </w:tc>
        <w:tc>
          <w:tcPr/>
          <w:p>
            <w:pPr>
              <w:pStyle w:val="Compact"/>
            </w:pPr>
            <w:r>
              <w:t xml:space="preserve">36852512</w:t>
            </w:r>
          </w:p>
        </w:tc>
      </w:tr>
      <w:tr>
        <w:tc>
          <w:tcPr/>
          <w:p>
            <w:pPr>
              <w:pStyle w:val="Compact"/>
            </w:pPr>
            <w:r>
              <w:t xml:space="preserve">AAGL2023_048</w:t>
            </w:r>
          </w:p>
        </w:tc>
        <w:tc>
          <w:tcPr/>
          <w:p>
            <w:pPr>
              <w:pStyle w:val="Compact"/>
            </w:pPr>
            <w:r>
              <w:t xml:space="preserve">2023</w:t>
            </w:r>
          </w:p>
        </w:tc>
        <w:tc>
          <w:tcPr/>
          <w:p>
            <w:pPr>
              <w:pStyle w:val="Compact"/>
            </w:pPr>
            <w:r>
              <w:t xml:space="preserve">37271737</w:t>
            </w:r>
          </w:p>
        </w:tc>
      </w:tr>
    </w:tbl>
    <w:p>
      <w:pPr>
        <w:pStyle w:val="BodyText"/>
      </w:pPr>
      <w:r>
        <w:t xml:space="preserve">For these four, a reviewer examined the candidate and recorded a match, while the algorithm had classified it pre-conference. The filter discarded the abstract before that human decision could take effect, removing confirmed publications from the numerator as well as non-events from the denominator. The two effects act in opposite directions, which is why the corrected rate moves by only 0.3 percentage points rather than the 0.6 predicted from the denominator change alone.</w:t>
      </w:r>
    </w:p>
    <w:p>
      <w:pPr>
        <w:pStyle w:val="BodyText"/>
      </w:pPr>
      <w:r>
        <w:t xml:space="preserve">These four warrant review on their own merits. A human match against a candidate the algorithm dates before the congress is most likely an online-first publication that appeared ahead of the November meeting. Whether such a paper counts as the conference-to-publication conversion is a methodological question this correction does not settle: it preserves the reviewer’s decision rather than overriding it, on the principle that human adjudication takes precedence over algorithmic classification, which is the convention already encoded in</w:t>
      </w:r>
      <w:r>
        <w:t xml:space="preserve"> </w:t>
      </w:r>
      <w:r>
        <w:rPr>
          <w:rStyle w:val="VerbatimChar"/>
        </w:rPr>
        <w:t xml:space="preserve">final_published</w:t>
      </w:r>
      <w:r>
        <w:t xml:space="preserve">.</w:t>
      </w:r>
    </w:p>
    <w:bookmarkEnd w:id="171"/>
    <w:bookmarkStart w:id="172" w:name="remaining-limitation"/>
    <w:p>
      <w:pPr>
        <w:pStyle w:val="Heading4"/>
      </w:pPr>
      <w:r>
        <w:t xml:space="preserve">Remaining limitation</w:t>
      </w:r>
    </w:p>
    <w:p>
      <w:pPr>
        <w:pStyle w:val="FirstParagraph"/>
      </w:pPr>
      <w:r>
        <w:t xml:space="preserve">Abstracts whose best candidate is pre-conference are counted as unpublished without re-scoring against their next-best candidate. If the true publication was ranked second, it is not recovered. Quantifying that would require re-running adjudication with the pre-conference candidate suppressed and the next candidate promoted. That has not been done.</w:t>
      </w:r>
    </w:p>
    <w:bookmarkEnd w:id="172"/>
    <w:bookmarkEnd w:id="173"/>
    <w:bookmarkEnd w:id="174"/>
    <w:bookmarkStart w:id="183" w:name="a13.-the-denominator-chain"/>
    <w:p>
      <w:pPr>
        <w:pStyle w:val="Heading2"/>
      </w:pPr>
      <w:r>
        <w:t xml:space="preserve">A13. The Denominator Chain</w:t>
      </w:r>
    </w:p>
    <w:p>
      <w:pPr>
        <w:pStyle w:val="FirstParagraph"/>
      </w:pPr>
      <w:r>
        <w:t xml:space="preserve">Section A12.7 corrected a defect that removed 39 abstracts from the cohort. Reconciling the numbers afterward showed that the reported publication rate still cannot be reconstructed from the figures the pipeline exports. This section documents the full chain from parsed abstracts to the denominator, identifies where each reduction occurs in code, and separates the reductions that are methodological decisions from those that are defects.</w:t>
      </w:r>
    </w:p>
    <w:bookmarkStart w:id="175" w:name="Xaec3024e5f265282d77e2a408973c1cfde8cf18"/>
    <w:p>
      <w:pPr>
        <w:pStyle w:val="Heading3"/>
      </w:pPr>
      <w:r>
        <w:t xml:space="preserve">A13.1 The chain from parsed abstracts to the denominator</w:t>
      </w:r>
    </w:p>
    <w:p>
      <w:pPr>
        <w:pStyle w:val="SourceCode"/>
      </w:pPr>
      <w:r>
        <w:rPr>
          <w:rStyle w:val="VerbatimChar"/>
        </w:rPr>
        <w:t xml:space="preserve">1,154   parsed from the congress supplements</w:t>
      </w:r>
      <w:r>
        <w:br/>
      </w:r>
      <w:r>
        <w:rPr>
          <w:rStyle w:val="VerbatimChar"/>
        </w:rPr>
        <w:t xml:space="preserve">  -48   video presentations, dropped at R/02_clean_abstracts.R:34</w:t>
      </w:r>
      <w:r>
        <w:br/>
      </w:r>
      <w:r>
        <w:rPr>
          <w:rStyle w:val="VerbatimChar"/>
        </w:rPr>
        <w:t xml:space="preserve">1,106   cleaned cohort, all oral            &lt;- the COHORT</w:t>
      </w:r>
      <w:r>
        <w:br/>
      </w:r>
      <w:r>
        <w:rPr>
          <w:rStyle w:val="VerbatimChar"/>
        </w:rPr>
        <w:t xml:space="preserve">  -55   final_published = NA</w:t>
      </w:r>
      <w:r>
        <w:br/>
      </w:r>
      <w:r>
        <w:rPr>
          <w:rStyle w:val="VerbatimChar"/>
        </w:rPr>
        <w:t xml:space="preserve">1,051   evaluated                           &lt;- the DENOMINATOR</w:t>
      </w:r>
    </w:p>
    <w:p>
      <w:pPr>
        <w:pStyle w:val="FirstParagraph"/>
      </w:pPr>
      <w:r>
        <w:t xml:space="preserve">The publication rate is 170 / 1,051 =</w:t>
      </w:r>
      <w:r>
        <w:t xml:space="preserve"> </w:t>
      </w:r>
      <w:r>
        <w:rPr>
          <w:b/>
          <w:bCs/>
        </w:rPr>
        <w:t xml:space="preserve">16.2%</w:t>
      </w:r>
      <w:r>
        <w:t xml:space="preserve">.</w:t>
      </w:r>
      <w:r>
        <w:t xml:space="preserve"> </w:t>
      </w:r>
      <w:r>
        <w:rPr>
          <w:rStyle w:val="VerbatimChar"/>
        </w:rPr>
        <w:t xml:space="preserve">R/strobe_flowchart.R</w:t>
      </w:r>
      <w:r>
        <w:t xml:space="preserve"> </w:t>
      </w:r>
      <w:r>
        <w:t xml:space="preserve">renders this chain as a STROBE participant-flow diagram, deriving every count from the pipeline files at render time rather than from literals, and asserting with</w:t>
      </w:r>
      <w:r>
        <w:t xml:space="preserve"> </w:t>
      </w:r>
      <w:r>
        <w:rPr>
          <w:rStyle w:val="VerbatimChar"/>
        </w:rPr>
        <w:t xml:space="preserve">stopifnot()</w:t>
      </w:r>
      <w:r>
        <w:t xml:space="preserve"> </w:t>
      </w:r>
      <w:r>
        <w:t xml:space="preserve">that the arithmetic closes on both branches.</w:t>
      </w:r>
    </w:p>
    <w:p>
      <w:pPr>
        <w:pStyle w:val="BodyText"/>
      </w:pPr>
      <w:r>
        <w:t xml:space="preserve">Two reductions occur, and they are different in kind. The video exclusion is a pre-specified eligibility criterion applied at parsing. The 55-abstract reduction is not a criterion at all; it is unfinished adjudication, described in A13.2.</w:t>
      </w:r>
    </w:p>
    <w:bookmarkEnd w:id="175"/>
    <w:bookmarkStart w:id="176" w:name="X996dce13b25773c968f81a4c0b82df3608e50d3"/>
    <w:p>
      <w:pPr>
        <w:pStyle w:val="Heading3"/>
      </w:pPr>
      <w:r>
        <w:t xml:space="preserve">A13.2 Where the 55 unresolved abstracts come from</w:t>
      </w:r>
    </w:p>
    <w:p>
      <w:pPr>
        <w:pStyle w:val="FirstParagraph"/>
      </w:pPr>
      <w:r>
        <w:rPr>
          <w:rStyle w:val="VerbatimChar"/>
        </w:rPr>
        <w:t xml:space="preserve">final_published</w:t>
      </w:r>
      <w:r>
        <w:t xml:space="preserve"> </w:t>
      </w:r>
      <w:r>
        <w:t xml:space="preserve">is assigned by a single</w:t>
      </w:r>
      <w:r>
        <w:t xml:space="preserve"> </w:t>
      </w:r>
      <w:r>
        <w:rPr>
          <w:rStyle w:val="VerbatimChar"/>
        </w:rPr>
        <w:t xml:space="preserve">case_when</w:t>
      </w:r>
      <w:r>
        <w:t xml:space="preserve"> </w:t>
      </w:r>
      <w:r>
        <w:t xml:space="preserve">in</w:t>
      </w:r>
      <w:r>
        <w:t xml:space="preserve"> </w:t>
      </w:r>
      <w:r>
        <w:rPr>
          <w:rStyle w:val="VerbatimChar"/>
        </w:rPr>
        <w:t xml:space="preserve">R/06_analyze_results.R:39</w:t>
      </w:r>
      <w:r>
        <w:t xml:space="preserve">:</w:t>
      </w:r>
    </w:p>
    <w:p>
      <w:pPr>
        <w:pStyle w:val="SourceCode"/>
      </w:pPr>
      <w:r>
        <w:rPr>
          <w:rStyle w:val="NormalTok"/>
        </w:rPr>
        <w:t xml:space="preserve">final_published </w:t>
      </w:r>
      <w:r>
        <w:rPr>
          <w:rStyle w:val="OtherTok"/>
        </w:rPr>
        <w:t xml:space="preserve">=</w:t>
      </w:r>
      <w:r>
        <w:rPr>
          <w:rStyle w:val="NormalTok"/>
        </w:rPr>
        <w:t xml:space="preserve"> </w:t>
      </w:r>
      <w:r>
        <w:rPr>
          <w:rStyle w:val="FunctionTok"/>
        </w:rPr>
        <w:t xml:space="preserve">case_when</w:t>
      </w:r>
      <w:r>
        <w:rPr>
          <w:rStyle w:val="NormalTok"/>
        </w:rPr>
        <w:t xml:space="preserve">(</w:t>
      </w:r>
      <w:r>
        <w:br/>
      </w:r>
      <w:r>
        <w:rPr>
          <w:rStyle w:val="NormalTok"/>
        </w:rPr>
        <w:t xml:space="preserve">  classification </w:t>
      </w:r>
      <w:r>
        <w:rPr>
          <w:rStyle w:val="SpecialCharTok"/>
        </w:rPr>
        <w:t xml:space="preserve">==</w:t>
      </w:r>
      <w:r>
        <w:rPr>
          <w:rStyle w:val="NormalTok"/>
        </w:rPr>
        <w:t xml:space="preserve"> </w:t>
      </w:r>
      <w:r>
        <w:rPr>
          <w:rStyle w:val="StringTok"/>
        </w:rPr>
        <w:t xml:space="preserve">"definite"</w:t>
      </w:r>
      <w:r>
        <w:rPr>
          <w:rStyle w:val="NormalTok"/>
        </w:rPr>
        <w:t xml:space="preserve">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manual_decision </w:t>
      </w:r>
      <w:r>
        <w:rPr>
          <w:rStyle w:val="SpecialCharTok"/>
        </w:rPr>
        <w:t xml:space="preserve">==</w:t>
      </w:r>
      <w:r>
        <w:rPr>
          <w:rStyle w:val="NormalTok"/>
        </w:rPr>
        <w:t xml:space="preserve"> </w:t>
      </w:r>
      <w:r>
        <w:rPr>
          <w:rStyle w:val="StringTok"/>
        </w:rPr>
        <w:t xml:space="preserve">"match"</w:t>
      </w:r>
      <w:r>
        <w:rPr>
          <w:rStyle w:val="NormalTok"/>
        </w:rPr>
        <w:t xml:space="preserve">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manual_decision </w:t>
      </w:r>
      <w:r>
        <w:rPr>
          <w:rStyle w:val="SpecialCharTok"/>
        </w:rPr>
        <w:t xml:space="preserve">==</w:t>
      </w:r>
      <w:r>
        <w:rPr>
          <w:rStyle w:val="NormalTok"/>
        </w:rPr>
        <w:t xml:space="preserve"> </w:t>
      </w:r>
      <w:r>
        <w:rPr>
          <w:rStyle w:val="StringTok"/>
        </w:rPr>
        <w:t xml:space="preserve">"no_match"</w:t>
      </w:r>
      <w:r>
        <w:rPr>
          <w:rStyle w:val="NormalTok"/>
        </w:rPr>
        <w:t xml:space="preserve">                                 </w:t>
      </w:r>
      <w:r>
        <w:rPr>
          <w:rStyle w:val="SpecialCha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classification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"no_match"</w:t>
      </w:r>
      <w:r>
        <w:rPr>
          <w:rStyle w:val="NormalTok"/>
        </w:rPr>
        <w:t xml:space="preserve">,</w:t>
      </w:r>
      <w:r>
        <w:rPr>
          <w:rStyle w:val="StringTok"/>
        </w:rPr>
        <w:t xml:space="preserve">"no_candidates"</w:t>
      </w:r>
      <w:r>
        <w:rPr>
          <w:rStyle w:val="NormalTok"/>
        </w:rPr>
        <w:t xml:space="preserve">,</w:t>
      </w:r>
      <w:r>
        <w:rPr>
          <w:rStyle w:val="StringTok"/>
        </w:rPr>
        <w:t xml:space="preserve">"excluded"</w:t>
      </w:r>
      <w:r>
        <w:rPr>
          <w:rStyle w:val="NormalTok"/>
        </w:rPr>
        <w:t xml:space="preserve">)  </w:t>
      </w:r>
      <w:r>
        <w:rPr>
          <w:rStyle w:val="SpecialCha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p>
    <w:p>
      <w:pPr>
        <w:pStyle w:val="FirstParagraph"/>
      </w:pPr>
      <w:r>
        <w:t xml:space="preserve">An abstract reaches</w:t>
      </w:r>
      <w:r>
        <w:t xml:space="preserve"> </w:t>
      </w:r>
      <w:r>
        <w:rPr>
          <w:rStyle w:val="VerbatimChar"/>
        </w:rPr>
        <w:t xml:space="preserve">NA</w:t>
      </w:r>
      <w:r>
        <w:t xml:space="preserve"> </w:t>
      </w:r>
      <w:r>
        <w:t xml:space="preserve">only by failing all four branches. That requires the algorithm to have classified it</w:t>
      </w:r>
      <w:r>
        <w:t xml:space="preserve"> </w:t>
      </w:r>
      <w:r>
        <w:rPr>
          <w:rStyle w:val="VerbatimChar"/>
        </w:rPr>
        <w:t xml:space="preserve">probable</w:t>
      </w:r>
      <w:r>
        <w:t xml:space="preserve"> </w:t>
      </w:r>
      <w:r>
        <w:t xml:space="preserve">or</w:t>
      </w:r>
      <w:r>
        <w:t xml:space="preserve"> </w:t>
      </w:r>
      <w:r>
        <w:rPr>
          <w:rStyle w:val="VerbatimChar"/>
        </w:rPr>
        <w:t xml:space="preserve">possible</w:t>
      </w:r>
      <w:r>
        <w:t xml:space="preserve">, and the reviewer to have recorded</w:t>
      </w:r>
      <w:r>
        <w:t xml:space="preserve"> </w:t>
      </w:r>
      <w:r>
        <w:rPr>
          <w:rStyle w:val="VerbatimChar"/>
        </w:rPr>
        <w:t xml:space="preserve">skip</w:t>
      </w:r>
      <w:r>
        <w:t xml:space="preserve">. Every unresolved abstract is exactly that combination: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Algorithm classification</w:t>
            </w:r>
          </w:p>
        </w:tc>
        <w:tc>
          <w:tcPr/>
          <w:p>
            <w:pPr>
              <w:pStyle w:val="Compact"/>
              <w:jc w:val="left"/>
            </w:pPr>
            <w:r>
              <w:t xml:space="preserve">Reviewer decision</w:t>
            </w:r>
          </w:p>
        </w:tc>
        <w:tc>
          <w:tcPr/>
          <w:p>
            <w:pPr>
              <w:pStyle w:val="Compact"/>
              <w:jc w:val="right"/>
            </w:pPr>
            <w:r>
              <w:t xml:space="preserve">n</w:t>
            </w:r>
          </w:p>
        </w:tc>
      </w:tr>
      <w:tr>
        <w:tc>
          <w:tcPr/>
          <w:p>
            <w:pPr>
              <w:pStyle w:val="Compact"/>
              <w:jc w:val="left"/>
            </w:pPr>
            <w:r>
              <w:t xml:space="preserve">probable</w:t>
            </w:r>
          </w:p>
        </w:tc>
        <w:tc>
          <w:tcPr/>
          <w:p>
            <w:pPr>
              <w:pStyle w:val="Compact"/>
              <w:jc w:val="left"/>
            </w:pPr>
            <w:r>
              <w:t xml:space="preserve">skip</w:t>
            </w:r>
          </w:p>
        </w:tc>
        <w:tc>
          <w:tcPr/>
          <w:p>
            <w:pPr>
              <w:pStyle w:val="Compact"/>
              <w:jc w:val="right"/>
            </w:pPr>
            <w:r>
              <w:t xml:space="preserve">31</w:t>
            </w:r>
          </w:p>
        </w:tc>
      </w:tr>
      <w:tr>
        <w:tc>
          <w:tcPr/>
          <w:p>
            <w:pPr>
              <w:pStyle w:val="Compact"/>
              <w:jc w:val="left"/>
            </w:pPr>
            <w:r>
              <w:t xml:space="preserve">possible</w:t>
            </w:r>
          </w:p>
        </w:tc>
        <w:tc>
          <w:tcPr/>
          <w:p>
            <w:pPr>
              <w:pStyle w:val="Compact"/>
              <w:jc w:val="left"/>
            </w:pPr>
            <w:r>
              <w:t xml:space="preserve">skip</w:t>
            </w:r>
          </w:p>
        </w:tc>
        <w:tc>
          <w:tcPr/>
          <w:p>
            <w:pPr>
              <w:pStyle w:val="Compact"/>
              <w:jc w:val="right"/>
            </w:pPr>
            <w:r>
              <w:t xml:space="preserve">24</w:t>
            </w:r>
          </w:p>
        </w:tc>
      </w:tr>
    </w:tbl>
    <w:p>
      <w:pPr>
        <w:pStyle w:val="BodyText"/>
      </w:pPr>
      <w:r>
        <w:t xml:space="preserve">These are not unreviewable records. They are cases where the algorithm found a plausible but not certain candidate and the reviewer passed. They require adjudication, not a methodological ruling.</w:t>
      </w:r>
      <w:r>
        <w:t xml:space="preserve"> </w:t>
      </w:r>
      <w:r>
        <w:rPr>
          <w:rStyle w:val="VerbatimChar"/>
        </w:rPr>
        <w:t xml:space="preserve">R/06_analyze_results.R:72</w:t>
      </w:r>
      <w:r>
        <w:t xml:space="preserve"> </w:t>
      </w:r>
      <w:r>
        <w:t xml:space="preserve">then removes them with</w:t>
      </w:r>
      <w:r>
        <w:t xml:space="preserve"> </w:t>
      </w:r>
      <w:r>
        <w:rPr>
          <w:rStyle w:val="VerbatimChar"/>
        </w:rPr>
        <w:t xml:space="preserve">n_evaluated &lt;- n_total - n_pending</w:t>
      </w:r>
      <w:r>
        <w:t xml:space="preserve">, so they leave the denominator silently.</w:t>
      </w:r>
    </w:p>
    <w:bookmarkEnd w:id="176"/>
    <w:bookmarkStart w:id="177" w:name="Xe7d54d09e7fb3066dc4d00ae0c7400eb2082aef"/>
    <w:p>
      <w:pPr>
        <w:pStyle w:val="Heading3"/>
      </w:pPr>
      <w:r>
        <w:t xml:space="preserve">A13.3 Reviewer skips are not the same population as unresolved abstracts</w:t>
      </w:r>
    </w:p>
    <w:p>
      <w:pPr>
        <w:pStyle w:val="FirstParagraph"/>
      </w:pPr>
      <w:r>
        <w:t xml:space="preserve">212 abstracts carry</w:t>
      </w:r>
      <w:r>
        <w:t xml:space="preserve"> </w:t>
      </w:r>
      <w:r>
        <w:rPr>
          <w:rStyle w:val="VerbatimChar"/>
        </w:rPr>
        <w:t xml:space="preserve">manual_decision == "skip"</w:t>
      </w:r>
      <w:r>
        <w:t xml:space="preserve">, but only 55 reach</w:t>
      </w:r>
      <w:r>
        <w:t xml:space="preserve"> </w:t>
      </w:r>
      <w:r>
        <w:rPr>
          <w:rStyle w:val="VerbatimChar"/>
        </w:rPr>
        <w:t xml:space="preserve">NA</w:t>
      </w:r>
      <w:r>
        <w:t xml:space="preserve">. The cascade resolves the rest before the fall-through: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 under a reviewer skip</w:t>
            </w:r>
          </w:p>
        </w:tc>
        <w:tc>
          <w:tcPr/>
          <w:p>
            <w:pPr>
              <w:pStyle w:val="Compact"/>
              <w:jc w:val="right"/>
            </w:pPr>
            <w:r>
              <w:t xml:space="preserve">n</w:t>
            </w:r>
          </w:p>
        </w:tc>
        <w:tc>
          <w:tcPr/>
          <w:p>
            <w:pPr>
              <w:pStyle w:val="Compact"/>
              <w:jc w:val="left"/>
            </w:pPr>
            <w:r>
              <w:t xml:space="preserve">Resulting final_published</w:t>
            </w:r>
          </w:p>
        </w:tc>
      </w:tr>
      <w:tr>
        <w:tc>
          <w:tcPr/>
          <w:p>
            <w:pPr>
              <w:pStyle w:val="Compact"/>
              <w:jc w:val="left"/>
            </w:pPr>
            <w:r>
              <w:t xml:space="preserve">no_match</w:t>
            </w:r>
          </w:p>
        </w:tc>
        <w:tc>
          <w:tcPr/>
          <w:p>
            <w:pPr>
              <w:pStyle w:val="Compact"/>
              <w:jc w:val="right"/>
            </w:pPr>
            <w:r>
              <w:t xml:space="preserve">111</w:t>
            </w:r>
          </w:p>
        </w:tc>
        <w:tc>
          <w:tcPr/>
          <w:p>
            <w:pPr>
              <w:pStyle w:val="Compact"/>
              <w:jc w:val="left"/>
            </w:pPr>
            <w:r>
              <w:t xml:space="preserve">FALSE (branch 4)</w:t>
            </w:r>
          </w:p>
        </w:tc>
      </w:tr>
      <w:tr>
        <w:tc>
          <w:tcPr/>
          <w:p>
            <w:pPr>
              <w:pStyle w:val="Compact"/>
              <w:jc w:val="left"/>
            </w:pPr>
            <w:r>
              <w:t xml:space="preserve">definite</w:t>
            </w:r>
          </w:p>
        </w:tc>
        <w:tc>
          <w:tcPr/>
          <w:p>
            <w:pPr>
              <w:pStyle w:val="Compact"/>
              <w:jc w:val="right"/>
            </w:pPr>
            <w:r>
              <w:t xml:space="preserve">44</w:t>
            </w:r>
          </w:p>
        </w:tc>
        <w:tc>
          <w:tcPr/>
          <w:p>
            <w:pPr>
              <w:pStyle w:val="Compact"/>
              <w:jc w:val="left"/>
            </w:pPr>
            <w:r>
              <w:t xml:space="preserve">TRUE (branch 1)</w:t>
            </w:r>
          </w:p>
        </w:tc>
      </w:tr>
      <w:tr>
        <w:tc>
          <w:tcPr/>
          <w:p>
            <w:pPr>
              <w:pStyle w:val="Compact"/>
              <w:jc w:val="left"/>
            </w:pPr>
            <w:r>
              <w:t xml:space="preserve">probable</w:t>
            </w:r>
          </w:p>
        </w:tc>
        <w:tc>
          <w:tcPr/>
          <w:p>
            <w:pPr>
              <w:pStyle w:val="Compact"/>
              <w:jc w:val="right"/>
            </w:pPr>
            <w:r>
              <w:t xml:space="preserve">31</w:t>
            </w:r>
          </w:p>
        </w:tc>
        <w:tc>
          <w:tcPr/>
          <w:p>
            <w:pPr>
              <w:pStyle w:val="Compact"/>
              <w:jc w:val="left"/>
            </w:pPr>
            <w:r>
              <w:t xml:space="preserve">NA (fall-through)</w:t>
            </w:r>
          </w:p>
        </w:tc>
      </w:tr>
      <w:tr>
        <w:tc>
          <w:tcPr/>
          <w:p>
            <w:pPr>
              <w:pStyle w:val="Compact"/>
              <w:jc w:val="left"/>
            </w:pPr>
            <w:r>
              <w:t xml:space="preserve">possible</w:t>
            </w:r>
          </w:p>
        </w:tc>
        <w:tc>
          <w:tcPr/>
          <w:p>
            <w:pPr>
              <w:pStyle w:val="Compact"/>
              <w:jc w:val="right"/>
            </w:pPr>
            <w:r>
              <w:t xml:space="preserve">24</w:t>
            </w:r>
          </w:p>
        </w:tc>
        <w:tc>
          <w:tcPr/>
          <w:p>
            <w:pPr>
              <w:pStyle w:val="Compact"/>
              <w:jc w:val="left"/>
            </w:pPr>
            <w:r>
              <w:t xml:space="preserve">NA (fall-through)</w:t>
            </w:r>
          </w:p>
        </w:tc>
      </w:tr>
      <w:tr>
        <w:tc>
          <w:tcPr/>
          <w:p>
            <w:pPr>
              <w:pStyle w:val="Compact"/>
              <w:jc w:val="left"/>
            </w:pPr>
            <w:r>
              <w:t xml:space="preserve">excluded</w:t>
            </w:r>
          </w:p>
        </w:tc>
        <w:tc>
          <w:tcPr/>
          <w:p>
            <w:pPr>
              <w:pStyle w:val="Compact"/>
              <w:jc w:val="right"/>
            </w:pPr>
            <w:r>
              <w:t xml:space="preserve">2</w:t>
            </w:r>
          </w:p>
        </w:tc>
        <w:tc>
          <w:tcPr/>
          <w:p>
            <w:pPr>
              <w:pStyle w:val="Compact"/>
              <w:jc w:val="left"/>
            </w:pPr>
            <w:r>
              <w:t xml:space="preserve">FALSE (branch 4)</w:t>
            </w:r>
          </w:p>
        </w:tc>
      </w:tr>
    </w:tbl>
    <w:p>
      <w:pPr>
        <w:pStyle w:val="BodyText"/>
      </w:pPr>
      <w:r>
        <w:t xml:space="preserve">This distinction matters for any statement about where review effort stalled. The 212 skips concentrate heavily in the 2019 through 2021 congresses; the 55 unresolved abstracts are spread across nine congress years and do not show the same pattern. Describing the unresolved set as a stalled recent review batch is not supported by the data.</w:t>
      </w:r>
    </w:p>
    <w:bookmarkEnd w:id="177"/>
    <w:bookmarkStart w:id="178" w:name="X66936839bf128518e19a110eff2bddaa5f5619e"/>
    <w:p>
      <w:pPr>
        <w:pStyle w:val="Heading3"/>
      </w:pPr>
      <w:r>
        <w:t xml:space="preserve">A13.4 Reviewer skips overridden in one direction only</w:t>
      </w:r>
    </w:p>
    <w:p>
      <w:pPr>
        <w:pStyle w:val="FirstParagraph"/>
      </w:pPr>
      <w:r>
        <w:t xml:space="preserve">Branch 1 is evaluated before any reviewer decision. An abstract classified</w:t>
      </w:r>
      <w:r>
        <w:t xml:space="preserve"> </w:t>
      </w:r>
      <w:r>
        <w:rPr>
          <w:rStyle w:val="VerbatimChar"/>
        </w:rPr>
        <w:t xml:space="preserve">definite</w:t>
      </w:r>
      <w:r>
        <w:t xml:space="preserve"> </w:t>
      </w:r>
      <w:r>
        <w:t xml:space="preserve">is therefore recorded as published even when the reviewer declined to rule on it. This affects 44 abstracts.</w:t>
      </w:r>
    </w:p>
    <w:p>
      <w:pPr>
        <w:pStyle w:val="BodyText"/>
      </w:pPr>
      <w:r>
        <w:t xml:space="preserve">The asymmetry is the concern rather than the count. A skip on a</w:t>
      </w:r>
      <w:r>
        <w:t xml:space="preserve"> </w:t>
      </w:r>
      <w:r>
        <w:rPr>
          <w:rStyle w:val="VerbatimChar"/>
        </w:rPr>
        <w:t xml:space="preserve">definite</w:t>
      </w:r>
      <w:r>
        <w:t xml:space="preserve"> </w:t>
      </w:r>
      <w:r>
        <w:t xml:space="preserve">candidate is overridden toward published, while a skip on a</w:t>
      </w:r>
      <w:r>
        <w:t xml:space="preserve"> </w:t>
      </w:r>
      <w:r>
        <w:rPr>
          <w:rStyle w:val="VerbatimChar"/>
        </w:rPr>
        <w:t xml:space="preserve">probable</w:t>
      </w:r>
      <w:r>
        <w:t xml:space="preserve"> </w:t>
      </w:r>
      <w:r>
        <w:t xml:space="preserve">or</w:t>
      </w:r>
      <w:r>
        <w:t xml:space="preserve"> </w:t>
      </w:r>
      <w:r>
        <w:rPr>
          <w:rStyle w:val="VerbatimChar"/>
        </w:rPr>
        <w:t xml:space="preserve">possible</w:t>
      </w:r>
      <w:r>
        <w:t xml:space="preserve"> </w:t>
      </w:r>
      <w:r>
        <w:t xml:space="preserve">candidate is not overridden at all and instead leaves the denominator. The same reviewer action produces opposite consequences depending on a classification the reviewer was in the act of declining to endorse.</w:t>
      </w:r>
    </w:p>
    <w:p>
      <w:pPr>
        <w:pStyle w:val="BodyText"/>
      </w:pPr>
      <w:r>
        <w:t xml:space="preserve">Reordering the cascade so that reviewer decisions precede algorithmic classification would resolve this, at the cost of moving 44 abstracts from published into unresolved. That change has not been made, and either ordering is defensible provided the manuscript states which one is in force.</w:t>
      </w:r>
    </w:p>
    <w:bookmarkEnd w:id="178"/>
    <w:bookmarkStart w:id="179" w:name="Xc6f557b10d91a1a1873a0575d44b42a3a8a82bf"/>
    <w:p>
      <w:pPr>
        <w:pStyle w:val="Heading3"/>
      </w:pPr>
      <w:r>
        <w:t xml:space="preserve">A13.5 The exported rate cannot be reconstructed from the exported counts</w:t>
      </w:r>
    </w:p>
    <w:p>
      <w:pPr>
        <w:pStyle w:val="FirstParagraph"/>
      </w:pPr>
      <w:r>
        <w:rPr>
          <w:rStyle w:val="VerbatimChar"/>
        </w:rPr>
        <w:t xml:space="preserve">output/aim1_publication_rate.csv</w:t>
      </w:r>
      <w:r>
        <w:t xml:space="preserve"> </w:t>
      </w:r>
      <w:r>
        <w:t xml:space="preserve">reports</w:t>
      </w:r>
      <w:r>
        <w:t xml:space="preserve"> </w:t>
      </w:r>
      <w:r>
        <w:rPr>
          <w:rStyle w:val="VerbatimChar"/>
        </w:rPr>
        <w:t xml:space="preserve">total_abstracts</w:t>
      </w:r>
      <w:r>
        <w:t xml:space="preserve"> </w:t>
      </w:r>
      <w:r>
        <w:t xml:space="preserve">= 1,106 alongside</w:t>
      </w:r>
      <w:r>
        <w:t xml:space="preserve"> </w:t>
      </w:r>
      <w:r>
        <w:rPr>
          <w:rStyle w:val="VerbatimChar"/>
        </w:rPr>
        <w:t xml:space="preserve">publication_rate</w:t>
      </w:r>
      <w:r>
        <w:t xml:space="preserve"> </w:t>
      </w:r>
      <w:r>
        <w:t xml:space="preserve">= 16.2, but the rate is computed on 1,051. A reader dividing the published count by the stated total obtains 15.4%, not 16.2%. The 95% confidence interval is likewise computed on 1,051.</w:t>
      </w:r>
    </w:p>
    <w:p>
      <w:pPr>
        <w:pStyle w:val="BodyText"/>
      </w:pPr>
      <w:r>
        <w:t xml:space="preserve">No row of the exported table states the denominator. The file should carry</w:t>
      </w:r>
      <w:r>
        <w:t xml:space="preserve"> </w:t>
      </w:r>
      <w:r>
        <w:rPr>
          <w:rStyle w:val="VerbatimChar"/>
        </w:rPr>
        <w:t xml:space="preserve">n_evaluated</w:t>
      </w:r>
      <w:r>
        <w:t xml:space="preserve"> </w:t>
      </w:r>
      <w:r>
        <w:t xml:space="preserve">explicitly, and the manuscript should report the cohort and the denominator as separate quantities.</w:t>
      </w:r>
    </w:p>
    <w:bookmarkEnd w:id="179"/>
    <w:bookmarkStart w:id="180" w:name="Xd523eef7e6828c64d776d46d5f742a778b8dd66"/>
    <w:p>
      <w:pPr>
        <w:pStyle w:val="Heading3"/>
      </w:pPr>
      <w:r>
        <w:t xml:space="preserve">A13.6 Candidates dated before the congress require two further corrections</w:t>
      </w:r>
    </w:p>
    <w:p>
      <w:pPr>
        <w:pStyle w:val="FirstParagraph"/>
      </w:pPr>
      <w:r>
        <w:t xml:space="preserve">A12.7 restored the 39 abstracts whose best candidate predates the conference. Auditing that set against PubMed shows that 10 of the 39 are misclassified, for two distinct reasons.</w:t>
      </w:r>
    </w:p>
    <w:p>
      <w:pPr>
        <w:pStyle w:val="BodyText"/>
      </w:pPr>
      <w:r>
        <w:rPr>
          <w:b/>
          <w:bCs/>
        </w:rPr>
        <w:t xml:space="preserve">Six matched the AAGL abstract supplement itself.</w:t>
      </w:r>
      <w:r>
        <w:t xml:space="preserve"> </w:t>
      </w:r>
      <w:r>
        <w:t xml:space="preserve">All six are 2015 abstracts matched to</w:t>
      </w:r>
      <w:r>
        <w:t xml:space="preserve"> </w:t>
      </w:r>
      <w:r>
        <w:rPr>
          <w:i/>
          <w:iCs/>
        </w:rPr>
        <w:t xml:space="preserve">Journal of Minimally Invasive Gynecology</w:t>
      </w:r>
      <w:r>
        <w:t xml:space="preserve"> </w:t>
      </w:r>
      <w:r>
        <w:t xml:space="preserve">volume 22, issue 6S, at supplement pagination: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PMID</w:t>
            </w:r>
          </w:p>
        </w:tc>
        <w:tc>
          <w:tcPr/>
          <w:p>
            <w:pPr>
              <w:pStyle w:val="Compact"/>
            </w:pPr>
            <w:r>
              <w:t xml:space="preserve">Pages</w:t>
            </w:r>
          </w:p>
        </w:tc>
        <w:tc>
          <w:tcPr/>
          <w:p>
            <w:pPr>
              <w:pStyle w:val="Compact"/>
            </w:pPr>
            <w:r>
              <w:t xml:space="preserve">PMID</w:t>
            </w:r>
          </w:p>
        </w:tc>
        <w:tc>
          <w:tcPr/>
          <w:p>
            <w:pPr>
              <w:pStyle w:val="Compact"/>
            </w:pPr>
            <w:r>
              <w:t xml:space="preserve">Pages</w:t>
            </w:r>
          </w:p>
        </w:tc>
      </w:tr>
      <w:tr>
        <w:tc>
          <w:tcPr/>
          <w:p>
            <w:pPr>
              <w:pStyle w:val="Compact"/>
            </w:pPr>
            <w:r>
              <w:t xml:space="preserve">27679343</w:t>
            </w:r>
          </w:p>
        </w:tc>
        <w:tc>
          <w:tcPr/>
          <w:p>
            <w:pPr>
              <w:pStyle w:val="Compact"/>
            </w:pPr>
            <w:r>
              <w:t xml:space="preserve">S8-S9</w:t>
            </w:r>
          </w:p>
        </w:tc>
        <w:tc>
          <w:tcPr/>
          <w:p>
            <w:pPr>
              <w:pStyle w:val="Compact"/>
            </w:pPr>
            <w:r>
              <w:t xml:space="preserve">27679061</w:t>
            </w:r>
          </w:p>
        </w:tc>
        <w:tc>
          <w:tcPr/>
          <w:p>
            <w:pPr>
              <w:pStyle w:val="Compact"/>
            </w:pPr>
            <w:r>
              <w:t xml:space="preserve">S21</w:t>
            </w:r>
          </w:p>
        </w:tc>
      </w:tr>
      <w:tr>
        <w:tc>
          <w:tcPr/>
          <w:p>
            <w:pPr>
              <w:pStyle w:val="Compact"/>
            </w:pPr>
            <w:r>
              <w:t xml:space="preserve">27678765</w:t>
            </w:r>
          </w:p>
        </w:tc>
        <w:tc>
          <w:tcPr/>
          <w:p>
            <w:pPr>
              <w:pStyle w:val="Compact"/>
            </w:pPr>
            <w:r>
              <w:t xml:space="preserve">S14</w:t>
            </w:r>
          </w:p>
        </w:tc>
        <w:tc>
          <w:tcPr/>
          <w:p>
            <w:pPr>
              <w:pStyle w:val="Compact"/>
            </w:pPr>
            <w:r>
              <w:t xml:space="preserve">27679183</w:t>
            </w:r>
          </w:p>
        </w:tc>
        <w:tc>
          <w:tcPr/>
          <w:p>
            <w:pPr>
              <w:pStyle w:val="Compact"/>
            </w:pPr>
            <w:r>
              <w:t xml:space="preserve">S25</w:t>
            </w:r>
          </w:p>
        </w:tc>
      </w:tr>
      <w:tr>
        <w:tc>
          <w:tcPr/>
          <w:p>
            <w:pPr>
              <w:pStyle w:val="Compact"/>
            </w:pPr>
            <w:r>
              <w:t xml:space="preserve">27678766</w:t>
            </w:r>
          </w:p>
        </w:tc>
        <w:tc>
          <w:tcPr/>
          <w:p>
            <w:pPr>
              <w:pStyle w:val="Compact"/>
            </w:pPr>
            <w:r>
              <w:t xml:space="preserve">S14</w:t>
            </w:r>
          </w:p>
        </w:tc>
        <w:tc>
          <w:tcPr/>
          <w:p>
            <w:pPr>
              <w:pStyle w:val="Compact"/>
            </w:pPr>
            <w:r>
              <w:t xml:space="preserve">27679222</w:t>
            </w:r>
          </w:p>
        </w:tc>
        <w:tc>
          <w:tcPr/>
          <w:p>
            <w:pPr>
              <w:pStyle w:val="Compact"/>
            </w:pPr>
            <w:r>
              <w:t xml:space="preserve">S37</w:t>
            </w:r>
          </w:p>
        </w:tc>
      </w:tr>
    </w:tbl>
    <w:p>
      <w:pPr>
        <w:pStyle w:val="BodyText"/>
      </w:pPr>
      <w:r>
        <w:t xml:space="preserve">That issue is the 2015 congress supplement, which is the source document the pipeline scrapes. Each abstract was matched to its own PubMed listing and then classified pre-conference because the supplement posted online roughly one month before the meeting. A12.3 narrowed an over-broad JMIG supplement filter; these cases show the narrowed filter now admits genuine self-matches. A candidate whose journal, volume, and supplement pagination correspond to the source congress must be rejected before scoring.</w:t>
      </w:r>
    </w:p>
    <w:p>
      <w:pPr>
        <w:pStyle w:val="BodyText"/>
      </w:pPr>
      <w:r>
        <w:rPr>
          <w:b/>
          <w:bCs/>
        </w:rPr>
        <w:t xml:space="preserve">Two were published after the congress.</w:t>
      </w:r>
      <w:r>
        <w:t xml:space="preserve"> </w:t>
      </w:r>
      <w:r>
        <w:t xml:space="preserve">PMID 29318153 has an</w:t>
      </w:r>
      <w:r>
        <w:t xml:space="preserve"> </w:t>
      </w:r>
      <w:r>
        <w:rPr>
          <w:rStyle w:val="VerbatimChar"/>
        </w:rPr>
        <w:t xml:space="preserve">ArticleDate</w:t>
      </w:r>
      <w:r>
        <w:t xml:space="preserve"> </w:t>
      </w:r>
      <w:r>
        <w:t xml:space="preserve">of 2017-11-29 against a congress date of 2017-11-12, and PMID 33294577 has 2020-11-10 against 2020-11-07. Both carry a coarse</w:t>
      </w:r>
      <w:r>
        <w:t xml:space="preserve"> </w:t>
      </w:r>
      <w:r>
        <w:rPr>
          <w:rStyle w:val="VerbatimChar"/>
        </w:rPr>
        <w:t xml:space="preserve">JournalIssue/PubDate</w:t>
      </w:r>
      <w:r>
        <w:t xml:space="preserve"> </w:t>
      </w:r>
      <w:r>
        <w:t xml:space="preserve">(</w:t>
      </w:r>
      <w:r>
        <w:rPr>
          <w:rStyle w:val="VerbatimChar"/>
        </w:rPr>
        <w:t xml:space="preserve">2017</w:t>
      </w:r>
      <w:r>
        <w:t xml:space="preserve"> </w:t>
      </w:r>
      <w:r>
        <w:t xml:space="preserve">and</w:t>
      </w:r>
      <w:r>
        <w:t xml:space="preserve"> </w:t>
      </w:r>
      <w:r>
        <w:rPr>
          <w:rStyle w:val="VerbatimChar"/>
        </w:rPr>
        <w:t xml:space="preserve">2020 Nov</w:t>
      </w:r>
      <w:r>
        <w:t xml:space="preserve"> </w:t>
      </w:r>
      <w:r>
        <w:t xml:space="preserve">respectively), which the scorer resolves to January 1 and to the first of the month, placing them before the congress. Eleven of the 39 carry year-only publication dates, so the exposure is broader than these two cases. Preferring</w:t>
      </w:r>
      <w:r>
        <w:t xml:space="preserve"> </w:t>
      </w:r>
      <w:r>
        <w:rPr>
          <w:rStyle w:val="VerbatimChar"/>
        </w:rPr>
        <w:t xml:space="preserve">ArticleDate</w:t>
      </w:r>
      <w:r>
        <w:t xml:space="preserve"> </w:t>
      </w:r>
      <w:r>
        <w:t xml:space="preserve">when present would correct it. Both are conversions with unusually short intervals and belong in the numerator.</w:t>
      </w:r>
    </w:p>
    <w:p>
      <w:pPr>
        <w:pStyle w:val="BodyText"/>
      </w:pPr>
      <w:r>
        <w:rPr>
          <w:b/>
          <w:bCs/>
        </w:rPr>
        <w:t xml:space="preserve">Two are scoring false positives</w:t>
      </w:r>
      <w:r>
        <w:t xml:space="preserve"> </w:t>
      </w:r>
      <w:r>
        <w:t xml:space="preserve">unrelated to dating. A 2019 abstract on laparoscopic relocation of the ovaries was matched to a paper on patient-reported outcome measures in benign gynecologic surgery, and a 2017 abstract was matched to a record PubMed types as an educational video, a category excluded at parsing.</w:t>
      </w:r>
    </w:p>
    <w:p>
      <w:pPr>
        <w:pStyle w:val="BodyText"/>
      </w:pPr>
      <w:r>
        <w:t xml:space="preserve">Twenty-nine of the 39 are genuine pre-congress publications. Their interval between publication and congress is informative for the open question A12.7 left unsettled: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Interval before congress</w:t>
            </w:r>
          </w:p>
        </w:tc>
        <w:tc>
          <w:tcPr/>
          <w:p>
            <w:pPr>
              <w:pStyle w:val="Compact"/>
            </w:pPr>
            <w:r>
              <w:t xml:space="preserve">n</w:t>
            </w:r>
          </w:p>
        </w:tc>
      </w:tr>
      <w:tr>
        <w:tc>
          <w:tcPr/>
          <w:p>
            <w:pPr>
              <w:pStyle w:val="Compact"/>
            </w:pPr>
            <w:r>
              <w:t xml:space="preserve">0 to 6 months</w:t>
            </w:r>
          </w:p>
        </w:tc>
        <w:tc>
          <w:tcPr/>
          <w:p>
            <w:pPr>
              <w:pStyle w:val="Compact"/>
            </w:pPr>
            <w:r>
              <w:t xml:space="preserve">14</w:t>
            </w:r>
          </w:p>
        </w:tc>
      </w:tr>
      <w:tr>
        <w:tc>
          <w:tcPr/>
          <w:p>
            <w:pPr>
              <w:pStyle w:val="Compact"/>
            </w:pPr>
            <w:r>
              <w:t xml:space="preserve">6 to 12 months</w:t>
            </w:r>
          </w:p>
        </w:tc>
        <w:tc>
          <w:tcPr/>
          <w:p>
            <w:pPr>
              <w:pStyle w:val="Compact"/>
            </w:pPr>
            <w:r>
              <w:t xml:space="preserve">8</w:t>
            </w:r>
          </w:p>
        </w:tc>
      </w:tr>
      <w:tr>
        <w:tc>
          <w:tcPr/>
          <w:p>
            <w:pPr>
              <w:pStyle w:val="Compact"/>
            </w:pPr>
            <w:r>
              <w:t xml:space="preserve">12 to 24 months</w:t>
            </w:r>
          </w:p>
        </w:tc>
        <w:tc>
          <w:tcPr/>
          <w:p>
            <w:pPr>
              <w:pStyle w:val="Compact"/>
            </w:pPr>
            <w:r>
              <w:t xml:space="preserve">6</w:t>
            </w:r>
          </w:p>
        </w:tc>
      </w:tr>
      <w:tr>
        <w:tc>
          <w:tcPr/>
          <w:p>
            <w:pPr>
              <w:pStyle w:val="Compact"/>
            </w:pPr>
            <w:r>
              <w:t xml:space="preserve">More than 24 months</w:t>
            </w:r>
          </w:p>
        </w:tc>
        <w:tc>
          <w:tcPr/>
          <w:p>
            <w:pPr>
              <w:pStyle w:val="Compact"/>
            </w:pPr>
            <w:r>
              <w:t xml:space="preserve">1</w:t>
            </w:r>
          </w:p>
        </w:tc>
      </w:tr>
    </w:tbl>
    <w:p>
      <w:pPr>
        <w:pStyle w:val="BodyText"/>
      </w:pPr>
      <w:r>
        <w:t xml:space="preserve">AAGL abstract submission for a November congress closes in the spring. A paper appearing within roughly six months of the meeting was therefore plausibly still in press at submission, which is the ordinary sequence for a conference presentation rather than evidence of a pre-existing publication. Papers appearing earlier were already in print when the abstract was submitted. The four human-adjudicated matches identified in A12.7 all fall between 5.1 and 6.5 months before their congress, consistent with online-first publication ahead of the meeting.</w:t>
      </w:r>
    </w:p>
    <w:p>
      <w:pPr>
        <w:pStyle w:val="BodyText"/>
      </w:pPr>
      <w:r>
        <w:t xml:space="preserve">The exact submission deadline for each congress is not recorded in</w:t>
      </w:r>
      <w:r>
        <w:t xml:space="preserve"> </w:t>
      </w:r>
      <w:r>
        <w:rPr>
          <w:rStyle w:val="VerbatimChar"/>
        </w:rPr>
        <w:t xml:space="preserve">config.yml</w:t>
      </w:r>
      <w:r>
        <w:t xml:space="preserve"> </w:t>
      </w:r>
      <w:r>
        <w:t xml:space="preserve">and has not been verified. The six-month boundary above is an assumption, not a validated cutpoint, and the manuscript should state whichever rule is adopted explicitly.</w:t>
      </w:r>
    </w:p>
    <w:bookmarkEnd w:id="180"/>
    <w:bookmarkStart w:id="181" w:name="Xfe60afafdb930e89bfc144c42546b6e47dfb735"/>
    <w:p>
      <w:pPr>
        <w:pStyle w:val="Heading3"/>
      </w:pPr>
      <w:r>
        <w:t xml:space="preserve">A13.7 Effect of the outstanding decisions on the denominator</w:t>
      </w:r>
    </w:p>
    <w:p>
      <w:pPr>
        <w:pStyle w:val="FirstParagraph"/>
      </w:pPr>
      <w:r>
        <w:t xml:space="preserve">Two decisions remain open. Their combinations span the following: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Treatment of the 55 unresolved</w:t>
            </w:r>
          </w:p>
        </w:tc>
        <w:tc>
          <w:tcPr/>
          <w:p>
            <w:pPr>
              <w:pStyle w:val="Compact"/>
            </w:pPr>
            <w:r>
              <w:t xml:space="preserve">Pre-congress abstracts</w:t>
            </w:r>
          </w:p>
        </w:tc>
        <w:tc>
          <w:tcPr/>
          <w:p>
            <w:pPr>
              <w:pStyle w:val="Compact"/>
            </w:pPr>
            <w:r>
              <w:t xml:space="preserve">Denominator</w:t>
            </w:r>
          </w:p>
        </w:tc>
        <w:tc>
          <w:tcPr/>
          <w:p>
            <w:pPr>
              <w:pStyle w:val="Compact"/>
            </w:pPr>
            <w:r>
              <w:t xml:space="preserve">Rate</w:t>
            </w:r>
          </w:p>
        </w:tc>
      </w:tr>
      <w:tr>
        <w:tc>
          <w:tcPr/>
          <w:p>
            <w:pPr>
              <w:pStyle w:val="Compact"/>
            </w:pPr>
            <w:r>
              <w:t xml:space="preserve">Dropped (current)</w:t>
            </w:r>
          </w:p>
        </w:tc>
        <w:tc>
          <w:tcPr/>
          <w:p>
            <w:pPr>
              <w:pStyle w:val="Compact"/>
            </w:pPr>
            <w:r>
              <w:t xml:space="preserve">Retained</w:t>
            </w:r>
          </w:p>
        </w:tc>
        <w:tc>
          <w:tcPr/>
          <w:p>
            <w:pPr>
              <w:pStyle w:val="Compact"/>
            </w:pPr>
            <w:r>
              <w:t xml:space="preserve">1,051</w:t>
            </w:r>
          </w:p>
        </w:tc>
        <w:tc>
          <w:tcPr/>
          <w:p>
            <w:pPr>
              <w:pStyle w:val="Compact"/>
            </w:pPr>
            <w:r>
              <w:t xml:space="preserve">16.2%</w:t>
            </w:r>
          </w:p>
        </w:tc>
      </w:tr>
      <w:tr>
        <w:tc>
          <w:tcPr/>
          <w:p>
            <w:pPr>
              <w:pStyle w:val="Compact"/>
            </w:pPr>
            <w:r>
              <w:t xml:space="preserve">Counted as unpublished</w:t>
            </w:r>
          </w:p>
        </w:tc>
        <w:tc>
          <w:tcPr/>
          <w:p>
            <w:pPr>
              <w:pStyle w:val="Compact"/>
            </w:pPr>
            <w:r>
              <w:t xml:space="preserve">Retained</w:t>
            </w:r>
          </w:p>
        </w:tc>
        <w:tc>
          <w:tcPr/>
          <w:p>
            <w:pPr>
              <w:pStyle w:val="Compact"/>
            </w:pPr>
            <w:r>
              <w:t xml:space="preserve">1,106</w:t>
            </w:r>
          </w:p>
        </w:tc>
        <w:tc>
          <w:tcPr/>
          <w:p>
            <w:pPr>
              <w:pStyle w:val="Compact"/>
            </w:pPr>
            <w:r>
              <w:t xml:space="preserve">15.4%</w:t>
            </w:r>
          </w:p>
        </w:tc>
      </w:tr>
      <w:tr>
        <w:tc>
          <w:tcPr/>
          <w:p>
            <w:pPr>
              <w:pStyle w:val="Compact"/>
            </w:pPr>
            <w:r>
              <w:t xml:space="preserve">Dropped</w:t>
            </w:r>
          </w:p>
        </w:tc>
        <w:tc>
          <w:tcPr/>
          <w:p>
            <w:pPr>
              <w:pStyle w:val="Compact"/>
            </w:pPr>
            <w:r>
              <w:t xml:space="preserve">Removed</w:t>
            </w:r>
          </w:p>
        </w:tc>
        <w:tc>
          <w:tcPr/>
          <w:p>
            <w:pPr>
              <w:pStyle w:val="Compact"/>
            </w:pPr>
            <w:r>
              <w:t xml:space="preserve">1,012</w:t>
            </w:r>
          </w:p>
        </w:tc>
        <w:tc>
          <w:tcPr/>
          <w:p>
            <w:pPr>
              <w:pStyle w:val="Compact"/>
            </w:pPr>
            <w:r>
              <w:t xml:space="preserve">17.2%</w:t>
            </w:r>
          </w:p>
        </w:tc>
      </w:tr>
      <w:tr>
        <w:tc>
          <w:tcPr/>
          <w:p>
            <w:pPr>
              <w:pStyle w:val="Compact"/>
            </w:pPr>
            <w:r>
              <w:t xml:space="preserve">Counted as unpublished</w:t>
            </w:r>
          </w:p>
        </w:tc>
        <w:tc>
          <w:tcPr/>
          <w:p>
            <w:pPr>
              <w:pStyle w:val="Compact"/>
            </w:pPr>
            <w:r>
              <w:t xml:space="preserve">Removed</w:t>
            </w:r>
          </w:p>
        </w:tc>
        <w:tc>
          <w:tcPr/>
          <w:p>
            <w:pPr>
              <w:pStyle w:val="Compact"/>
            </w:pPr>
            <w:r>
              <w:t xml:space="preserve">1,067</w:t>
            </w:r>
          </w:p>
        </w:tc>
        <w:tc>
          <w:tcPr/>
          <w:p>
            <w:pPr>
              <w:pStyle w:val="Compact"/>
            </w:pPr>
            <w:r>
              <w:t xml:space="preserve">16.3%</w:t>
            </w:r>
          </w:p>
        </w:tc>
      </w:tr>
    </w:tbl>
    <w:p>
      <w:pPr>
        <w:pStyle w:val="BodyText"/>
      </w:pPr>
      <w:r>
        <w:t xml:space="preserve">The range is 16.1% to 17.2%. All four are defensible; none can be inferred by a reader from the currently exported numbers. Resolving the 55 by adjudication rather than by rule removes the first dimension entirely, and is the preferred course because those abstracts are reviewable.</w:t>
      </w:r>
    </w:p>
    <w:bookmarkEnd w:id="181"/>
    <w:bookmarkStart w:id="182" w:name="a13.8-limitations"/>
    <w:p>
      <w:pPr>
        <w:pStyle w:val="Heading3"/>
      </w:pPr>
      <w:r>
        <w:t xml:space="preserve">A13.8 Limitations</w:t>
      </w:r>
    </w:p>
    <w:p>
      <w:pPr>
        <w:pStyle w:val="FirstParagraph"/>
      </w:pPr>
      <w:r>
        <w:t xml:space="preserve">The counts in this section describe the pipeline state before the April 2026 matching corrections in A12 were executed against a fresh search. The PubMed candidate pool was last retrieved on 19 April 2026 and the corrections were written on 28 April 2026; all downstream stages have since been regenerated from that pre-correction pool. Every figure in this section will move when the search is re-run, and the year-over-year publication rates in particular should not be interpreted until it is.</w:t>
      </w:r>
    </w:p>
    <w:p>
      <w:pPr>
        <w:pStyle w:val="BodyText"/>
      </w:pPr>
      <w:r>
        <w:t xml:space="preserve">The audit in A13.6 verified publication dates against PubMed for the 39 pre-congress candidates only. The same date-granularity defect may affect candidates elsewhere in the cohort that were not classified</w:t>
      </w:r>
      <w:r>
        <w:t xml:space="preserve"> </w:t>
      </w:r>
      <w:r>
        <w:rPr>
          <w:rStyle w:val="VerbatimChar"/>
        </w:rPr>
        <w:t xml:space="preserve">excluded</w:t>
      </w:r>
      <w:r>
        <w:t xml:space="preserve">, and that has not been quantified.</w:t>
      </w:r>
    </w:p>
    <w:bookmarkEnd w:id="182"/>
    <w:bookmarkEnd w:id="183"/>
    <w:bookmarkStart w:id="187" w:name="Xa5402b9a21ceddc4361c12a648b457b97e3f8c7"/>
    <w:p>
      <w:pPr>
        <w:pStyle w:val="Heading2"/>
      </w:pPr>
      <w:r>
        <w:t xml:space="preserve">A14. Cohort Truncation at Ingestion (verified, not remediated here)</w:t>
      </w:r>
    </w:p>
    <w:p>
      <w:pPr>
        <w:pStyle w:val="FirstParagraph"/>
      </w:pPr>
      <w:r>
        <w:t xml:space="preserve">Sections A12 and A13 document defects in matching, adjudication and reporting.</w:t>
      </w:r>
      <w:r>
        <w:t xml:space="preserve"> </w:t>
      </w:r>
      <w:r>
        <w:t xml:space="preserve">All of them assume the cohort is what it claims to be: the oral presentations of</w:t>
      </w:r>
      <w:r>
        <w:t xml:space="preserve"> </w:t>
      </w:r>
      <w:r>
        <w:t xml:space="preserve">twelve AAGL Global Congresses. That assumption does not hold. This section</w:t>
      </w:r>
      <w:r>
        <w:t xml:space="preserve"> </w:t>
      </w:r>
      <w:r>
        <w:t xml:space="preserve">records an independent verification of the failure catalogued as F1 in</w:t>
      </w:r>
      <w:r>
        <w:t xml:space="preserve"> </w:t>
      </w:r>
      <w:r>
        <w:rPr>
          <w:rStyle w:val="VerbatimChar"/>
        </w:rPr>
        <w:t xml:space="preserve">docs/FAILURE_MODES.md</w:t>
      </w:r>
      <w:r>
        <w:t xml:space="preserve">, and states plainly what it does to the rest of this</w:t>
      </w:r>
      <w:r>
        <w:t xml:space="preserve"> </w:t>
      </w:r>
      <w:r>
        <w:t xml:space="preserve">appendix.</w:t>
      </w:r>
    </w:p>
    <w:bookmarkStart w:id="184" w:name="a14.1-what-was-verified"/>
    <w:p>
      <w:pPr>
        <w:pStyle w:val="Heading3"/>
      </w:pPr>
      <w:r>
        <w:t xml:space="preserve">A14.1 What was verified</w:t>
      </w:r>
    </w:p>
    <w:p>
      <w:pPr>
        <w:pStyle w:val="FirstParagraph"/>
      </w:pPr>
      <w:r>
        <w:rPr>
          <w:rStyle w:val="VerbatimChar"/>
        </w:rPr>
        <w:t xml:space="preserve">R/01b_parse_web.R</w:t>
      </w:r>
      <w:r>
        <w:t xml:space="preserve"> </w:t>
      </w:r>
      <w:r>
        <w:t xml:space="preserve">fetches one issue-listing page per congress from</w:t>
      </w:r>
      <w:r>
        <w:t xml:space="preserve"> </w:t>
      </w:r>
      <w:r>
        <w:t xml:space="preserve">ScienceDirect. The capture stops after roughly one page of results. Two</w:t>
      </w:r>
      <w:r>
        <w:t xml:space="preserve"> </w:t>
      </w:r>
      <w:r>
        <w:t xml:space="preserve">signatures identify this as a page-size limit rather than a real distribution:</w:t>
      </w:r>
      <w:r>
        <w:t xml:space="preserve"> </w:t>
      </w:r>
      <w:r>
        <w:t xml:space="preserve">every congress yields between 93 and 100 presentations, and the 2022 congress</w:t>
      </w:r>
      <w:r>
        <w:t xml:space="preserve"> </w:t>
      </w:r>
      <w:r>
        <w:t xml:space="preserve">yields</w:t>
      </w:r>
      <w:r>
        <w:t xml:space="preserve"> </w:t>
      </w:r>
      <w:r>
        <w:rPr>
          <w:b/>
          <w:bCs/>
        </w:rPr>
        <w:t xml:space="preserve">exactly 100</w:t>
      </w:r>
      <w:r>
        <w:t xml:space="preserve">.</w:t>
      </w:r>
    </w:p>
    <w:p>
      <w:pPr>
        <w:pStyle w:val="BodyText"/>
      </w:pPr>
      <w:r>
        <w:t xml:space="preserve">Each captured set is contiguous from page S1 and stops between S26 and S60. The</w:t>
      </w:r>
      <w:r>
        <w:t xml:space="preserve"> </w:t>
      </w:r>
      <w:r>
        <w:t xml:space="preserve">supplements themselves are far longer. Counts below come from the Crossref REST</w:t>
      </w:r>
      <w:r>
        <w:t xml:space="preserve"> </w:t>
      </w:r>
      <w:r>
        <w:t xml:space="preserve">API for the</w:t>
      </w:r>
      <w:r>
        <w:t xml:space="preserve"> </w:t>
      </w:r>
      <w:r>
        <w:rPr>
          <w:i/>
          <w:iCs/>
        </w:rPr>
        <w:t xml:space="preserve">Journal of Minimally Invasive Gynecology</w:t>
      </w:r>
      <w:r>
        <w:t xml:space="preserve"> </w:t>
      </w:r>
      <w:r>
        <w:t xml:space="preserve">(ISSN 1553-4650),</w:t>
      </w:r>
      <w:r>
        <w:t xml:space="preserve"> </w:t>
      </w:r>
      <w:r>
        <w:t xml:space="preserve">restricted to each congress’s November issue and to records carrying</w:t>
      </w:r>
      <w:r>
        <w:t xml:space="preserve"> </w:t>
      </w:r>
      <w:r>
        <w:rPr>
          <w:rStyle w:val="VerbatimChar"/>
        </w:rPr>
        <w:t xml:space="preserve">S</w:t>
      </w:r>
      <w:r>
        <w:t xml:space="preserve">-prefixed pagination, retrieved 3 September 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Congress</w:t>
            </w:r>
          </w:p>
        </w:tc>
        <w:tc>
          <w:tcPr/>
          <w:p>
            <w:pPr>
              <w:pStyle w:val="Compact"/>
            </w:pPr>
            <w:r>
              <w:t xml:space="preserve">Captured</w:t>
            </w:r>
          </w:p>
        </w:tc>
        <w:tc>
          <w:tcPr/>
          <w:p>
            <w:pPr>
              <w:pStyle w:val="Compact"/>
            </w:pPr>
            <w:r>
              <w:t xml:space="preserve">Last captured page</w:t>
            </w:r>
          </w:p>
        </w:tc>
        <w:tc>
          <w:tcPr/>
          <w:p>
            <w:pPr>
              <w:pStyle w:val="Compact"/>
            </w:pPr>
            <w:r>
              <w:t xml:space="preserve">Supplement items</w:t>
            </w:r>
          </w:p>
        </w:tc>
        <w:tc>
          <w:tcPr/>
          <w:p>
            <w:pPr>
              <w:pStyle w:val="Compact"/>
            </w:pPr>
            <w:r>
              <w:t xml:space="preserve">Supplement extent</w:t>
            </w:r>
          </w:p>
        </w:tc>
      </w:tr>
      <w:tr>
        <w:tc>
          <w:tcPr/>
          <w:p>
            <w:pPr>
              <w:pStyle w:val="Compact"/>
            </w:pPr>
            <w:r>
              <w:t xml:space="preserve">2012</w:t>
            </w:r>
          </w:p>
        </w:tc>
        <w:tc>
          <w:tcPr/>
          <w:p>
            <w:pPr>
              <w:pStyle w:val="Compact"/>
            </w:pPr>
            <w:r>
              <w:t xml:space="preserve">95</w:t>
            </w:r>
          </w:p>
        </w:tc>
        <w:tc>
          <w:tcPr/>
          <w:p>
            <w:pPr>
              <w:pStyle w:val="Compact"/>
            </w:pPr>
            <w:r>
              <w:t xml:space="preserve">S33-S34</w:t>
            </w:r>
          </w:p>
        </w:tc>
        <w:tc>
          <w:tcPr/>
          <w:p>
            <w:pPr>
              <w:pStyle w:val="Compact"/>
            </w:pPr>
            <w:r>
              <w:t xml:space="preserve">663</w:t>
            </w:r>
          </w:p>
        </w:tc>
        <w:tc>
          <w:tcPr/>
          <w:p>
            <w:pPr>
              <w:pStyle w:val="Compact"/>
            </w:pPr>
            <w:r>
              <w:t xml:space="preserve">S1-S191</w:t>
            </w:r>
          </w:p>
        </w:tc>
      </w:tr>
      <w:tr>
        <w:tc>
          <w:tcPr/>
          <w:p>
            <w:pPr>
              <w:pStyle w:val="Compact"/>
            </w:pPr>
            <w:r>
              <w:t xml:space="preserve">2013</w:t>
            </w:r>
          </w:p>
        </w:tc>
        <w:tc>
          <w:tcPr/>
          <w:p>
            <w:pPr>
              <w:pStyle w:val="Compact"/>
            </w:pPr>
            <w:r>
              <w:t xml:space="preserve">96</w:t>
            </w:r>
          </w:p>
        </w:tc>
        <w:tc>
          <w:tcPr/>
          <w:p>
            <w:pPr>
              <w:pStyle w:val="Compact"/>
            </w:pPr>
            <w:r>
              <w:t xml:space="preserve">S31</w:t>
            </w:r>
          </w:p>
        </w:tc>
        <w:tc>
          <w:tcPr/>
          <w:p>
            <w:pPr>
              <w:pStyle w:val="Compact"/>
            </w:pPr>
            <w:r>
              <w:t xml:space="preserve">698</w:t>
            </w:r>
          </w:p>
        </w:tc>
        <w:tc>
          <w:tcPr/>
          <w:p>
            <w:pPr>
              <w:pStyle w:val="Compact"/>
            </w:pPr>
            <w:r>
              <w:t xml:space="preserve">S1-S195</w:t>
            </w:r>
          </w:p>
        </w:tc>
      </w:tr>
      <w:tr>
        <w:tc>
          <w:tcPr/>
          <w:p>
            <w:pPr>
              <w:pStyle w:val="Compact"/>
            </w:pPr>
            <w:r>
              <w:t xml:space="preserve">2014</w:t>
            </w:r>
          </w:p>
        </w:tc>
        <w:tc>
          <w:tcPr/>
          <w:p>
            <w:pPr>
              <w:pStyle w:val="Compact"/>
            </w:pPr>
            <w:r>
              <w:t xml:space="preserve">93</w:t>
            </w:r>
          </w:p>
        </w:tc>
        <w:tc>
          <w:tcPr/>
          <w:p>
            <w:pPr>
              <w:pStyle w:val="Compact"/>
            </w:pPr>
            <w:r>
              <w:t xml:space="preserve">S26</w:t>
            </w:r>
          </w:p>
        </w:tc>
        <w:tc>
          <w:tcPr/>
          <w:p>
            <w:pPr>
              <w:pStyle w:val="Compact"/>
            </w:pPr>
            <w:r>
              <w:t xml:space="preserve">762</w:t>
            </w:r>
          </w:p>
        </w:tc>
        <w:tc>
          <w:tcPr/>
          <w:p>
            <w:pPr>
              <w:pStyle w:val="Compact"/>
            </w:pPr>
            <w:r>
              <w:t xml:space="preserve">S1-S237</w:t>
            </w:r>
          </w:p>
        </w:tc>
      </w:tr>
      <w:tr>
        <w:tc>
          <w:tcPr/>
          <w:p>
            <w:pPr>
              <w:pStyle w:val="Compact"/>
            </w:pPr>
            <w:r>
              <w:t xml:space="preserve">2015</w:t>
            </w:r>
          </w:p>
        </w:tc>
        <w:tc>
          <w:tcPr/>
          <w:p>
            <w:pPr>
              <w:pStyle w:val="Compact"/>
            </w:pPr>
            <w:r>
              <w:t xml:space="preserve">95</w:t>
            </w:r>
          </w:p>
        </w:tc>
        <w:tc>
          <w:tcPr/>
          <w:p>
            <w:pPr>
              <w:pStyle w:val="Compact"/>
            </w:pPr>
            <w:r>
              <w:t xml:space="preserve">S38</w:t>
            </w:r>
          </w:p>
        </w:tc>
        <w:tc>
          <w:tcPr/>
          <w:p>
            <w:pPr>
              <w:pStyle w:val="Compact"/>
            </w:pPr>
            <w:r>
              <w:t xml:space="preserve">852</w:t>
            </w:r>
          </w:p>
        </w:tc>
        <w:tc>
          <w:tcPr/>
          <w:p>
            <w:pPr>
              <w:pStyle w:val="Compact"/>
            </w:pPr>
            <w:r>
              <w:t xml:space="preserve">S1-S262</w:t>
            </w:r>
          </w:p>
        </w:tc>
      </w:tr>
      <w:tr>
        <w:tc>
          <w:tcPr/>
          <w:p>
            <w:pPr>
              <w:pStyle w:val="Compact"/>
            </w:pPr>
            <w:r>
              <w:t xml:space="preserve">2016</w:t>
            </w:r>
          </w:p>
        </w:tc>
        <w:tc>
          <w:tcPr/>
          <w:p>
            <w:pPr>
              <w:pStyle w:val="Compact"/>
            </w:pPr>
            <w:r>
              <w:t xml:space="preserve">96</w:t>
            </w:r>
          </w:p>
        </w:tc>
        <w:tc>
          <w:tcPr/>
          <w:p>
            <w:pPr>
              <w:pStyle w:val="Compact"/>
            </w:pPr>
            <w:r>
              <w:t xml:space="preserve">S40</w:t>
            </w:r>
          </w:p>
        </w:tc>
        <w:tc>
          <w:tcPr/>
          <w:p>
            <w:pPr>
              <w:pStyle w:val="Compact"/>
            </w:pPr>
            <w:r>
              <w:t xml:space="preserve">793</w:t>
            </w:r>
          </w:p>
        </w:tc>
        <w:tc>
          <w:tcPr/>
          <w:p>
            <w:pPr>
              <w:pStyle w:val="Compact"/>
            </w:pPr>
            <w:r>
              <w:t xml:space="preserve">S1-S261</w:t>
            </w:r>
          </w:p>
        </w:tc>
      </w:tr>
      <w:tr>
        <w:tc>
          <w:tcPr/>
          <w:p>
            <w:pPr>
              <w:pStyle w:val="Compact"/>
            </w:pPr>
            <w:r>
              <w:t xml:space="preserve">2017</w:t>
            </w:r>
          </w:p>
        </w:tc>
        <w:tc>
          <w:tcPr/>
          <w:p>
            <w:pPr>
              <w:pStyle w:val="Compact"/>
            </w:pPr>
            <w:r>
              <w:t xml:space="preserve">97</w:t>
            </w:r>
          </w:p>
        </w:tc>
        <w:tc>
          <w:tcPr/>
          <w:p>
            <w:pPr>
              <w:pStyle w:val="Compact"/>
            </w:pPr>
            <w:r>
              <w:t xml:space="preserve">S59-S60</w:t>
            </w:r>
          </w:p>
        </w:tc>
        <w:tc>
          <w:tcPr/>
          <w:p>
            <w:pPr>
              <w:pStyle w:val="Compact"/>
            </w:pPr>
            <w:r>
              <w:t xml:space="preserve">614</w:t>
            </w:r>
          </w:p>
        </w:tc>
        <w:tc>
          <w:tcPr/>
          <w:p>
            <w:pPr>
              <w:pStyle w:val="Compact"/>
            </w:pPr>
            <w:r>
              <w:t xml:space="preserve">S1-S208</w:t>
            </w:r>
          </w:p>
        </w:tc>
      </w:tr>
      <w:tr>
        <w:tc>
          <w:tcPr/>
          <w:p>
            <w:pPr>
              <w:pStyle w:val="Compact"/>
            </w:pPr>
            <w:r>
              <w:t xml:space="preserve">2018</w:t>
            </w:r>
          </w:p>
        </w:tc>
        <w:tc>
          <w:tcPr/>
          <w:p>
            <w:pPr>
              <w:pStyle w:val="Compact"/>
            </w:pPr>
            <w:r>
              <w:t xml:space="preserve">95</w:t>
            </w:r>
          </w:p>
        </w:tc>
        <w:tc>
          <w:tcPr/>
          <w:p>
            <w:pPr>
              <w:pStyle w:val="Compact"/>
            </w:pPr>
            <w:r>
              <w:t xml:space="preserve">S60</w:t>
            </w:r>
          </w:p>
        </w:tc>
        <w:tc>
          <w:tcPr/>
          <w:p>
            <w:pPr>
              <w:pStyle w:val="Compact"/>
            </w:pPr>
            <w:r>
              <w:t xml:space="preserve">745</w:t>
            </w:r>
          </w:p>
        </w:tc>
        <w:tc>
          <w:tcPr/>
          <w:p>
            <w:pPr>
              <w:pStyle w:val="Compact"/>
            </w:pPr>
            <w:r>
              <w:t xml:space="preserve">S1-S286</w:t>
            </w:r>
          </w:p>
        </w:tc>
      </w:tr>
      <w:tr>
        <w:tc>
          <w:tcPr/>
          <w:p>
            <w:pPr>
              <w:pStyle w:val="Compact"/>
            </w:pPr>
            <w:r>
              <w:t xml:space="preserve">2019</w:t>
            </w:r>
          </w:p>
        </w:tc>
        <w:tc>
          <w:tcPr/>
          <w:p>
            <w:pPr>
              <w:pStyle w:val="Compact"/>
            </w:pPr>
            <w:r>
              <w:t xml:space="preserve">96</w:t>
            </w:r>
          </w:p>
        </w:tc>
        <w:tc>
          <w:tcPr/>
          <w:p>
            <w:pPr>
              <w:pStyle w:val="Compact"/>
            </w:pPr>
            <w:r>
              <w:t xml:space="preserve">S30</w:t>
            </w:r>
          </w:p>
        </w:tc>
        <w:tc>
          <w:tcPr/>
          <w:p>
            <w:pPr>
              <w:pStyle w:val="Compact"/>
            </w:pPr>
            <w:r>
              <w:t xml:space="preserve">744</w:t>
            </w:r>
          </w:p>
        </w:tc>
        <w:tc>
          <w:tcPr/>
          <w:p>
            <w:pPr>
              <w:pStyle w:val="Compact"/>
            </w:pPr>
            <w:r>
              <w:t xml:space="preserve">S1-S239</w:t>
            </w:r>
          </w:p>
        </w:tc>
      </w:tr>
      <w:tr>
        <w:tc>
          <w:tcPr/>
          <w:p>
            <w:pPr>
              <w:pStyle w:val="Compact"/>
            </w:pPr>
            <w:r>
              <w:t xml:space="preserve">2020</w:t>
            </w:r>
          </w:p>
        </w:tc>
        <w:tc>
          <w:tcPr/>
          <w:p>
            <w:pPr>
              <w:pStyle w:val="Compact"/>
            </w:pPr>
            <w:r>
              <w:t xml:space="preserve">95</w:t>
            </w:r>
          </w:p>
        </w:tc>
        <w:tc>
          <w:tcPr/>
          <w:p>
            <w:pPr>
              <w:pStyle w:val="Compact"/>
            </w:pPr>
            <w:r>
              <w:t xml:space="preserve">S33</w:t>
            </w:r>
          </w:p>
        </w:tc>
        <w:tc>
          <w:tcPr/>
          <w:p>
            <w:pPr>
              <w:pStyle w:val="Compact"/>
            </w:pPr>
            <w:r>
              <w:t xml:space="preserve">453</w:t>
            </w:r>
          </w:p>
        </w:tc>
        <w:tc>
          <w:tcPr/>
          <w:p>
            <w:pPr>
              <w:pStyle w:val="Compact"/>
            </w:pPr>
            <w:r>
              <w:t xml:space="preserve">S1-S152</w:t>
            </w:r>
          </w:p>
        </w:tc>
      </w:tr>
      <w:tr>
        <w:tc>
          <w:tcPr/>
          <w:p>
            <w:pPr>
              <w:pStyle w:val="Compact"/>
            </w:pPr>
            <w:r>
              <w:t xml:space="preserve">2021</w:t>
            </w:r>
          </w:p>
        </w:tc>
        <w:tc>
          <w:tcPr/>
          <w:p>
            <w:pPr>
              <w:pStyle w:val="Compact"/>
            </w:pPr>
            <w:r>
              <w:t xml:space="preserve">98</w:t>
            </w:r>
          </w:p>
        </w:tc>
        <w:tc>
          <w:tcPr/>
          <w:p>
            <w:pPr>
              <w:pStyle w:val="Compact"/>
            </w:pPr>
            <w:r>
              <w:t xml:space="preserve">S34</w:t>
            </w:r>
          </w:p>
        </w:tc>
        <w:tc>
          <w:tcPr/>
          <w:p>
            <w:pPr>
              <w:pStyle w:val="Compact"/>
            </w:pPr>
            <w:r>
              <w:t xml:space="preserve">498</w:t>
            </w:r>
          </w:p>
        </w:tc>
        <w:tc>
          <w:tcPr/>
          <w:p>
            <w:pPr>
              <w:pStyle w:val="Compact"/>
            </w:pPr>
            <w:r>
              <w:t xml:space="preserve">S1-S169</w:t>
            </w:r>
          </w:p>
        </w:tc>
      </w:tr>
      <w:tr>
        <w:tc>
          <w:tcPr/>
          <w:p>
            <w:pPr>
              <w:pStyle w:val="Compact"/>
            </w:pPr>
            <w:r>
              <w:t xml:space="preserve">2022</w:t>
            </w:r>
          </w:p>
        </w:tc>
        <w:tc>
          <w:tcPr/>
          <w:p>
            <w:pPr>
              <w:pStyle w:val="Compact"/>
            </w:pPr>
            <w:r>
              <w:t xml:space="preserve">100</w:t>
            </w:r>
          </w:p>
        </w:tc>
        <w:tc>
          <w:tcPr/>
          <w:p>
            <w:pPr>
              <w:pStyle w:val="Compact"/>
            </w:pPr>
            <w:r>
              <w:t xml:space="preserve">S40</w:t>
            </w:r>
          </w:p>
        </w:tc>
        <w:tc>
          <w:tcPr/>
          <w:p>
            <w:pPr>
              <w:pStyle w:val="Compact"/>
            </w:pPr>
            <w:r>
              <w:t xml:space="preserve">497</w:t>
            </w:r>
          </w:p>
        </w:tc>
        <w:tc>
          <w:tcPr/>
          <w:p>
            <w:pPr>
              <w:pStyle w:val="Compact"/>
            </w:pPr>
            <w:r>
              <w:t xml:space="preserve">S1-S167</w:t>
            </w:r>
          </w:p>
        </w:tc>
      </w:tr>
      <w:tr>
        <w:tc>
          <w:tcPr/>
          <w:p>
            <w:pPr>
              <w:pStyle w:val="Compact"/>
            </w:pPr>
            <w:r>
              <w:t xml:space="preserve">2023</w:t>
            </w:r>
          </w:p>
        </w:tc>
        <w:tc>
          <w:tcPr/>
          <w:p>
            <w:pPr>
              <w:pStyle w:val="Compact"/>
            </w:pPr>
            <w:r>
              <w:t xml:space="preserve">98</w:t>
            </w:r>
          </w:p>
        </w:tc>
        <w:tc>
          <w:tcPr/>
          <w:p>
            <w:pPr>
              <w:pStyle w:val="Compact"/>
            </w:pPr>
            <w:r>
              <w:t xml:space="preserve">S38</w:t>
            </w:r>
          </w:p>
        </w:tc>
        <w:tc>
          <w:tcPr/>
          <w:p>
            <w:pPr>
              <w:pStyle w:val="Compact"/>
            </w:pPr>
            <w:r>
              <w:t xml:space="preserve">392</w:t>
            </w:r>
          </w:p>
        </w:tc>
        <w:tc>
          <w:tcPr/>
          <w:p>
            <w:pPr>
              <w:pStyle w:val="Compact"/>
            </w:pPr>
            <w:r>
              <w:t xml:space="preserve">S1-S141</w:t>
            </w:r>
          </w:p>
        </w:tc>
      </w:tr>
    </w:tbl>
    <w:bookmarkEnd w:id="184"/>
    <w:bookmarkStart w:id="185" w:name="Xbb0267dc4073d6b452b4fbd468e89b232540a33"/>
    <w:p>
      <w:pPr>
        <w:pStyle w:val="Heading3"/>
      </w:pPr>
      <w:r>
        <w:t xml:space="preserve">A14.2 The cutoff is mid-block, not at a section boundary</w:t>
      </w:r>
    </w:p>
    <w:p>
      <w:pPr>
        <w:pStyle w:val="FirstParagraph"/>
      </w:pPr>
      <w:r>
        <w:t xml:space="preserve">If the capture happened to stop where the oral block ends, the cohort would</w:t>
      </w:r>
      <w:r>
        <w:t xml:space="preserve"> </w:t>
      </w:r>
      <w:r>
        <w:t xml:space="preserve">still be a valid census of oral presentations. It does not. The 2012 capture</w:t>
      </w:r>
      <w:r>
        <w:t xml:space="preserve"> </w:t>
      </w:r>
      <w:r>
        <w:t xml:space="preserve">ends at S33-S34; the records immediately following are ordinary scientific</w:t>
      </w:r>
      <w:r>
        <w:t xml:space="preserve"> </w:t>
      </w:r>
      <w:r>
        <w:t xml:space="preserve">abstracts of the same kind already in the cohort:</w:t>
      </w:r>
    </w:p>
    <w:p>
      <w:pPr>
        <w:pStyle w:val="BlockText"/>
      </w:pPr>
      <w:r>
        <w:t xml:space="preserve">S33 Endoscopic Midurethral Circumferential Injection of Calcium Hydroxylapatite</w:t>
      </w:r>
      <w:r>
        <w:t xml:space="preserve"> </w:t>
      </w:r>
      <w:r>
        <w:t xml:space="preserve">for Urethral Bulking; S34 Sling Failures: Does the Adjustable Suburethral Sling</w:t>
      </w:r>
      <w:r>
        <w:t xml:space="preserve"> </w:t>
      </w:r>
      <w:r>
        <w:t xml:space="preserve">(Remeex) Bring Hope; S35 Interest of the 3D Ultrasound Evaluation of Suburethral</w:t>
      </w:r>
      <w:r>
        <w:t xml:space="preserve"> </w:t>
      </w:r>
      <w:r>
        <w:t xml:space="preserve">Tape after TVT-O Procedure; S37 The Outcomes of Elderly Patients in the Treatment</w:t>
      </w:r>
      <w:r>
        <w:t xml:space="preserve"> </w:t>
      </w:r>
      <w:r>
        <w:t xml:space="preserve">of Gynecological Malignancy with Robotics.</w:t>
      </w:r>
    </w:p>
    <w:p>
      <w:pPr>
        <w:pStyle w:val="FirstParagraph"/>
      </w:pPr>
      <w:r>
        <w:t xml:space="preserve">Ingestion stopped part-way through the material, not at the end of a category.</w:t>
      </w:r>
    </w:p>
    <w:bookmarkEnd w:id="185"/>
    <w:bookmarkStart w:id="186" w:name="a14.3-consequence-for-this-appendix"/>
    <w:p>
      <w:pPr>
        <w:pStyle w:val="Heading3"/>
      </w:pPr>
      <w:r>
        <w:t xml:space="preserve">A14.3 Consequence for this appendix</w:t>
      </w:r>
    </w:p>
    <w:p>
      <w:pPr>
        <w:pStyle w:val="FirstParagraph"/>
      </w:pPr>
      <w:r>
        <w:t xml:space="preserve">Each supplement mixes oral presentations, posters and videos, so the item counts</w:t>
      </w:r>
      <w:r>
        <w:t xml:space="preserve"> </w:t>
      </w:r>
      <w:r>
        <w:t xml:space="preserve">above are not counts of missing</w:t>
      </w:r>
      <w:r>
        <w:t xml:space="preserve"> </w:t>
      </w:r>
      <w:r>
        <w:rPr>
          <w:i/>
          <w:iCs/>
        </w:rPr>
        <w:t xml:space="preserve">orals</w:t>
      </w:r>
      <w:r>
        <w:t xml:space="preserve">. Establishing the true oral denominator</w:t>
      </w:r>
      <w:r>
        <w:t xml:space="preserve"> </w:t>
      </w:r>
      <w:r>
        <w:t xml:space="preserve">per congress requires the section headers that</w:t>
      </w:r>
      <w:r>
        <w:t xml:space="preserve"> </w:t>
      </w:r>
      <w:r>
        <w:rPr>
          <w:rStyle w:val="VerbatimChar"/>
        </w:rPr>
        <w:t xml:space="preserve">R/01b_parse_web.R</w:t>
      </w:r>
      <w:r>
        <w:t xml:space="preserve"> </w:t>
      </w:r>
      <w:r>
        <w:t xml:space="preserve">reads, which</w:t>
      </w:r>
      <w:r>
        <w:t xml:space="preserve"> </w:t>
      </w:r>
      <w:r>
        <w:t xml:space="preserve">is the same code path that truncates. The size of the shortfall is therefore not</w:t>
      </w:r>
      <w:r>
        <w:t xml:space="preserve"> </w:t>
      </w:r>
      <w:r>
        <w:t xml:space="preserve">established here; only its existence is.</w:t>
      </w:r>
    </w:p>
    <w:p>
      <w:pPr>
        <w:pStyle w:val="BodyText"/>
      </w:pPr>
      <w:r>
        <w:t xml:space="preserve">What is established is that the captured cohort is a</w:t>
      </w:r>
      <w:r>
        <w:t xml:space="preserve"> </w:t>
      </w:r>
      <w:r>
        <w:rPr>
          <w:b/>
          <w:bCs/>
        </w:rPr>
        <w:t xml:space="preserve">contiguous prefix</w:t>
      </w:r>
      <w:r>
        <w:t xml:space="preserve"> </w:t>
      </w:r>
      <w:r>
        <w:t xml:space="preserve">of</w:t>
      </w:r>
      <w:r>
        <w:t xml:space="preserve"> </w:t>
      </w:r>
      <w:r>
        <w:t xml:space="preserve">each supplement rather than a sample of it. It is systematically the</w:t>
      </w:r>
      <w:r>
        <w:t xml:space="preserve"> </w:t>
      </w:r>
      <w:r>
        <w:t xml:space="preserve">earliest-paginated material, which corresponds to particular sessions and topic</w:t>
      </w:r>
      <w:r>
        <w:t xml:space="preserve"> </w:t>
      </w:r>
      <w:r>
        <w:t xml:space="preserve">blocks rather than to a random draw.</w:t>
      </w:r>
    </w:p>
    <w:p>
      <w:pPr>
        <w:pStyle w:val="BodyText"/>
      </w:pPr>
      <w:r>
        <w:t xml:space="preserve">Every quantity reported in this appendix and in the manuscript is arithmetically</w:t>
      </w:r>
      <w:r>
        <w:t xml:space="preserve"> </w:t>
      </w:r>
      <w:r>
        <w:t xml:space="preserve">correct</w:t>
      </w:r>
      <w:r>
        <w:t xml:space="preserve"> </w:t>
      </w:r>
      <w:r>
        <w:rPr>
          <w:b/>
          <w:bCs/>
        </w:rPr>
        <w:t xml:space="preserve">for the 1,106 abstracts that were captured</w:t>
      </w:r>
      <w:r>
        <w:t xml:space="preserve">. None of them describes</w:t>
      </w:r>
      <w:r>
        <w:t xml:space="preserve"> </w:t>
      </w:r>
      <w:r>
        <w:t xml:space="preserve">“all oral presentations at the AAGL Global Congress, 2012-2023”</w:t>
      </w:r>
      <w:r>
        <w:t xml:space="preserve">. The corrections</w:t>
      </w:r>
      <w:r>
        <w:t xml:space="preserve"> </w:t>
      </w:r>
      <w:r>
        <w:t xml:space="preserve">in A12 and A13, the denominator chain in A13.1, and the open decisions recorded</w:t>
      </w:r>
      <w:r>
        <w:t xml:space="preserve"> </w:t>
      </w:r>
      <w:r>
        <w:t xml:space="preserve">in A13.6 and A13.7 all sit downstream of a cohort that has not yet been</w:t>
      </w:r>
      <w:r>
        <w:t xml:space="preserve"> </w:t>
      </w:r>
      <w:r>
        <w:t xml:space="preserve">correctly assembled.</w:t>
      </w:r>
    </w:p>
    <w:p>
      <w:pPr>
        <w:pStyle w:val="BodyText"/>
      </w:pPr>
      <w:r>
        <w:t xml:space="preserve">Remediation is tracked in</w:t>
      </w:r>
      <w:r>
        <w:t xml:space="preserve"> </w:t>
      </w:r>
      <w:r>
        <w:rPr>
          <w:rStyle w:val="VerbatimChar"/>
        </w:rPr>
        <w:t xml:space="preserve">docs/FAILURE_MODES.md</w:t>
      </w:r>
      <w:r>
        <w:t xml:space="preserve"> </w:t>
      </w:r>
      <w:r>
        <w:t xml:space="preserve">and is out of scope for this</w:t>
      </w:r>
      <w:r>
        <w:t xml:space="preserve"> </w:t>
      </w:r>
      <w:r>
        <w:t xml:space="preserve">appendix.</w:t>
      </w:r>
    </w:p>
    <w:p>
      <w:r>
        <w:pict>
          <v:rect style="width:0;height:1.5pt" o:hralign="center" o:hrstd="t" o:hr="t"/>
        </w:pict>
      </w:r>
    </w:p>
    <w:bookmarkEnd w:id="186"/>
    <w:bookmarkEnd w:id="187"/>
    <w:bookmarkStart w:id="197" w:name="a15.-remediation-september-2026"/>
    <w:p>
      <w:pPr>
        <w:pStyle w:val="Heading2"/>
      </w:pPr>
      <w:r>
        <w:t xml:space="preserve">A15. Remediation, September 2026</w:t>
      </w:r>
    </w:p>
    <w:p>
      <w:pPr>
        <w:pStyle w:val="FirstParagraph"/>
      </w:pPr>
      <w:r>
        <w:t xml:space="preserve">Sections A12–A14 catalogue defects. This section records what was done about</w:t>
      </w:r>
      <w:r>
        <w:t xml:space="preserve"> </w:t>
      </w:r>
      <w:r>
        <w:t xml:space="preserve">them on 3–4 September 2026, what it changed, and what was deliberately left</w:t>
      </w:r>
      <w:r>
        <w:t xml:space="preserve"> </w:t>
      </w:r>
      <w:r>
        <w:t xml:space="preserve">alone. It is the counterpart to</w:t>
      </w:r>
      <w:r>
        <w:t xml:space="preserve"> </w:t>
      </w:r>
      <w:r>
        <w:rPr>
          <w:rStyle w:val="VerbatimChar"/>
        </w:rPr>
        <w:t xml:space="preserve">docs/FAILURE_MODES.md</w:t>
      </w:r>
      <w:r>
        <w:t xml:space="preserve">, which holds the</w:t>
      </w:r>
      <w:r>
        <w:t xml:space="preserve"> </w:t>
      </w:r>
      <w:r>
        <w:t xml:space="preserve">mechanism for each entry; this is the narrative and the arithmetic.</w:t>
      </w:r>
    </w:p>
    <w:p>
      <w:pPr>
        <w:pStyle w:val="BodyText"/>
      </w:pPr>
      <w:r>
        <w:t xml:space="preserve">The headline did not move. The publication rate is 170 / 1,051 =</w:t>
      </w:r>
      <w:r>
        <w:t xml:space="preserve"> </w:t>
      </w:r>
      <w:r>
        <w:rPr>
          <w:b/>
          <w:bCs/>
        </w:rPr>
        <w:t xml:space="preserve">16.2%</w:t>
      </w:r>
      <w:r>
        <w:t xml:space="preserve"> </w:t>
      </w:r>
      <w:r>
        <w:t xml:space="preserve">before and after. What</w:t>
      </w:r>
      <w:r>
        <w:t xml:space="preserve"> </w:t>
      </w:r>
      <w:r>
        <w:t xml:space="preserve">moved is the evidence beneath the time-to-event and regression results, and</w:t>
      </w:r>
      <w:r>
        <w:t xml:space="preserve"> </w:t>
      </w:r>
      <w:r>
        <w:t xml:space="preserve">the amount of the pipeline that can be rebuilt on another machine.</w:t>
      </w:r>
    </w:p>
    <w:bookmarkStart w:id="188" w:name="a15.1-the-candidate-pool-f2"/>
    <w:p>
      <w:pPr>
        <w:pStyle w:val="Heading3"/>
      </w:pPr>
      <w:r>
        <w:t xml:space="preserve">A15.1 The candidate pool (F2)</w:t>
      </w:r>
    </w:p>
    <w:p>
      <w:pPr>
        <w:pStyle w:val="FirstParagraph"/>
      </w:pPr>
      <w:r>
        <w:rPr>
          <w:rStyle w:val="VerbatimChar"/>
        </w:rPr>
        <w:t xml:space="preserve">R/03b_search_crossref.R</w:t>
      </w:r>
      <w:r>
        <w:t xml:space="preserve"> </w:t>
      </w:r>
      <w:r>
        <w:t xml:space="preserve">rewrites</w:t>
      </w:r>
      <w:r>
        <w:t xml:space="preserve"> </w:t>
      </w:r>
      <w:r>
        <w:rPr>
          <w:rStyle w:val="VerbatimChar"/>
        </w:rPr>
        <w:t xml:space="preserve">data/processed/pubmed_candidates.csv</w:t>
      </w:r>
      <w:r>
        <w:t xml:space="preserve"> </w:t>
      </w:r>
      <w:r>
        <w:t xml:space="preserve">in</w:t>
      </w:r>
      <w:r>
        <w:t xml:space="preserve"> </w:t>
      </w:r>
      <w:r>
        <w:t xml:space="preserve">place at the end of every supplementary-search run. On 19 April 2026 it ran at</w:t>
      </w:r>
      <w:r>
        <w:t xml:space="preserve"> </w:t>
      </w:r>
      <w:r>
        <w:t xml:space="preserve">09:47, after</w:t>
      </w:r>
      <w:r>
        <w:t xml:space="preserve"> </w:t>
      </w:r>
      <w:r>
        <w:rPr>
          <w:rStyle w:val="VerbatimChar"/>
        </w:rPr>
        <w:t xml:space="preserve">R/04_score_matches.R</w:t>
      </w:r>
      <w:r>
        <w:t xml:space="preserve"> </w:t>
      </w:r>
      <w:r>
        <w:t xml:space="preserve">had scored at 09:21. The file left on disk</w:t>
      </w:r>
      <w:r>
        <w:t xml:space="preserve"> </w:t>
      </w:r>
      <w:r>
        <w:t xml:space="preserve">was a strict subset of the pool the scores were computed against.</w:t>
      </w:r>
    </w:p>
    <w:p>
      <w:pPr>
        <w:pStyle w:val="BodyText"/>
      </w:pPr>
      <w:r>
        <w:rPr>
          <w:rStyle w:val="VerbatimChar"/>
        </w:rPr>
        <w:t xml:space="preserve">scripts/rebuild_candidate_pool.R</w:t>
      </w:r>
      <w:r>
        <w:t xml:space="preserve"> </w:t>
      </w:r>
      <w:r>
        <w:t xml:space="preserve">reconstructs it from</w:t>
      </w:r>
      <w:r>
        <w:t xml:space="preserve"> </w:t>
      </w:r>
      <w:r>
        <w:rPr>
          <w:rStyle w:val="VerbatimChar"/>
        </w:rPr>
        <w:t xml:space="preserve">data/processed/match_scores_detailed.rds</w:t>
      </w:r>
      <w:r>
        <w:t xml:space="preserve"> </w:t>
      </w:r>
      <w:r>
        <w:t xml:space="preserve">— the surviving record of every</w:t>
      </w:r>
      <w:r>
        <w:t xml:space="preserve"> </w:t>
      </w:r>
      <w:r>
        <w:t xml:space="preserve">scored pair — plus every reviewer-supplied</w:t>
      </w:r>
      <w:r>
        <w:t xml:space="preserve"> </w:t>
      </w:r>
      <w:r>
        <w:rPr>
          <w:rStyle w:val="VerbatimChar"/>
        </w:rPr>
        <w:t xml:space="preserve">manual_pmid</w:t>
      </w:r>
      <w:r>
        <w:t xml:space="preserve">, refetching the missing</w:t>
      </w:r>
      <w:r>
        <w:t xml:space="preserve"> </w:t>
      </w:r>
      <w:r>
        <w:t xml:space="preserve">metadata from PubMed in batches of 100. It is resumable and drops rows keyed to</w:t>
      </w:r>
      <w:r>
        <w:t xml:space="preserve"> </w:t>
      </w:r>
      <w:r>
        <w:rPr>
          <w:rStyle w:val="VerbatimChar"/>
        </w:rPr>
        <w:t xml:space="preserve">abstract_id</w:t>
      </w:r>
      <w:r>
        <w:t xml:space="preserve">s outside the 1,154 parsed presentations.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p>
        </w:tc>
        <w:tc>
          <w:tcPr/>
          <w:p>
            <w:pPr>
              <w:pStyle w:val="Compact"/>
              <w:jc w:val="right"/>
            </w:pPr>
            <w:r>
              <w:t xml:space="preserve">before</w:t>
            </w:r>
          </w:p>
        </w:tc>
        <w:tc>
          <w:tcPr/>
          <w:p>
            <w:pPr>
              <w:pStyle w:val="Compact"/>
              <w:jc w:val="right"/>
            </w:pPr>
            <w:r>
              <w:t xml:space="preserve">after</w:t>
            </w:r>
          </w:p>
        </w:tc>
      </w:tr>
      <w:tr>
        <w:tc>
          <w:tcPr/>
          <w:p>
            <w:pPr>
              <w:pStyle w:val="Compact"/>
            </w:pPr>
            <w:r>
              <w:t xml:space="preserve">Rows in the pool</w:t>
            </w:r>
          </w:p>
        </w:tc>
        <w:tc>
          <w:tcPr/>
          <w:p>
            <w:pPr>
              <w:pStyle w:val="Compact"/>
              <w:jc w:val="right"/>
            </w:pPr>
            <w:r>
              <w:t xml:space="preserve">48,984</w:t>
            </w:r>
          </w:p>
        </w:tc>
        <w:tc>
          <w:tcPr/>
          <w:p>
            <w:pPr>
              <w:pStyle w:val="Compact"/>
              <w:jc w:val="right"/>
            </w:pPr>
            <w:r>
              <w:t xml:space="preserve">65,697</w:t>
            </w:r>
          </w:p>
        </w:tc>
      </w:tr>
      <w:tr>
        <w:tc>
          <w:tcPr/>
          <w:p>
            <w:pPr>
              <w:pStyle w:val="Compact"/>
            </w:pPr>
            <w:r>
              <w:t xml:space="preserve">Cohort pairs vs</w:t>
            </w:r>
            <w:r>
              <w:t xml:space="preserve"> </w:t>
            </w:r>
            <w:r>
              <w:rPr>
                <w:rStyle w:val="VerbatimChar"/>
              </w:rPr>
              <w:t xml:space="preserve">sum(n_candidates)</w:t>
            </w:r>
          </w:p>
        </w:tc>
        <w:tc>
          <w:tcPr/>
          <w:p>
            <w:pPr>
              <w:pStyle w:val="Compact"/>
              <w:jc w:val="right"/>
            </w:pPr>
            <w:r>
              <w:t xml:space="preserve">48,984 vs 64,718</w:t>
            </w:r>
          </w:p>
        </w:tc>
        <w:tc>
          <w:tcPr/>
          <w:p>
            <w:pPr>
              <w:pStyle w:val="Compact"/>
              <w:jc w:val="right"/>
            </w:pPr>
            <w:r>
              <w:t xml:space="preserve">64,728 vs 64,718</w:t>
            </w:r>
          </w:p>
        </w:tc>
      </w:tr>
      <w:tr>
        <w:tc>
          <w:tcPr/>
          <w:p>
            <w:pPr>
              <w:pStyle w:val="Compact"/>
            </w:pPr>
            <w:r>
              <w:t xml:space="preserve">Winning PMIDs unresolvable</w:t>
            </w:r>
          </w:p>
        </w:tc>
        <w:tc>
          <w:tcPr/>
          <w:p>
            <w:pPr>
              <w:pStyle w:val="Compact"/>
              <w:jc w:val="right"/>
            </w:pPr>
            <w:r>
              <w:t xml:space="preserve">283</w:t>
            </w:r>
          </w:p>
        </w:tc>
        <w:tc>
          <w:tcPr/>
          <w:p>
            <w:pPr>
              <w:pStyle w:val="Compact"/>
              <w:jc w:val="right"/>
            </w:pPr>
            <w:r>
              <w:rPr>
                <w:b/>
                <w:bCs/>
              </w:rPr>
              <w:t xml:space="preserve">0</w:t>
            </w:r>
          </w:p>
        </w:tc>
      </w:tr>
      <w:tr>
        <w:tc>
          <w:tcPr/>
          <w:p>
            <w:pPr>
              <w:pStyle w:val="Compact"/>
            </w:pPr>
            <w:r>
              <w:t xml:space="preserve">Published abstracts with a date</w:t>
            </w:r>
          </w:p>
        </w:tc>
        <w:tc>
          <w:tcPr/>
          <w:p>
            <w:pPr>
              <w:pStyle w:val="Compact"/>
              <w:jc w:val="right"/>
            </w:pPr>
            <w:r>
              <w:t xml:space="preserve">104 / 178</w:t>
            </w:r>
          </w:p>
        </w:tc>
        <w:tc>
          <w:tcPr/>
          <w:p>
            <w:pPr>
              <w:pStyle w:val="Compact"/>
              <w:jc w:val="right"/>
            </w:pPr>
            <w:r>
              <w:rPr>
                <w:b/>
                <w:bCs/>
              </w:rPr>
              <w:t xml:space="preserve">178 / 178</w:t>
            </w:r>
          </w:p>
        </w:tc>
      </w:tr>
      <w:tr>
        <w:tc>
          <w:tcPr/>
          <w:p>
            <w:pPr>
              <w:pStyle w:val="Compact"/>
            </w:pPr>
            <w:r>
              <w:t xml:space="preserve">Kaplan–Meier events</w:t>
            </w:r>
          </w:p>
        </w:tc>
        <w:tc>
          <w:tcPr/>
          <w:p>
            <w:pPr>
              <w:pStyle w:val="Compact"/>
              <w:jc w:val="right"/>
            </w:pPr>
            <w:r>
              <w:t xml:space="preserve">104</w:t>
            </w:r>
          </w:p>
        </w:tc>
        <w:tc>
          <w:tcPr/>
          <w:p>
            <w:pPr>
              <w:pStyle w:val="Compact"/>
              <w:jc w:val="right"/>
            </w:pPr>
            <w:r>
              <w:rPr>
                <w:b/>
                <w:bCs/>
              </w:rPr>
              <w:t xml:space="preserve">171</w:t>
            </w:r>
          </w:p>
        </w:tc>
      </w:tr>
      <w:tr>
        <w:tc>
          <w:tcPr/>
          <w:p>
            <w:pPr>
              <w:pStyle w:val="Compact"/>
            </w:pPr>
            <w:r>
              <w:t xml:space="preserve">Median time to publication</w:t>
            </w:r>
          </w:p>
        </w:tc>
        <w:tc>
          <w:tcPr/>
          <w:p>
            <w:pPr>
              <w:pStyle w:val="Compact"/>
              <w:jc w:val="right"/>
            </w:pPr>
            <w:r>
              <w:t xml:space="preserve">13.8 mo (IQR 6.3–25.0)</w:t>
            </w:r>
          </w:p>
        </w:tc>
        <w:tc>
          <w:tcPr/>
          <w:p>
            <w:pPr>
              <w:pStyle w:val="Compact"/>
              <w:jc w:val="right"/>
            </w:pPr>
            <w:r>
              <w:rPr>
                <w:b/>
                <w:bCs/>
              </w:rPr>
              <w:t xml:space="preserve">13.7 mo (IQR 5.7–22.6)</w:t>
            </w:r>
          </w:p>
        </w:tc>
      </w:tr>
    </w:tbl>
    <w:p>
      <w:pPr>
        <w:pStyle w:val="BodyText"/>
      </w:pPr>
      <w:r>
        <w:t xml:space="preserve">One limit is permanent. The</w:t>
      </w:r>
      <w:r>
        <w:t xml:space="preserve"> </w:t>
      </w:r>
      <w:r>
        <w:rPr>
          <w:rStyle w:val="VerbatimChar"/>
        </w:rPr>
        <w:t xml:space="preserve">strategies</w:t>
      </w:r>
      <w:r>
        <w:t xml:space="preserve"> </w:t>
      </w:r>
      <w:r>
        <w:t xml:space="preserve">provenance for a recovered pair lived</w:t>
      </w:r>
      <w:r>
        <w:t xml:space="preserve"> </w:t>
      </w:r>
      <w:r>
        <w:t xml:space="preserve">only in the overwritten file. Recovered rows carry</w:t>
      </w:r>
      <w:r>
        <w:t xml:space="preserve"> </w:t>
      </w:r>
      <w:r>
        <w:rPr>
          <w:rStyle w:val="VerbatimChar"/>
        </w:rPr>
        <w:t xml:space="preserve">strategies = "unrecovered"</w:t>
      </w:r>
      <w:r>
        <w:t xml:space="preserve"> </w:t>
      </w:r>
      <w:r>
        <w:t xml:space="preserve">so Aim 4’s attribution excludes rather than miscounts them.</w:t>
      </w:r>
    </w:p>
    <w:p>
      <w:pPr>
        <w:pStyle w:val="BodyText"/>
      </w:pPr>
      <w:r>
        <w:t xml:space="preserve">Seven confirmed publications appeared</w:t>
      </w:r>
      <w:r>
        <w:t xml:space="preserve"> </w:t>
      </w:r>
      <w:r>
        <w:rPr>
          <w:i/>
          <w:iCs/>
        </w:rPr>
        <w:t xml:space="preserve">before</w:t>
      </w:r>
      <w:r>
        <w:t xml:space="preserve"> </w:t>
      </w:r>
      <w:r>
        <w:t xml:space="preserve">their congress. They belong in</w:t>
      </w:r>
      <w:r>
        <w:t xml:space="preserve"> </w:t>
      </w:r>
      <w:r>
        <w:t xml:space="preserve">the numerator — a reviewer ruled they are the abstract’s publication — but a</w:t>
      </w:r>
      <w:r>
        <w:t xml:space="preserve"> </w:t>
      </w:r>
      <w:r>
        <w:t xml:space="preserve">negative interval is not a time to publication, so Aim 2 now reports</w:t>
      </w:r>
      <w:r>
        <w:t xml:space="preserve"> </w:t>
      </w:r>
      <w:r>
        <w:rPr>
          <w:rStyle w:val="VerbatimChar"/>
        </w:rPr>
        <w:t xml:space="preserve">n_published</w:t>
      </w:r>
      <w:r>
        <w:t xml:space="preserve">,</w:t>
      </w:r>
      <w:r>
        <w:t xml:space="preserve"> </w:t>
      </w:r>
      <w:r>
        <w:rPr>
          <w:rStyle w:val="VerbatimChar"/>
        </w:rPr>
        <w:t xml:space="preserve">n_with_dates</w:t>
      </w:r>
      <w:r>
        <w:t xml:space="preserve">,</w:t>
      </w:r>
      <w:r>
        <w:t xml:space="preserve"> </w:t>
      </w:r>
      <w:r>
        <w:rPr>
          <w:rStyle w:val="VerbatimChar"/>
        </w:rPr>
        <w:t xml:space="preserve">n_pre_congress</w:t>
      </w:r>
      <w:r>
        <w:t xml:space="preserve"> </w:t>
      </w:r>
      <w:r>
        <w:t xml:space="preserve">and</w:t>
      </w:r>
      <w:r>
        <w:t xml:space="preserve"> </w:t>
      </w:r>
      <w:r>
        <w:rPr>
          <w:rStyle w:val="VerbatimChar"/>
        </w:rPr>
        <w:t xml:space="preserve">n_undated</w:t>
      </w:r>
      <w:r>
        <w:t xml:space="preserve"> </w:t>
      </w:r>
      <w:r>
        <w:t xml:space="preserve">and computes the</w:t>
      </w:r>
      <w:r>
        <w:t xml:space="preserve"> </w:t>
      </w:r>
      <w:r>
        <w:t xml:space="preserve">median on post-congress publications only.</w:t>
      </w:r>
    </w:p>
    <w:bookmarkEnd w:id="188"/>
    <w:bookmarkStart w:id="189" w:name="Xf73817677dac78a0596c424c3d0e52489da902d"/>
    <w:p>
      <w:pPr>
        <w:pStyle w:val="Heading3"/>
      </w:pPr>
      <w:r>
        <w:t xml:space="preserve">A15.2 Covariates derived before the text existed (F3)</w:t>
      </w:r>
    </w:p>
    <w:p>
      <w:pPr>
        <w:pStyle w:val="FirstParagraph"/>
      </w:pPr>
      <w:r>
        <w:rPr>
          <w:rStyle w:val="VerbatimChar"/>
        </w:rPr>
        <w:t xml:space="preserve">R/02_clean_abstracts.R</w:t>
      </w:r>
      <w:r>
        <w:t xml:space="preserve"> </w:t>
      </w:r>
      <w:r>
        <w:t xml:space="preserve">derives roughly twenty predictors by regular expression</w:t>
      </w:r>
      <w:r>
        <w:t xml:space="preserve"> </w:t>
      </w:r>
      <w:r>
        <w:t xml:space="preserve">over</w:t>
      </w:r>
      <w:r>
        <w:t xml:space="preserve"> </w:t>
      </w:r>
      <w:r>
        <w:rPr>
          <w:rStyle w:val="VerbatimChar"/>
        </w:rPr>
        <w:t xml:space="preserve">search_text</w:t>
      </w:r>
      <w:r>
        <w:t xml:space="preserve">, but runs</w:t>
      </w:r>
      <w:r>
        <w:t xml:space="preserve"> </w:t>
      </w:r>
      <w:r>
        <w:rPr>
          <w:i/>
          <w:iCs/>
        </w:rPr>
        <w:t xml:space="preserve">before</w:t>
      </w:r>
      <w:r>
        <w:t xml:space="preserve"> </w:t>
      </w:r>
      <w:r>
        <w:t xml:space="preserve">the two text backfills. For congress years</w:t>
      </w:r>
      <w:r>
        <w:t xml:space="preserve"> </w:t>
      </w:r>
      <w:r>
        <w:t xml:space="preserve">2012–2018 it therefore saw the title alone, and nothing recomputed the</w:t>
      </w:r>
      <w:r>
        <w:t xml:space="preserve"> </w:t>
      </w:r>
      <w:r>
        <w:t xml:space="preserve">variables afterwards.</w:t>
      </w:r>
    </w:p>
    <w:p>
      <w:pPr>
        <w:pStyle w:val="BodyText"/>
      </w:pPr>
      <w:r>
        <w:rPr>
          <w:rStyle w:val="VerbatimChar"/>
        </w:rPr>
        <w:t xml:space="preserve">R/02d_rederive_predictors.R</w:t>
      </w:r>
      <w:r>
        <w:t xml:space="preserve"> </w:t>
      </w:r>
      <w:r>
        <w:t xml:space="preserve">re-runs the identical rules over the backfilled</w:t>
      </w:r>
      <w:r>
        <w:t xml:space="preserve"> </w:t>
      </w:r>
      <w:r>
        <w:t xml:space="preserve">text as step 2d. It touches covariates only — not</w:t>
      </w:r>
      <w:r>
        <w:t xml:space="preserve"> </w:t>
      </w:r>
      <w:r>
        <w:rPr>
          <w:rStyle w:val="VerbatimChar"/>
        </w:rPr>
        <w:t xml:space="preserve">title</w:t>
      </w:r>
      <w:r>
        <w:t xml:space="preserve">, the author columns or</w:t>
      </w:r>
      <w:r>
        <w:t xml:space="preserve"> </w:t>
      </w:r>
      <w:r>
        <w:rPr>
          <w:rStyle w:val="VerbatimChar"/>
        </w:rPr>
        <w:t xml:space="preserve">keywords_str</w:t>
      </w:r>
      <w:r>
        <w:t xml:space="preserve">, which feed the search and the score and whose change would</w:t>
      </w:r>
      <w:r>
        <w:t xml:space="preserve"> </w:t>
      </w:r>
      <w:r>
        <w:t xml:space="preserve">invalidate the scores and the human adjudication recorded against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 (cohort TRUE)</w:t>
            </w:r>
          </w:p>
        </w:tc>
        <w:tc>
          <w:tcPr/>
          <w:p>
            <w:pPr>
              <w:pStyle w:val="Compact"/>
              <w:jc w:val="right"/>
            </w:pPr>
            <w:r>
              <w:t xml:space="preserve">before</w:t>
            </w:r>
          </w:p>
        </w:tc>
        <w:tc>
          <w:tcPr/>
          <w:p>
            <w:pPr>
              <w:pStyle w:val="Compact"/>
              <w:jc w:val="right"/>
            </w:pPr>
            <w:r>
              <w:t xml:space="preserve">after</w:t>
            </w:r>
          </w:p>
        </w:tc>
      </w:tr>
      <w:tr>
        <w:tc>
          <w:tcPr/>
          <w:p>
            <w:pPr>
              <w:pStyle w:val="Compact"/>
            </w:pPr>
            <w:r>
              <w:rPr>
                <w:rStyle w:val="VerbatimChar"/>
              </w:rPr>
              <w:t xml:space="preserve">is_rct</w:t>
            </w:r>
          </w:p>
        </w:tc>
        <w:tc>
          <w:tcPr/>
          <w:p>
            <w:pPr>
              <w:pStyle w:val="Compact"/>
              <w:jc w:val="right"/>
            </w:pPr>
            <w:r>
              <w:t xml:space="preserve">71</w:t>
            </w:r>
          </w:p>
        </w:tc>
        <w:tc>
          <w:tcPr/>
          <w:p>
            <w:pPr>
              <w:pStyle w:val="Compact"/>
              <w:jc w:val="right"/>
            </w:pPr>
            <w:r>
              <w:t xml:space="preserve">98</w:t>
            </w:r>
          </w:p>
        </w:tc>
      </w:tr>
      <w:tr>
        <w:tc>
          <w:tcPr/>
          <w:p>
            <w:pPr>
              <w:pStyle w:val="Compact"/>
            </w:pPr>
            <w:r>
              <w:rPr>
                <w:rStyle w:val="VerbatimChar"/>
              </w:rPr>
              <w:t xml:space="preserve">is_academic</w:t>
            </w:r>
          </w:p>
        </w:tc>
        <w:tc>
          <w:tcPr/>
          <w:p>
            <w:pPr>
              <w:pStyle w:val="Compact"/>
              <w:jc w:val="right"/>
            </w:pPr>
            <w:r>
              <w:t xml:space="preserve">148</w:t>
            </w:r>
          </w:p>
        </w:tc>
        <w:tc>
          <w:tcPr/>
          <w:p>
            <w:pPr>
              <w:pStyle w:val="Compact"/>
              <w:jc w:val="right"/>
            </w:pPr>
            <w:r>
              <w:t xml:space="preserve">371</w:t>
            </w:r>
          </w:p>
        </w:tc>
      </w:tr>
      <w:tr>
        <w:tc>
          <w:tcPr/>
          <w:p>
            <w:pPr>
              <w:pStyle w:val="Compact"/>
            </w:pPr>
            <w:r>
              <w:rPr>
                <w:rStyle w:val="VerbatimChar"/>
              </w:rPr>
              <w:t xml:space="preserve">is_us_based</w:t>
            </w:r>
          </w:p>
        </w:tc>
        <w:tc>
          <w:tcPr/>
          <w:p>
            <w:pPr>
              <w:pStyle w:val="Compact"/>
              <w:jc w:val="right"/>
            </w:pPr>
            <w:r>
              <w:t xml:space="preserve">689</w:t>
            </w:r>
          </w:p>
        </w:tc>
        <w:tc>
          <w:tcPr/>
          <w:p>
            <w:pPr>
              <w:pStyle w:val="Compact"/>
              <w:jc w:val="right"/>
            </w:pPr>
            <w:r>
              <w:t xml:space="preserve">907</w:t>
            </w:r>
          </w:p>
        </w:tc>
      </w:tr>
      <w:tr>
        <w:tc>
          <w:tcPr/>
          <w:p>
            <w:pPr>
              <w:pStyle w:val="Compact"/>
            </w:pPr>
            <w:r>
              <w:rPr>
                <w:rStyle w:val="VerbatimChar"/>
              </w:rPr>
              <w:t xml:space="preserve">is_multicenter</w:t>
            </w:r>
          </w:p>
        </w:tc>
        <w:tc>
          <w:tcPr/>
          <w:p>
            <w:pPr>
              <w:pStyle w:val="Compact"/>
              <w:jc w:val="right"/>
            </w:pPr>
            <w:r>
              <w:t xml:space="preserve">38</w:t>
            </w:r>
          </w:p>
        </w:tc>
        <w:tc>
          <w:tcPr/>
          <w:p>
            <w:pPr>
              <w:pStyle w:val="Compact"/>
              <w:jc w:val="right"/>
            </w:pPr>
            <w:r>
              <w:t xml:space="preserve">65</w:t>
            </w:r>
          </w:p>
        </w:tc>
      </w:tr>
      <w:tr>
        <w:tc>
          <w:tcPr/>
          <w:p>
            <w:pPr>
              <w:pStyle w:val="Compact"/>
            </w:pPr>
            <w:r>
              <w:rPr>
                <w:rStyle w:val="VerbatimChar"/>
              </w:rPr>
              <w:t xml:space="preserve">has_numeric_results</w:t>
            </w:r>
          </w:p>
        </w:tc>
        <w:tc>
          <w:tcPr/>
          <w:p>
            <w:pPr>
              <w:pStyle w:val="Compact"/>
              <w:jc w:val="right"/>
            </w:pPr>
            <w:r>
              <w:t xml:space="preserve">276</w:t>
            </w:r>
          </w:p>
        </w:tc>
        <w:tc>
          <w:tcPr/>
          <w:p>
            <w:pPr>
              <w:pStyle w:val="Compact"/>
              <w:jc w:val="right"/>
            </w:pPr>
            <w:r>
              <w:t xml:space="preserve">622</w:t>
            </w:r>
          </w:p>
        </w:tc>
      </w:tr>
    </w:tbl>
    <w:p>
      <w:pPr>
        <w:pStyle w:val="BodyText"/>
      </w:pPr>
      <w:r>
        <w:t xml:space="preserve">Two rules were widened deliberately and are marked as such in the script:</w:t>
      </w:r>
      <w:r>
        <w:t xml:space="preserve"> </w:t>
      </w:r>
      <w:r>
        <w:rPr>
          <w:rStyle w:val="VerbatimChar"/>
        </w:rPr>
        <w:t xml:space="preserve">has_numeric_results</w:t>
      </w:r>
      <w:r>
        <w:t xml:space="preserve"> </w:t>
      </w:r>
      <w:r>
        <w:t xml:space="preserve">and</w:t>
      </w:r>
      <w:r>
        <w:t xml:space="preserve"> </w:t>
      </w:r>
      <w:r>
        <w:rPr>
          <w:rStyle w:val="VerbatimChar"/>
        </w:rPr>
        <w:t xml:space="preserve">result_positivity</w:t>
      </w:r>
      <w:r>
        <w:t xml:space="preserve"> </w:t>
      </w:r>
      <w:r>
        <w:t xml:space="preserve">now fall back to</w:t>
      </w:r>
      <w:r>
        <w:t xml:space="preserve"> </w:t>
      </w:r>
      <w:r>
        <w:rPr>
          <w:rStyle w:val="VerbatimChar"/>
        </w:rPr>
        <w:t xml:space="preserve">abstract_text</w:t>
      </w:r>
      <w:r>
        <w:t xml:space="preserve"> </w:t>
      </w:r>
      <w:r>
        <w:t xml:space="preserve">where the structured section columns are absent, which is every 2012–2018</w:t>
      </w:r>
      <w:r>
        <w:t xml:space="preserve"> </w:t>
      </w:r>
      <w:r>
        <w:t xml:space="preserve">abstract.</w:t>
      </w:r>
    </w:p>
    <w:p>
      <w:pPr>
        <w:pStyle w:val="BodyText"/>
      </w:pPr>
      <w:r>
        <w:t xml:space="preserve">The same script clears</w:t>
      </w:r>
      <w:r>
        <w:t xml:space="preserve"> </w:t>
      </w:r>
      <w:r>
        <w:rPr>
          <w:b/>
          <w:bCs/>
        </w:rPr>
        <w:t xml:space="preserve">96 degenerate</w:t>
      </w:r>
      <w:r>
        <w:rPr>
          <w:b/>
          <w:bCs/>
        </w:rPr>
        <w:t xml:space="preserve"> </w:t>
      </w:r>
      <w:r>
        <w:rPr>
          <w:rStyle w:val="VerbatimChar"/>
          <w:b/>
          <w:bCs/>
        </w:rPr>
        <w:t xml:space="preserve">abstract_text</w:t>
      </w:r>
      <w:r>
        <w:rPr>
          <w:b/>
          <w:bCs/>
        </w:rPr>
        <w:t xml:space="preserve"> </w:t>
      </w:r>
      <w:r>
        <w:rPr>
          <w:b/>
          <w:bCs/>
        </w:rPr>
        <w:t xml:space="preserve">values</w:t>
      </w:r>
      <w:r>
        <w:t xml:space="preserve">. The</w:t>
      </w:r>
      <w:r>
        <w:t xml:space="preserve"> </w:t>
      </w:r>
      <w:r>
        <w:t xml:space="preserve">ScienceDirect snippet backfill had written the page footnote</w:t>
      </w:r>
      <w:r>
        <w:t xml:space="preserve"> </w:t>
      </w:r>
      <w:r>
        <w:rPr>
          <w:rStyle w:val="VerbatimChar"/>
        </w:rPr>
        <w:t xml:space="preserve">"*: Corresponding author."</w:t>
      </w:r>
      <w:r>
        <w:t xml:space="preserve"> </w:t>
      </w:r>
      <w:r>
        <w:t xml:space="preserve">into all 95 abstracts of the 2018 congress and a</w:t>
      </w:r>
      <w:r>
        <w:t xml:space="preserve"> </w:t>
      </w:r>
      <w:r>
        <w:t xml:space="preserve">co-first-author footnote into one 2017 abstract. At 24 characters those passed</w:t>
      </w:r>
      <w:r>
        <w:t xml:space="preserve"> </w:t>
      </w:r>
      <w:r>
        <w:t xml:space="preserve">the</w:t>
      </w:r>
      <w:r>
        <w:t xml:space="preserve"> </w:t>
      </w:r>
      <w:r>
        <w:rPr>
          <w:rStyle w:val="VerbatimChar"/>
        </w:rPr>
        <w:t xml:space="preserve">nchar &gt;= 10</w:t>
      </w:r>
      <w:r>
        <w:t xml:space="preserve"> </w:t>
      </w:r>
      <w:r>
        <w:t xml:space="preserve">gate that</w:t>
      </w:r>
      <w:r>
        <w:t xml:space="preserve"> </w:t>
      </w:r>
      <w:r>
        <w:rPr>
          <w:rStyle w:val="VerbatimChar"/>
        </w:rPr>
        <w:t xml:space="preserve">02b</w:t>
      </w:r>
      <w:r>
        <w:t xml:space="preserve">/</w:t>
      </w:r>
      <w:r>
        <w:rPr>
          <w:rStyle w:val="VerbatimChar"/>
        </w:rPr>
        <w:t xml:space="preserve">02c</w:t>
      </w:r>
      <w:r>
        <w:t xml:space="preserve"> </w:t>
      </w:r>
      <w:r>
        <w:t xml:space="preserve">use to decide a row needs no backfill,</w:t>
      </w:r>
      <w:r>
        <w:t xml:space="preserve"> </w:t>
      </w:r>
      <w:r>
        <w:t xml:space="preserve">so the rows could never be repaired, and they displaced the title as the source</w:t>
      </w:r>
      <w:r>
        <w:t xml:space="preserve"> </w:t>
      </w:r>
      <w:r>
        <w:t xml:space="preserve">for every derived covariate. Clearing them is score-neutral: all 96 already</w:t>
      </w:r>
      <w:r>
        <w:t xml:space="preserve"> </w:t>
      </w:r>
      <w:r>
        <w:t xml:space="preserve">carried</w:t>
      </w:r>
      <w:r>
        <w:t xml:space="preserve"> </w:t>
      </w:r>
      <w:r>
        <w:rPr>
          <w:rStyle w:val="VerbatimChar"/>
        </w:rPr>
        <w:t xml:space="preserve">abstract_pts == 0</w:t>
      </w:r>
      <w:r>
        <w:t xml:space="preserve">, verified before the change.</w:t>
      </w:r>
    </w:p>
    <w:p>
      <w:pPr>
        <w:pStyle w:val="BodyText"/>
      </w:pPr>
      <w:r>
        <w:t xml:space="preserve">The residual year gradient is now confined to 2017 and 2018, which have no</w:t>
      </w:r>
      <w:r>
        <w:t xml:space="preserve"> </w:t>
      </w:r>
      <w:r>
        <w:t xml:space="preserve">recoverable abstract text at all (1 of 97 and 0 of 95) — a true absence of</w:t>
      </w:r>
      <w:r>
        <w:t xml:space="preserve"> </w:t>
      </w:r>
      <w:r>
        <w:t xml:space="preserve">evidence rather than a derivation-ordering artefact.</w:t>
      </w:r>
    </w:p>
    <w:p>
      <w:pPr>
        <w:pStyle w:val="BodyText"/>
      </w:pPr>
      <w:r>
        <w:rPr>
          <w:b/>
          <w:bCs/>
        </w:rPr>
        <w:t xml:space="preserve">This changed the models.</w:t>
      </w:r>
      <w:r>
        <w:t xml:space="preserve"> </w:t>
      </w:r>
      <w:r>
        <w:rPr>
          <w:rStyle w:val="VerbatimChar"/>
        </w:rPr>
        <w:t xml:space="preserve">is_academic</w:t>
      </w:r>
      <w:r>
        <w:t xml:space="preserve"> </w:t>
      </w:r>
      <w:r>
        <w:t xml:space="preserve">moved from HR 0.87 (p = 0.62) to</w:t>
      </w:r>
      <w:r>
        <w:t xml:space="preserve"> </w:t>
      </w:r>
      <w:r>
        <w:t xml:space="preserve">HR 0.62 (p = 0.007) and from OR 0.86 (p = 0.57) to OR 0.60 (p = 0.011). That</w:t>
      </w:r>
      <w:r>
        <w:t xml:space="preserve"> </w:t>
      </w:r>
      <w:r>
        <w:t xml:space="preserve">estimate rests on a covariate whose ascertainment more than doubled and should</w:t>
      </w:r>
      <w:r>
        <w:t xml:space="preserve"> </w:t>
      </w:r>
      <w:r>
        <w:t xml:space="preserve">be read with A15.5 alongside it.</w:t>
      </w:r>
    </w:p>
    <w:bookmarkEnd w:id="189"/>
    <w:bookmarkStart w:id="190" w:name="X0b7ec797966a7b4f52affb936169629a3cbcf12"/>
    <w:p>
      <w:pPr>
        <w:pStyle w:val="Heading3"/>
      </w:pPr>
      <w:r>
        <w:t xml:space="preserve">A15.3 Registry gender, and a dependency that moved</w:t>
      </w:r>
    </w:p>
    <w:p>
      <w:pPr>
        <w:pStyle w:val="FirstParagraph"/>
      </w:pPr>
      <w:r>
        <w:t xml:space="preserve">Tier 1 of the gender waterfall read</w:t>
      </w:r>
      <w:r>
        <w:t xml:space="preserve"> </w:t>
      </w:r>
      <w:r>
        <w:rPr>
          <w:rStyle w:val="VerbatimChar"/>
        </w:rPr>
        <w:t xml:space="preserve">npi_gender</w:t>
      </w:r>
      <w:r>
        <w:t xml:space="preserve"> </w:t>
      </w:r>
      <w:r>
        <w:t xml:space="preserve">from the ABOG</w:t>
      </w:r>
      <w:r>
        <w:t xml:space="preserve"> </w:t>
      </w:r>
      <w:r>
        <w:t xml:space="preserve">board-certification export. That export’s</w:t>
      </w:r>
      <w:r>
        <w:t xml:space="preserve"> </w:t>
      </w:r>
      <w:r>
        <w:rPr>
          <w:rStyle w:val="VerbatimChar"/>
        </w:rPr>
        <w:t xml:space="preserve">LATEST</w:t>
      </w:r>
      <w:r>
        <w:t xml:space="preserve"> </w:t>
      </w:r>
      <w:r>
        <w:t xml:space="preserve">symlink was repointed</w:t>
      </w:r>
      <w:r>
        <w:t xml:space="preserve"> </w:t>
      </w:r>
      <w:r>
        <w:t xml:space="preserve">upstream to a workforce file with</w:t>
      </w:r>
      <w:r>
        <w:t xml:space="preserve"> </w:t>
      </w:r>
      <w:r>
        <w:rPr>
          <w:b/>
          <w:bCs/>
        </w:rPr>
        <w:t xml:space="preserve">no gender column</w:t>
      </w:r>
      <w:r>
        <w:t xml:space="preserve">, 79,400 rows using</w:t>
      </w:r>
      <w:r>
        <w:t xml:space="preserve"> </w:t>
      </w:r>
      <w:r>
        <w:rPr>
          <w:rStyle w:val="VerbatimChar"/>
        </w:rPr>
        <w:t xml:space="preserve">first</w:t>
      </w:r>
      <w:r>
        <w:t xml:space="preserve">/</w:t>
      </w:r>
      <w:r>
        <w:rPr>
          <w:rStyle w:val="VerbatimChar"/>
        </w:rPr>
        <w:t xml:space="preserve">last</w:t>
      </w:r>
      <w:r>
        <w:t xml:space="preserve">/</w:t>
      </w:r>
      <w:r>
        <w:rPr>
          <w:rStyle w:val="VerbatimChar"/>
        </w:rPr>
        <w:t xml:space="preserve">middle</w:t>
      </w:r>
      <w:r>
        <w:t xml:space="preserve"> </w:t>
      </w:r>
      <w:r>
        <w:t xml:space="preserve">instead of</w:t>
      </w:r>
      <w:r>
        <w:t xml:space="preserve"> </w:t>
      </w:r>
      <w:r>
        <w:rPr>
          <w:rStyle w:val="VerbatimChar"/>
        </w:rPr>
        <w:t xml:space="preserve">first_name</w:t>
      </w:r>
      <w:r>
        <w:t xml:space="preserve">/</w:t>
      </w:r>
      <w:r>
        <w:rPr>
          <w:rStyle w:val="VerbatimChar"/>
        </w:rPr>
        <w:t xml:space="preserve">last_name</w:t>
      </w:r>
      <w:r>
        <w:t xml:space="preserve">/</w:t>
      </w:r>
      <w:r>
        <w:rPr>
          <w:rStyle w:val="VerbatimChar"/>
        </w:rPr>
        <w:t xml:space="preserve">middle_name</w:t>
      </w:r>
      <w:r>
        <w:t xml:space="preserve">, and</w:t>
      </w:r>
      <w:r>
        <w:t xml:space="preserve"> </w:t>
      </w:r>
      <w:r>
        <w:t xml:space="preserve">an NPI on only 411 rows. The shipped 256 tier-1 genders could be used but not</w:t>
      </w:r>
      <w:r>
        <w:t xml:space="preserve"> </w:t>
      </w:r>
      <w:r>
        <w:t xml:space="preserve">regenerated.</w:t>
      </w:r>
    </w:p>
    <w:p>
      <w:pPr>
        <w:pStyle w:val="BodyText"/>
      </w:pPr>
      <w:r>
        <w:rPr>
          <w:rStyle w:val="VerbatimChar"/>
        </w:rPr>
        <w:t xml:space="preserve">R/09k_gender_from_nppes.R</w:t>
      </w:r>
      <w:r>
        <w:t xml:space="preserve"> </w:t>
      </w:r>
      <w:r>
        <w:t xml:space="preserve">reads registrant-reported sex from NPPES keyed on</w:t>
      </w:r>
      <w:r>
        <w:t xml:space="preserve"> </w:t>
      </w:r>
      <w:r>
        <w:t xml:space="preserve">the NPI that</w:t>
      </w:r>
      <w:r>
        <w:t xml:space="preserve"> </w:t>
      </w:r>
      <w:r>
        <w:rPr>
          <w:rStyle w:val="VerbatimChar"/>
        </w:rPr>
        <w:t xml:space="preserve">R/10_npi_matching.R</w:t>
      </w:r>
      <w:r>
        <w:t xml:space="preserve"> </w:t>
      </w:r>
      <w:r>
        <w:t xml:space="preserve">already resolved, and is the new tier 1;</w:t>
      </w:r>
      <w:r>
        <w:t xml:space="preserve"> </w:t>
      </w:r>
      <w:r>
        <w:t xml:space="preserve">ABOG is tier 2 and still covers the four abstracts NPPES leaves blank. NPPES</w:t>
      </w:r>
      <w:r>
        <w:t xml:space="preserve"> </w:t>
      </w:r>
      <w:r>
        <w:t xml:space="preserve">resolves</w:t>
      </w:r>
      <w:r>
        <w:t xml:space="preserve"> </w:t>
      </w:r>
      <w:r>
        <w:rPr>
          <w:b/>
          <w:bCs/>
        </w:rPr>
        <w:t xml:space="preserve">263 of 265</w:t>
      </w:r>
      <w:r>
        <w:t xml:space="preserve"> </w:t>
      </w:r>
      <w:r>
        <w:t xml:space="preserve">high-confidence NPIs against ABOG’s 252, and the two</w:t>
      </w:r>
      <w:r>
        <w:t xml:space="preserve"> </w:t>
      </w:r>
      <w:r>
        <w:t xml:space="preserve">agree on</w:t>
      </w:r>
      <w:r>
        <w:t xml:space="preserve"> </w:t>
      </w:r>
      <w:r>
        <w:rPr>
          <w:b/>
          <w:bCs/>
        </w:rPr>
        <w:t xml:space="preserve">251 of 252</w:t>
      </w:r>
      <w:r>
        <w:t xml:space="preserve"> </w:t>
      </w:r>
      <w:r>
        <w:t xml:space="preserve">(99.6%).</w:t>
      </w:r>
    </w:p>
    <w:p>
      <w:pPr>
        <w:pStyle w:val="BodyText"/>
      </w:pPr>
      <w:r>
        <w:t xml:space="preserve">The reordering is justified on reproducibility, not accuracy. Coverage moved</w:t>
      </w:r>
      <w:r>
        <w:t xml:space="preserve"> </w:t>
      </w:r>
      <w:r>
        <w:t xml:space="preserve">only 1,065 → 1,066, but</w:t>
      </w:r>
      <w:r>
        <w:t xml:space="preserve"> </w:t>
      </w:r>
      <w:r>
        <w:rPr>
          <w:b/>
          <w:bCs/>
        </w:rPr>
        <w:t xml:space="preserve">11 abstracts moved from a name-inferred tier to a</w:t>
      </w:r>
      <w:r>
        <w:rPr>
          <w:b/>
          <w:bCs/>
        </w:rPr>
        <w:t xml:space="preserve"> </w:t>
      </w:r>
      <w:r>
        <w:rPr>
          <w:b/>
          <w:bCs/>
        </w:rPr>
        <w:t xml:space="preserve">registry tier</w:t>
      </w:r>
      <w:r>
        <w:t xml:space="preserve">, and four values changed — three of them replacing a name</w:t>
      </w:r>
      <w:r>
        <w:t xml:space="preserve"> </w:t>
      </w:r>
      <w:r>
        <w:t xml:space="preserve">inference, two of those resting on a single first initial: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abstract</w:t>
            </w:r>
          </w:p>
        </w:tc>
        <w:tc>
          <w:tcPr/>
          <w:p>
            <w:pPr>
              <w:pStyle w:val="Compact"/>
            </w:pPr>
            <w:r>
              <w:t xml:space="preserve">was</w:t>
            </w:r>
          </w:p>
        </w:tc>
        <w:tc>
          <w:tcPr/>
          <w:p>
            <w:pPr>
              <w:pStyle w:val="Compact"/>
            </w:pPr>
            <w:r>
              <w:t xml:space="preserve">from</w:t>
            </w:r>
          </w:p>
        </w:tc>
        <w:tc>
          <w:tcPr/>
          <w:p>
            <w:pPr>
              <w:pStyle w:val="Compact"/>
            </w:pPr>
            <w:r>
              <w:t xml:space="preserve">now</w:t>
            </w:r>
          </w:p>
        </w:tc>
      </w:tr>
      <w:tr>
        <w:tc>
          <w:tcPr/>
          <w:p>
            <w:pPr>
              <w:pStyle w:val="Compact"/>
            </w:pPr>
            <w:r>
              <w:rPr>
                <w:rStyle w:val="VerbatimChar"/>
              </w:rPr>
              <w:t xml:space="preserve">AAGL2018_021</w:t>
            </w:r>
          </w:p>
        </w:tc>
        <w:tc>
          <w:tcPr/>
          <w:p>
            <w:pPr>
              <w:pStyle w:val="Compact"/>
            </w:pPr>
            <w:r>
              <w:t xml:space="preserve">male</w:t>
            </w:r>
          </w:p>
        </w:tc>
        <w:tc>
          <w:tcPr/>
          <w:p>
            <w:pPr>
              <w:pStyle w:val="Compact"/>
            </w:pPr>
            <w:r>
              <w:rPr>
                <w:rStyle w:val="VerbatimChar"/>
              </w:rPr>
              <w:t xml:space="preserve">ssa</w:t>
            </w:r>
            <w:r>
              <w:t xml:space="preserve"> </w:t>
            </w:r>
            <w:r>
              <w:t xml:space="preserve">(single initial)</w:t>
            </w:r>
          </w:p>
        </w:tc>
        <w:tc>
          <w:tcPr/>
          <w:p>
            <w:pPr>
              <w:pStyle w:val="Compact"/>
            </w:pPr>
            <w:r>
              <w:t xml:space="preserve">female</w:t>
            </w:r>
          </w:p>
        </w:tc>
      </w:tr>
      <w:tr>
        <w:tc>
          <w:tcPr/>
          <w:p>
            <w:pPr>
              <w:pStyle w:val="Compact"/>
            </w:pPr>
            <w:r>
              <w:rPr>
                <w:rStyle w:val="VerbatimChar"/>
              </w:rPr>
              <w:t xml:space="preserve">AAGL2021_053</w:t>
            </w:r>
          </w:p>
        </w:tc>
        <w:tc>
          <w:tcPr/>
          <w:p>
            <w:pPr>
              <w:pStyle w:val="Compact"/>
            </w:pPr>
            <w:r>
              <w:t xml:space="preserve">female</w:t>
            </w:r>
          </w:p>
        </w:tc>
        <w:tc>
          <w:tcPr/>
          <w:p>
            <w:pPr>
              <w:pStyle w:val="Compact"/>
            </w:pPr>
            <w:r>
              <w:rPr>
                <w:rStyle w:val="VerbatimChar"/>
              </w:rPr>
              <w:t xml:space="preserve">openalex_search</w:t>
            </w:r>
          </w:p>
        </w:tc>
        <w:tc>
          <w:tcPr/>
          <w:p>
            <w:pPr>
              <w:pStyle w:val="Compact"/>
            </w:pPr>
            <w:r>
              <w:t xml:space="preserve">male</w:t>
            </w:r>
          </w:p>
        </w:tc>
      </w:tr>
      <w:tr>
        <w:tc>
          <w:tcPr/>
          <w:p>
            <w:pPr>
              <w:pStyle w:val="Compact"/>
            </w:pPr>
            <w:r>
              <w:rPr>
                <w:rStyle w:val="VerbatimChar"/>
              </w:rPr>
              <w:t xml:space="preserve">AAGL2022_003</w:t>
            </w:r>
          </w:p>
        </w:tc>
        <w:tc>
          <w:tcPr/>
          <w:p>
            <w:pPr>
              <w:pStyle w:val="Compact"/>
            </w:pPr>
            <w:r>
              <w:t xml:space="preserve">male</w:t>
            </w:r>
          </w:p>
        </w:tc>
        <w:tc>
          <w:tcPr/>
          <w:p>
            <w:pPr>
              <w:pStyle w:val="Compact"/>
            </w:pPr>
            <w:r>
              <w:rPr>
                <w:rStyle w:val="VerbatimChar"/>
              </w:rPr>
              <w:t xml:space="preserve">ssa</w:t>
            </w:r>
            <w:r>
              <w:t xml:space="preserve"> </w:t>
            </w:r>
            <w:r>
              <w:t xml:space="preserve">(single initial)</w:t>
            </w:r>
          </w:p>
        </w:tc>
        <w:tc>
          <w:tcPr/>
          <w:p>
            <w:pPr>
              <w:pStyle w:val="Compact"/>
            </w:pPr>
            <w:r>
              <w:t xml:space="preserve">female</w:t>
            </w:r>
          </w:p>
        </w:tc>
      </w:tr>
      <w:tr>
        <w:tc>
          <w:tcPr/>
          <w:p>
            <w:pPr>
              <w:pStyle w:val="Compact"/>
            </w:pPr>
            <w:r>
              <w:rPr>
                <w:rStyle w:val="VerbatimChar"/>
              </w:rPr>
              <w:t xml:space="preserve">AAGL2022_031</w:t>
            </w:r>
          </w:p>
        </w:tc>
        <w:tc>
          <w:tcPr/>
          <w:p>
            <w:pPr>
              <w:pStyle w:val="Compact"/>
            </w:pPr>
            <w:r>
              <w:t xml:space="preserve">female</w:t>
            </w:r>
          </w:p>
        </w:tc>
        <w:tc>
          <w:tcPr/>
          <w:p>
            <w:pPr>
              <w:pStyle w:val="Compact"/>
            </w:pPr>
            <w:r>
              <w:rPr>
                <w:rStyle w:val="VerbatimChar"/>
              </w:rPr>
              <w:t xml:space="preserve">npi</w:t>
            </w:r>
            <w:r>
              <w:t xml:space="preserve"> </w:t>
            </w:r>
            <w:r>
              <w:t xml:space="preserve">(ABOG)</w:t>
            </w:r>
          </w:p>
        </w:tc>
        <w:tc>
          <w:tcPr/>
          <w:p>
            <w:pPr>
              <w:pStyle w:val="Compact"/>
            </w:pPr>
            <w:r>
              <w:t xml:space="preserve">male</w:t>
            </w:r>
          </w:p>
        </w:tc>
      </w:tr>
    </w:tbl>
    <w:p>
      <w:pPr>
        <w:pStyle w:val="BodyText"/>
      </w:pPr>
      <w:r>
        <w:t xml:space="preserve">The last is the only NPPES/ABOG disagreement and is logged to</w:t>
      </w:r>
      <w:r>
        <w:t xml:space="preserve"> </w:t>
      </w:r>
      <w:r>
        <w:rPr>
          <w:rStyle w:val="VerbatimChar"/>
        </w:rPr>
        <w:t xml:space="preserve">data/processed/gender_nppes_abog_conflicts.csv</w:t>
      </w:r>
      <w:r>
        <w:t xml:space="preserve"> </w:t>
      </w:r>
      <w:r>
        <w:t xml:space="preserve">rather than resolved silently.</w:t>
      </w:r>
      <w:r>
        <w:t xml:space="preserve"> </w:t>
      </w:r>
      <w:r>
        <w:t xml:space="preserve">267 of the 1,066 resolved genders now come from a registry; 287 still rest on a</w:t>
      </w:r>
      <w:r>
        <w:t xml:space="preserve"> </w:t>
      </w:r>
      <w:r>
        <w:t xml:space="preserve">single initial.</w:t>
      </w:r>
    </w:p>
    <w:p>
      <w:pPr>
        <w:pStyle w:val="BodyText"/>
      </w:pPr>
      <w:r>
        <w:rPr>
          <w:rStyle w:val="VerbatimChar"/>
        </w:rPr>
        <w:t xml:space="preserve">R/10_npi_matching.R</w:t>
      </w:r>
      <w:r>
        <w:t xml:space="preserve"> </w:t>
      </w:r>
      <w:r>
        <w:t xml:space="preserve">was hardened at the same time. Its missing-file guard</w:t>
      </w:r>
      <w:r>
        <w:t xml:space="preserve"> </w:t>
      </w:r>
      <w:r>
        <w:t xml:space="preserve">called</w:t>
      </w:r>
      <w:r>
        <w:t xml:space="preserve"> </w:t>
      </w:r>
      <w:r>
        <w:rPr>
          <w:rStyle w:val="VerbatimChar"/>
        </w:rPr>
        <w:t xml:space="preserve">invisible(NULL)</w:t>
      </w:r>
      <w:r>
        <w:t xml:space="preserve">, which does not stop a sourced script, so a missing</w:t>
      </w:r>
      <w:r>
        <w:t xml:space="preserve"> </w:t>
      </w:r>
      <w:r>
        <w:t xml:space="preserve">pool aborted the whole pipeline at that step; the body is now conditional. The</w:t>
      </w:r>
      <w:r>
        <w:t xml:space="preserve"> </w:t>
      </w:r>
      <w:r>
        <w:t xml:space="preserve">loader maps the renamed ABOG columns and</w:t>
      </w:r>
      <w:r>
        <w:t xml:space="preserve"> </w:t>
      </w:r>
      <w:r>
        <w:rPr>
          <w:b/>
          <w:bCs/>
        </w:rPr>
        <w:t xml:space="preserve">refuses to overwrite a richer sidecar</w:t>
      </w:r>
      <w:r>
        <w:rPr>
          <w:b/>
          <w:bCs/>
        </w:rPr>
        <w:t xml:space="preserve"> </w:t>
      </w:r>
      <w:r>
        <w:rPr>
          <w:b/>
          <w:bCs/>
        </w:rPr>
        <w:t xml:space="preserve">with a poorer one</w:t>
      </w:r>
      <w:r>
        <w:t xml:space="preserve">, writing</w:t>
      </w:r>
      <w:r>
        <w:t xml:space="preserve"> </w:t>
      </w:r>
      <w:r>
        <w:rPr>
          <w:rStyle w:val="VerbatimChar"/>
        </w:rPr>
        <w:t xml:space="preserve">npi_matches_nogender.csv</w:t>
      </w:r>
      <w:r>
        <w:t xml:space="preserve"> </w:t>
      </w:r>
      <w:r>
        <w:t xml:space="preserve">instead. Both external</w:t>
      </w:r>
      <w:r>
        <w:t xml:space="preserve"> </w:t>
      </w:r>
      <w:r>
        <w:t xml:space="preserve">paths moved from hard-coded absolutes into</w:t>
      </w:r>
      <w:r>
        <w:t xml:space="preserve"> </w:t>
      </w:r>
      <w:r>
        <w:rPr>
          <w:rStyle w:val="VerbatimChar"/>
        </w:rPr>
        <w:t xml:space="preserve">config.yml: external_data</w:t>
      </w:r>
      <w:r>
        <w:t xml:space="preserve">,</w:t>
      </w:r>
      <w:r>
        <w:t xml:space="preserve"> </w:t>
      </w:r>
      <w:r>
        <w:t xml:space="preserve">overridable by</w:t>
      </w:r>
      <w:r>
        <w:t xml:space="preserve"> </w:t>
      </w:r>
      <w:r>
        <w:rPr>
          <w:rStyle w:val="VerbatimChar"/>
        </w:rPr>
        <w:t xml:space="preserve">ABOG_NPI_PATH</w:t>
      </w:r>
      <w:r>
        <w:t xml:space="preserve"> </w:t>
      </w:r>
      <w:r>
        <w:t xml:space="preserve">and</w:t>
      </w:r>
      <w:r>
        <w:t xml:space="preserve"> </w:t>
      </w:r>
      <w:r>
        <w:rPr>
          <w:rStyle w:val="VerbatimChar"/>
        </w:rPr>
        <w:t xml:space="preserve">NPPES_DUCKDB_PATH</w:t>
      </w:r>
      <w:r>
        <w:t xml:space="preserve">.</w:t>
      </w:r>
    </w:p>
    <w:bookmarkEnd w:id="190"/>
    <w:bookmarkStart w:id="191" w:name="a15.4-the-model-variable-screen"/>
    <w:p>
      <w:pPr>
        <w:pStyle w:val="Heading3"/>
      </w:pPr>
      <w:r>
        <w:t xml:space="preserve">A15.4 The model variable screen</w:t>
      </w:r>
    </w:p>
    <w:p>
      <w:pPr>
        <w:pStyle w:val="FirstParagraph"/>
      </w:pPr>
      <w:r>
        <w:t xml:space="preserve">Both models selected their terms with an inline</w:t>
      </w:r>
      <w:r>
        <w:t xml:space="preserve"> </w:t>
      </w:r>
      <w:r>
        <w:t xml:space="preserve">“&lt; 50% missing and &gt;= 2 distinct</w:t>
      </w:r>
      <w:r>
        <w:t xml:space="preserve"> </w:t>
      </w:r>
      <w:r>
        <w:t xml:space="preserve">values”</w:t>
      </w:r>
      <w:r>
        <w:t xml:space="preserve"> </w:t>
      </w:r>
      <w:r>
        <w:t xml:space="preserve">rule, written out twice and recording nothing.</w:t>
      </w:r>
      <w:r>
        <w:t xml:space="preserve"> </w:t>
      </w:r>
      <w:r>
        <w:rPr>
          <w:rStyle w:val="VerbatimChar"/>
        </w:rPr>
        <w:t xml:space="preserve">screen_model_vars()</w:t>
      </w:r>
      <w:r>
        <w:t xml:space="preserve"> </w:t>
      </w:r>
      <w:r>
        <w:t xml:space="preserve">in</w:t>
      </w:r>
      <w:r>
        <w:t xml:space="preserve"> </w:t>
      </w:r>
      <w:r>
        <w:rPr>
          <w:rStyle w:val="VerbatimChar"/>
        </w:rPr>
        <w:t xml:space="preserve">R/06_analyze_results.R</w:t>
      </w:r>
      <w:r>
        <w:t xml:space="preserve"> </w:t>
      </w:r>
      <w:r>
        <w:t xml:space="preserve">now applies one rule to both and writes a decision and</w:t>
      </w:r>
      <w:r>
        <w:t xml:space="preserve"> </w:t>
      </w:r>
      <w:r>
        <w:t xml:space="preserve">a reason for every candidate to</w:t>
      </w:r>
      <w:r>
        <w:t xml:space="preserve"> </w:t>
      </w:r>
      <w:r>
        <w:rPr>
          <w:rStyle w:val="VerbatimChar"/>
        </w:rPr>
        <w:t xml:space="preserve">output/model_variable_screen.csv</w:t>
      </w:r>
      <w:r>
        <w:t xml:space="preserve">, so the</w:t>
      </w:r>
      <w:r>
        <w:t xml:space="preserve"> </w:t>
      </w:r>
      <w:r>
        <w:t xml:space="preserve">specification is reconstructible from the outputs alone.</w:t>
      </w:r>
    </w:p>
    <w:p>
      <w:pPr>
        <w:pStyle w:val="BodyText"/>
      </w:pPr>
      <w:r>
        <w:t xml:space="preserve">Three criteria, in order: more than 50% missing; fewer than two distinct values;</w:t>
      </w:r>
      <w:r>
        <w:t xml:space="preserve"> </w:t>
      </w:r>
      <w:r>
        <w:t xml:space="preserve">and</w:t>
      </w:r>
      <w:r>
        <w:t xml:space="preserve"> </w:t>
      </w:r>
      <w:r>
        <w:rPr>
          <w:b/>
          <w:bCs/>
        </w:rPr>
        <w:t xml:space="preserve">near-zero variance</w:t>
      </w:r>
      <w:r>
        <w:t xml:space="preserve"> </w:t>
      </w:r>
      <w:r>
        <w:t xml:space="preserve">by the conventional rule (frequency ratio above 19</w:t>
      </w:r>
      <w:r>
        <w:t xml:space="preserve"> </w:t>
      </w:r>
      <w:r>
        <w:t xml:space="preserve">and distinct values below 10%). A candidate absent from the model frame is</w:t>
      </w:r>
      <w:r>
        <w:t xml:space="preserve"> </w:t>
      </w:r>
      <w:r>
        <w:t xml:space="preserve">recorded as</w:t>
      </w:r>
      <w:r>
        <w:t xml:space="preserve"> </w:t>
      </w:r>
      <w:r>
        <w:rPr>
          <w:rStyle w:val="VerbatimChar"/>
        </w:rPr>
        <w:t xml:space="preserve">absent</w:t>
      </w:r>
      <w:r>
        <w:t xml:space="preserve"> </w:t>
      </w:r>
      <w:r>
        <w:t xml:space="preserve">rather than silently removed — the candidate list is no</w:t>
      </w:r>
      <w:r>
        <w:t xml:space="preserve"> </w:t>
      </w:r>
      <w:r>
        <w:t xml:space="preserve">longer pre-intersected with</w:t>
      </w:r>
      <w:r>
        <w:t xml:space="preserve"> </w:t>
      </w:r>
      <w:r>
        <w:rPr>
          <w:rStyle w:val="VerbatimChar"/>
        </w:rPr>
        <w:t xml:space="preserve">names(km_data)</w:t>
      </w:r>
      <w:r>
        <w:t xml:space="preserve">.</w:t>
      </w:r>
    </w:p>
    <w:p>
      <w:pPr>
        <w:pStyle w:val="BodyText"/>
      </w:pPr>
      <w:r>
        <w:t xml:space="preserve">Two things this surfaced:</w:t>
      </w:r>
    </w:p>
    <w:p>
      <w:pPr>
        <w:pStyle w:val="Compact"/>
        <w:numPr>
          <w:ilvl w:val="0"/>
          <w:numId w:val="1010"/>
        </w:numPr>
      </w:pPr>
      <w:r>
        <w:rPr>
          <w:rStyle w:val="VerbatimChar"/>
          <w:b/>
          <w:bCs/>
        </w:rPr>
        <w:t xml:space="preserve">has_funding</w:t>
      </w:r>
      <w:r>
        <w:rPr>
          <w:b/>
          <w:bCs/>
        </w:rPr>
        <w:t xml:space="preserve"> </w:t>
      </w:r>
      <w:r>
        <w:rPr>
          <w:b/>
          <w:bCs/>
        </w:rPr>
        <w:t xml:space="preserve">is dropped from both models.</w:t>
      </w:r>
      <w:r>
        <w:t xml:space="preserve"> </w:t>
      </w:r>
      <w:r>
        <w:t xml:space="preserve">TRUE for 7 of 1,051 evaluated</w:t>
      </w:r>
      <w:r>
        <w:t xml:space="preserve"> </w:t>
      </w:r>
      <w:r>
        <w:t xml:space="preserve">abstracts, a frequency ratio of about 149:1. Its interval spanned an order of</w:t>
      </w:r>
      <w:r>
        <w:t xml:space="preserve"> </w:t>
      </w:r>
      <w:r>
        <w:t xml:space="preserve">magnitude in both models.</w:t>
      </w:r>
    </w:p>
    <w:p>
      <w:pPr>
        <w:pStyle w:val="Compact"/>
        <w:numPr>
          <w:ilvl w:val="0"/>
          <w:numId w:val="1010"/>
        </w:numPr>
      </w:pPr>
      <w:r>
        <w:rPr>
          <w:rStyle w:val="VerbatimChar"/>
          <w:b/>
          <w:bCs/>
        </w:rPr>
        <w:t xml:space="preserve">log_sample_size</w:t>
      </w:r>
      <w:r>
        <w:rPr>
          <w:b/>
          <w:bCs/>
        </w:rPr>
        <w:t xml:space="preserve"> </w:t>
      </w:r>
      <w:r>
        <w:rPr>
          <w:b/>
          <w:bCs/>
        </w:rPr>
        <w:t xml:space="preserve">is recorded as absent from the Cox model frame.</w:t>
      </w:r>
      <w:r>
        <w:t xml:space="preserve"> </w:t>
      </w:r>
      <w:r>
        <w:t xml:space="preserve">It has</w:t>
      </w:r>
      <w:r>
        <w:t xml:space="preserve"> </w:t>
      </w:r>
      <w:r>
        <w:t xml:space="preserve">always been listed as a Cox candidate and has never once entered the model,</w:t>
      </w:r>
      <w:r>
        <w:t xml:space="preserve"> </w:t>
      </w:r>
      <w:r>
        <w:t xml:space="preserve">because it is created inside the Aim 3 block only. That was invisible while</w:t>
      </w:r>
      <w:r>
        <w:t xml:space="preserve"> </w:t>
      </w:r>
      <w:r>
        <w:t xml:space="preserve">the candidate list was pre-intersected.</w:t>
      </w:r>
    </w:p>
    <w:p>
      <w:pPr>
        <w:pStyle w:val="FirstParagraph"/>
      </w:pPr>
      <w:r>
        <w:t xml:space="preserve">Every other coefficient moved by less than 0.03. But the Cox proportional</w:t>
      </w:r>
      <w:r>
        <w:t xml:space="preserve"> </w:t>
      </w:r>
      <w:r>
        <w:t xml:space="preserve">hazards global test moved from p = 0.056 to</w:t>
      </w:r>
      <w:r>
        <w:t xml:space="preserve"> </w:t>
      </w:r>
      <w:r>
        <w:rPr>
          <w:b/>
          <w:bCs/>
        </w:rPr>
        <w:t xml:space="preserve">p = 0.043</w:t>
      </w:r>
      <w:r>
        <w:t xml:space="preserve">, so the assumption is</w:t>
      </w:r>
      <w:r>
        <w:t xml:space="preserve"> </w:t>
      </w:r>
      <w:r>
        <w:t xml:space="preserve">now violated at α = 0.05. Removing a near-constant term made a latent violation</w:t>
      </w:r>
      <w:r>
        <w:t xml:space="preserve"> </w:t>
      </w:r>
      <w:r>
        <w:t xml:space="preserve">visible rather than creating one: the test was already only marginal at 171</w:t>
      </w:r>
      <w:r>
        <w:t xml:space="preserve"> </w:t>
      </w:r>
      <w:r>
        <w:t xml:space="preserve">events, against p = 0.32 when it had 104. The response — stratify, allow</w:t>
      </w:r>
      <w:r>
        <w:t xml:space="preserve"> </w:t>
      </w:r>
      <w:r>
        <w:t xml:space="preserve">time-varying coefficients, or report the hazard ratios explicitly as averages</w:t>
      </w:r>
      <w:r>
        <w:t xml:space="preserve"> </w:t>
      </w:r>
      <w:r>
        <w:t xml:space="preserve">over follow-up — is a methodological decision and has not been taken.</w:t>
      </w:r>
    </w:p>
    <w:p>
      <w:pPr>
        <w:pStyle w:val="BlockText"/>
      </w:pPr>
      <w:r>
        <w:rPr>
          <w:b/>
          <w:bCs/>
        </w:rPr>
        <w:t xml:space="preserve">Superseded.</w:t>
      </w:r>
      <w:r>
        <w:t xml:space="preserve"> </w:t>
      </w:r>
      <w:r>
        <w:t xml:space="preserve">That decision was taken on 2026-09-04 and is recorded in A16.</w:t>
      </w:r>
      <w:r>
        <w:t xml:space="preserve"> </w:t>
      </w:r>
      <w:r>
        <w:t xml:space="preserve">The p-values in this subsection are the values of 2026-09-04 and are left</w:t>
      </w:r>
      <w:r>
        <w:t xml:space="preserve"> </w:t>
      </w:r>
      <w:r>
        <w:t xml:space="preserve">unedited as the record of that day; every model term moved again on</w:t>
      </w:r>
      <w:r>
        <w:t xml:space="preserve"> </w:t>
      </w:r>
      <w:r>
        <w:t xml:space="preserve">2026-09-05 when the author-gender waterfall was corrected. For current</w:t>
      </w:r>
      <w:r>
        <w:t xml:space="preserve"> </w:t>
      </w:r>
      <w:r>
        <w:t xml:space="preserve">figures see A16 and</w:t>
      </w:r>
      <w:r>
        <w:t xml:space="preserve"> </w:t>
      </w:r>
      <w:r>
        <w:rPr>
          <w:rStyle w:val="VerbatimChar"/>
        </w:rPr>
        <w:t xml:space="preserve">output/</w:t>
      </w:r>
      <w:r>
        <w:t xml:space="preserve">.</w:t>
      </w:r>
      <w:r>
        <w:t xml:space="preserve"> </w:t>
      </w:r>
      <w:r>
        <w:rPr>
          <w:rStyle w:val="VerbatimChar"/>
        </w:rPr>
        <w:t xml:space="preserve">tests/testthat/test-pipeline_semantics.R</w:t>
      </w:r>
      <w:r>
        <w:t xml:space="preserve"> </w:t>
      </w:r>
      <w:r>
        <w:t xml:space="preserve">is left failing with an explanatory</w:t>
      </w:r>
      <w:r>
        <w:t xml:space="preserve"> </w:t>
      </w:r>
      <w:r>
        <w:t xml:space="preserve">message rather than relaxed.</w:t>
      </w:r>
    </w:p>
    <w:bookmarkEnd w:id="191"/>
    <w:bookmarkStart w:id="192" w:name="a15.5-how-stable-are-the-findings"/>
    <w:p>
      <w:pPr>
        <w:pStyle w:val="Heading3"/>
      </w:pPr>
      <w:r>
        <w:t xml:space="preserve">A15.5 How stable are the findings?</w:t>
      </w:r>
    </w:p>
    <w:p>
      <w:pPr>
        <w:pStyle w:val="FirstParagraph"/>
      </w:pPr>
      <w:r>
        <w:t xml:space="preserve">Neither model previously carried an influence, leave-one-out or stability</w:t>
      </w:r>
      <w:r>
        <w:t xml:space="preserve"> </w:t>
      </w:r>
      <w:r>
        <w:t xml:space="preserve">diagnostic.</w:t>
      </w:r>
      <w:r>
        <w:t xml:space="preserve"> </w:t>
      </w:r>
      <w:r>
        <w:rPr>
          <w:rStyle w:val="VerbatimChar"/>
        </w:rPr>
        <w:t xml:space="preserve">R/06d_model_stability.R</w:t>
      </w:r>
      <w:r>
        <w:t xml:space="preserve"> </w:t>
      </w:r>
      <w:r>
        <w:t xml:space="preserve">adds two, seeded from</w:t>
      </w:r>
      <w:r>
        <w:t xml:space="preserve"> </w:t>
      </w:r>
      <w:r>
        <w:rPr>
          <w:rStyle w:val="VerbatimChar"/>
        </w:rPr>
        <w:t xml:space="preserve">config.yml: pipeline$seed</w:t>
      </w:r>
      <w:r>
        <w:t xml:space="preserve">.</w:t>
      </w:r>
    </w:p>
    <w:p>
      <w:pPr>
        <w:pStyle w:val="BodyText"/>
      </w:pPr>
      <w:r>
        <w:rPr>
          <w:b/>
          <w:bCs/>
        </w:rPr>
        <w:t xml:space="preserve">Bootstrap predictor retention</w:t>
      </w:r>
      <w:r>
        <w:t xml:space="preserve">, 500 refits of the logistic model</w:t>
      </w:r>
      <w:r>
        <w:t xml:space="preserve"> </w:t>
      </w:r>
      <w:r>
        <w:t xml:space="preserve">(n = 1,011), counting how often each term stays significant at p &lt; 0.05.</w:t>
      </w:r>
      <w:r>
        <w:t xml:space="preserve"> </w:t>
      </w:r>
      <w:r>
        <w:t xml:space="preserve">These are the 2026-09-04 values, kept as the record of that run; the model was</w:t>
      </w:r>
      <w:r>
        <w:t xml:space="preserve"> </w:t>
      </w:r>
      <w:r>
        <w:t xml:space="preserve">refitted on 2026-09-05 after the gender correction and the current retention</w:t>
      </w:r>
      <w:r>
        <w:t xml:space="preserve"> </w:t>
      </w:r>
      <w:r>
        <w:t xml:space="preserve">figures are in</w:t>
      </w:r>
      <w:r>
        <w:t xml:space="preserve"> </w:t>
      </w:r>
      <w:r>
        <w:rPr>
          <w:rStyle w:val="VerbatimChar"/>
        </w:rPr>
        <w:t xml:space="preserve">output/model_predictor_stability.csv</w:t>
      </w:r>
      <w:r>
        <w:t xml:space="preserve"> </w:t>
      </w:r>
      <w:r>
        <w:t xml:space="preserve">and</w:t>
      </w:r>
      <w:r>
        <w:t xml:space="preserve"> </w:t>
      </w:r>
      <w:r>
        <w:t xml:space="preserve">docs/STATISTICAL_ANALYSIS.md: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predictor</w:t>
            </w:r>
          </w:p>
        </w:tc>
        <w:tc>
          <w:tcPr/>
          <w:p>
            <w:pPr>
              <w:pStyle w:val="Compact"/>
              <w:jc w:val="right"/>
            </w:pPr>
            <w:r>
              <w:t xml:space="preserve">retained</w:t>
            </w:r>
          </w:p>
        </w:tc>
      </w:tr>
      <w:tr>
        <w:tc>
          <w:tcPr/>
          <w:p>
            <w:pPr>
              <w:pStyle w:val="Compact"/>
            </w:pPr>
            <w:r>
              <w:rPr>
                <w:rStyle w:val="VerbatimChar"/>
              </w:rPr>
              <w:t xml:space="preserve">n_authors</w:t>
            </w:r>
          </w:p>
        </w:tc>
        <w:tc>
          <w:tcPr/>
          <w:p>
            <w:pPr>
              <w:pStyle w:val="Compact"/>
              <w:jc w:val="right"/>
            </w:pPr>
            <w:r>
              <w:rPr>
                <w:b/>
                <w:bCs/>
              </w:rPr>
              <w:t xml:space="preserve">97.2%</w:t>
            </w:r>
          </w:p>
        </w:tc>
      </w:tr>
      <w:tr>
        <w:tc>
          <w:tcPr/>
          <w:p>
            <w:pPr>
              <w:pStyle w:val="Compact"/>
            </w:pPr>
            <w:r>
              <w:rPr>
                <w:rStyle w:val="VerbatimChar"/>
              </w:rPr>
              <w:t xml:space="preserve">is_rct</w:t>
            </w:r>
          </w:p>
        </w:tc>
        <w:tc>
          <w:tcPr/>
          <w:p>
            <w:pPr>
              <w:pStyle w:val="Compact"/>
              <w:jc w:val="right"/>
            </w:pPr>
            <w:r>
              <w:rPr>
                <w:b/>
                <w:bCs/>
              </w:rPr>
              <w:t xml:space="preserve">93.6%</w:t>
            </w:r>
          </w:p>
        </w:tc>
      </w:tr>
      <w:tr>
        <w:tc>
          <w:tcPr/>
          <w:p>
            <w:pPr>
              <w:pStyle w:val="Compact"/>
            </w:pPr>
            <w:r>
              <w:rPr>
                <w:rStyle w:val="VerbatimChar"/>
              </w:rPr>
              <w:t xml:space="preserve">is_academic</w:t>
            </w:r>
          </w:p>
        </w:tc>
        <w:tc>
          <w:tcPr/>
          <w:p>
            <w:pPr>
              <w:pStyle w:val="Compact"/>
              <w:jc w:val="right"/>
            </w:pPr>
            <w:r>
              <w:t xml:space="preserve">67.4%</w:t>
            </w:r>
          </w:p>
        </w:tc>
      </w:tr>
      <w:tr>
        <w:tc>
          <w:tcPr/>
          <w:p>
            <w:pPr>
              <w:pStyle w:val="Compact"/>
            </w:pPr>
            <w:r>
              <w:rPr>
                <w:rStyle w:val="VerbatimChar"/>
              </w:rPr>
              <w:t xml:space="preserve">is_us_based</w:t>
            </w:r>
          </w:p>
        </w:tc>
        <w:tc>
          <w:tcPr/>
          <w:p>
            <w:pPr>
              <w:pStyle w:val="Compact"/>
              <w:jc w:val="right"/>
            </w:pPr>
            <w:r>
              <w:t xml:space="preserve">42.4%</w:t>
            </w:r>
          </w:p>
        </w:tc>
      </w:tr>
      <w:tr>
        <w:tc>
          <w:tcPr/>
          <w:p>
            <w:pPr>
              <w:pStyle w:val="Compact"/>
            </w:pPr>
            <w:r>
              <w:rPr>
                <w:rStyle w:val="VerbatimChar"/>
              </w:rPr>
              <w:t xml:space="preserve">log_sample_size</w:t>
            </w:r>
          </w:p>
        </w:tc>
        <w:tc>
          <w:tcPr/>
          <w:p>
            <w:pPr>
              <w:pStyle w:val="Compact"/>
              <w:jc w:val="right"/>
            </w:pPr>
            <w:r>
              <w:t xml:space="preserve">27.4%</w:t>
            </w:r>
          </w:p>
        </w:tc>
      </w:tr>
      <w:tr>
        <w:tc>
          <w:tcPr/>
          <w:p>
            <w:pPr>
              <w:pStyle w:val="Compact"/>
            </w:pPr>
            <w:r>
              <w:rPr>
                <w:rStyle w:val="VerbatimChar"/>
              </w:rPr>
              <w:t xml:space="preserve">is_multicenter</w:t>
            </w:r>
          </w:p>
        </w:tc>
        <w:tc>
          <w:tcPr/>
          <w:p>
            <w:pPr>
              <w:pStyle w:val="Compact"/>
              <w:jc w:val="right"/>
            </w:pPr>
            <w:r>
              <w:t xml:space="preserve">25.0%</w:t>
            </w:r>
          </w:p>
        </w:tc>
      </w:tr>
      <w:tr>
        <w:tc>
          <w:tcPr/>
          <w:p>
            <w:pPr>
              <w:pStyle w:val="Compact"/>
            </w:pPr>
            <w:r>
              <w:rPr>
                <w:rStyle w:val="VerbatimChar"/>
              </w:rPr>
              <w:t xml:space="preserve">gender_unified</w:t>
            </w:r>
          </w:p>
        </w:tc>
        <w:tc>
          <w:tcPr/>
          <w:p>
            <w:pPr>
              <w:pStyle w:val="Compact"/>
              <w:jc w:val="right"/>
            </w:pPr>
            <w:r>
              <w:t xml:space="preserve">17.0%</w:t>
            </w:r>
          </w:p>
        </w:tc>
      </w:tr>
    </w:tbl>
    <w:p>
      <w:pPr>
        <w:pStyle w:val="BodyText"/>
      </w:pPr>
      <w:r>
        <w:rPr>
          <w:b/>
          <w:bCs/>
        </w:rPr>
        <w:t xml:space="preserve">Leave-one-congress-out</w:t>
      </w:r>
      <w:r>
        <w:t xml:space="preserve">, the model refitted twelve times dropping each</w:t>
      </w:r>
      <w:r>
        <w:t xml:space="preserve"> </w:t>
      </w:r>
      <w:r>
        <w:t xml:space="preserve">congress in turn, for all seven terms — 84 refits, all converged, no term</w:t>
      </w:r>
      <w:r>
        <w:t xml:space="preserve"> </w:t>
      </w:r>
      <w:r>
        <w:t xml:space="preserve">changing direction. This matters specifically because 2017 and 2018 have no</w:t>
      </w:r>
      <w:r>
        <w:t xml:space="preserve"> </w:t>
      </w:r>
      <w:r>
        <w:t xml:space="preserve">recoverable abstract text and their covariates are near-constant; a finding</w:t>
      </w:r>
      <w:r>
        <w:t xml:space="preserve"> </w:t>
      </w:r>
      <w:r>
        <w:t xml:space="preserve">resting on either would be an artefact.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ratio range</w:t>
            </w:r>
          </w:p>
        </w:tc>
        <w:tc>
          <w:tcPr/>
          <w:p>
            <w:pPr>
              <w:pStyle w:val="Compact"/>
              <w:jc w:val="right"/>
            </w:pPr>
            <w:r>
              <w:t xml:space="preserve">significant in</w:t>
            </w:r>
          </w:p>
        </w:tc>
      </w:tr>
      <w:tr>
        <w:tc>
          <w:tcPr/>
          <w:p>
            <w:pPr>
              <w:pStyle w:val="Compact"/>
            </w:pPr>
            <w:r>
              <w:rPr>
                <w:rStyle w:val="VerbatimChar"/>
              </w:rPr>
              <w:t xml:space="preserve">is_rctTRUE</w:t>
            </w:r>
          </w:p>
        </w:tc>
        <w:tc>
          <w:tcPr/>
          <w:p>
            <w:pPr>
              <w:pStyle w:val="Compact"/>
            </w:pPr>
            <w:r>
              <w:t xml:space="preserve">2.12 – 3.21</w:t>
            </w:r>
          </w:p>
        </w:tc>
        <w:tc>
          <w:tcPr/>
          <w:p>
            <w:pPr>
              <w:pStyle w:val="Compact"/>
              <w:jc w:val="right"/>
            </w:pPr>
            <w:r>
              <w:t xml:space="preserve">12 / 12</w:t>
            </w:r>
          </w:p>
        </w:tc>
      </w:tr>
      <w:tr>
        <w:tc>
          <w:tcPr/>
          <w:p>
            <w:pPr>
              <w:pStyle w:val="Compact"/>
            </w:pPr>
            <w:r>
              <w:rPr>
                <w:rStyle w:val="VerbatimChar"/>
              </w:rPr>
              <w:t xml:space="preserve">n_authors</w:t>
            </w:r>
          </w:p>
        </w:tc>
        <w:tc>
          <w:tcPr/>
          <w:p>
            <w:pPr>
              <w:pStyle w:val="Compact"/>
            </w:pPr>
            <w:r>
              <w:t xml:space="preserve">1.27 – 1.38</w:t>
            </w:r>
          </w:p>
        </w:tc>
        <w:tc>
          <w:tcPr/>
          <w:p>
            <w:pPr>
              <w:pStyle w:val="Compact"/>
              <w:jc w:val="right"/>
            </w:pPr>
            <w:r>
              <w:t xml:space="preserve">12 / 12</w:t>
            </w:r>
          </w:p>
        </w:tc>
      </w:tr>
      <w:tr>
        <w:tc>
          <w:tcPr/>
          <w:p>
            <w:pPr>
              <w:pStyle w:val="Compact"/>
            </w:pPr>
            <w:r>
              <w:rPr>
                <w:rStyle w:val="VerbatimChar"/>
              </w:rPr>
              <w:t xml:space="preserve">is_academicTRUE</w:t>
            </w:r>
          </w:p>
        </w:tc>
        <w:tc>
          <w:tcPr/>
          <w:p>
            <w:pPr>
              <w:pStyle w:val="Compact"/>
            </w:pPr>
            <w:r>
              <w:t xml:space="preserve">0.55 – 0.66</w:t>
            </w:r>
          </w:p>
        </w:tc>
        <w:tc>
          <w:tcPr/>
          <w:p>
            <w:pPr>
              <w:pStyle w:val="Compact"/>
              <w:jc w:val="right"/>
            </w:pPr>
            <w:r>
              <w:t xml:space="preserve">12 / 12</w:t>
            </w:r>
          </w:p>
        </w:tc>
      </w:tr>
      <w:tr>
        <w:tc>
          <w:tcPr/>
          <w:p>
            <w:pPr>
              <w:pStyle w:val="Compact"/>
            </w:pPr>
            <w:r>
              <w:rPr>
                <w:rStyle w:val="VerbatimChar"/>
              </w:rPr>
              <w:t xml:space="preserve">is_us_basedTRUE</w:t>
            </w:r>
          </w:p>
        </w:tc>
        <w:tc>
          <w:tcPr/>
          <w:p>
            <w:pPr>
              <w:pStyle w:val="Compact"/>
            </w:pPr>
            <w:r>
              <w:t xml:space="preserve">1.15 – 5.31</w:t>
            </w:r>
          </w:p>
        </w:tc>
        <w:tc>
          <w:tcPr/>
          <w:p>
            <w:pPr>
              <w:pStyle w:val="Compact"/>
              <w:jc w:val="right"/>
            </w:pPr>
            <w:r>
              <w:t xml:space="preserve">3 / 12</w:t>
            </w:r>
          </w:p>
        </w:tc>
      </w:tr>
      <w:tr>
        <w:tc>
          <w:tcPr/>
          <w:p>
            <w:pPr>
              <w:pStyle w:val="Compact"/>
            </w:pPr>
            <w:r>
              <w:rPr>
                <w:rStyle w:val="VerbatimChar"/>
              </w:rPr>
              <w:t xml:space="preserve">is_multicenterTRUE</w:t>
            </w:r>
          </w:p>
        </w:tc>
        <w:tc>
          <w:tcPr/>
          <w:p>
            <w:pPr>
              <w:pStyle w:val="Compact"/>
            </w:pPr>
            <w:r>
              <w:t xml:space="preserve">1.28 – 1.82</w:t>
            </w:r>
          </w:p>
        </w:tc>
        <w:tc>
          <w:tcPr/>
          <w:p>
            <w:pPr>
              <w:pStyle w:val="Compact"/>
              <w:jc w:val="right"/>
            </w:pPr>
            <w:r>
              <w:t xml:space="preserve">0 / 12</w:t>
            </w:r>
          </w:p>
        </w:tc>
      </w:tr>
      <w:tr>
        <w:tc>
          <w:tcPr/>
          <w:p>
            <w:pPr>
              <w:pStyle w:val="Compact"/>
            </w:pPr>
            <w:r>
              <w:rPr>
                <w:rStyle w:val="VerbatimChar"/>
              </w:rPr>
              <w:t xml:space="preserve">gender_unifiedmale</w:t>
            </w:r>
          </w:p>
        </w:tc>
        <w:tc>
          <w:tcPr/>
          <w:p>
            <w:pPr>
              <w:pStyle w:val="Compact"/>
            </w:pPr>
            <w:r>
              <w:t xml:space="preserve">0.78 – 0.90</w:t>
            </w:r>
          </w:p>
        </w:tc>
        <w:tc>
          <w:tcPr/>
          <w:p>
            <w:pPr>
              <w:pStyle w:val="Compact"/>
              <w:jc w:val="right"/>
            </w:pPr>
            <w:r>
              <w:t xml:space="preserve">0 / 12</w:t>
            </w:r>
          </w:p>
        </w:tc>
      </w:tr>
      <w:tr>
        <w:tc>
          <w:tcPr/>
          <w:p>
            <w:pPr>
              <w:pStyle w:val="Compact"/>
            </w:pPr>
            <w:r>
              <w:rPr>
                <w:rStyle w:val="VerbatimChar"/>
              </w:rPr>
              <w:t xml:space="preserve">log_sample_size</w:t>
            </w:r>
          </w:p>
        </w:tc>
        <w:tc>
          <w:tcPr/>
          <w:p>
            <w:pPr>
              <w:pStyle w:val="Compact"/>
            </w:pPr>
            <w:r>
              <w:t xml:space="preserve">0.92 – 0.97</w:t>
            </w:r>
          </w:p>
        </w:tc>
        <w:tc>
          <w:tcPr/>
          <w:p>
            <w:pPr>
              <w:pStyle w:val="Compact"/>
              <w:jc w:val="right"/>
            </w:pPr>
            <w:r>
              <w:t xml:space="preserve">1 / 12</w:t>
            </w:r>
          </w:p>
        </w:tc>
      </w:tr>
    </w:tbl>
    <w:p>
      <w:pPr>
        <w:pStyle w:val="BodyText"/>
      </w:pPr>
      <w:r>
        <w:t xml:space="preserve">The two diagnostics disagree about</w:t>
      </w:r>
      <w:r>
        <w:t xml:space="preserve"> </w:t>
      </w:r>
      <w:r>
        <w:rPr>
          <w:rStyle w:val="VerbatimChar"/>
        </w:rPr>
        <w:t xml:space="preserve">is_academic</w:t>
      </w:r>
      <w:r>
        <w:t xml:space="preserve">, and the disagreement is the</w:t>
      </w:r>
      <w:r>
        <w:t xml:space="preserve"> </w:t>
      </w:r>
      <w:r>
        <w:t xml:space="preserve">useful part. It is significant in</w:t>
      </w:r>
      <w:r>
        <w:t xml:space="preserve"> </w:t>
      </w:r>
      <w:r>
        <w:rPr>
          <w:b/>
          <w:bCs/>
        </w:rPr>
        <w:t xml:space="preserve">all twelve</w:t>
      </w:r>
      <w:r>
        <w:t xml:space="preserve"> </w:t>
      </w:r>
      <w:r>
        <w:t xml:space="preserve">congress-drop refits, so it is</w:t>
      </w:r>
      <w:r>
        <w:t xml:space="preserve"> </w:t>
      </w:r>
      <w:r>
        <w:t xml:space="preserve">not driven by any single congress, but survives only</w:t>
      </w:r>
      <w:r>
        <w:t xml:space="preserve"> </w:t>
      </w:r>
      <w:r>
        <w:rPr>
          <w:b/>
          <w:bCs/>
        </w:rPr>
        <w:t xml:space="preserve">67.4%</w:t>
      </w:r>
      <w:r>
        <w:t xml:space="preserve"> </w:t>
      </w:r>
      <w:r>
        <w:t xml:space="preserve">of bootstrap</w:t>
      </w:r>
      <w:r>
        <w:t xml:space="preserve"> </w:t>
      </w:r>
      <w:r>
        <w:t xml:space="preserve">resamples, so it is sensitive to which</w:t>
      </w:r>
      <w:r>
        <w:t xml:space="preserve"> </w:t>
      </w:r>
      <w:r>
        <w:rPr>
          <w:i/>
          <w:iCs/>
        </w:rPr>
        <w:t xml:space="preserve">abstracts</w:t>
      </w:r>
      <w:r>
        <w:t xml:space="preserve"> </w:t>
      </w:r>
      <w:r>
        <w:t xml:space="preserve">are drawn. They measure</w:t>
      </w:r>
      <w:r>
        <w:t xml:space="preserve"> </w:t>
      </w:r>
      <w:r>
        <w:t xml:space="preserve">different things.</w:t>
      </w:r>
      <w:r>
        <w:t xml:space="preserve"> </w:t>
      </w:r>
      <w:r>
        <w:rPr>
          <w:rStyle w:val="VerbatimChar"/>
        </w:rPr>
        <w:t xml:space="preserve">is_academic</w:t>
      </w:r>
      <w:r>
        <w:t xml:space="preserve"> </w:t>
      </w:r>
      <w:r>
        <w:t xml:space="preserve">should be reported with that qualification</w:t>
      </w:r>
      <w:r>
        <w:t xml:space="preserve"> </w:t>
      </w:r>
      <w:r>
        <w:t xml:space="preserve">rather than as a headline.</w:t>
      </w:r>
      <w:r>
        <w:t xml:space="preserve"> </w:t>
      </w:r>
      <w:r>
        <w:rPr>
          <w:rStyle w:val="VerbatimChar"/>
        </w:rPr>
        <w:t xml:space="preserve">is_rct</w:t>
      </w:r>
      <w:r>
        <w:t xml:space="preserve"> </w:t>
      </w:r>
      <w:r>
        <w:t xml:space="preserve">and</w:t>
      </w:r>
      <w:r>
        <w:t xml:space="preserve"> </w:t>
      </w:r>
      <w:r>
        <w:rPr>
          <w:rStyle w:val="VerbatimChar"/>
        </w:rPr>
        <w:t xml:space="preserve">n_authors</w:t>
      </w:r>
      <w:r>
        <w:t xml:space="preserve"> </w:t>
      </w:r>
      <w:r>
        <w:t xml:space="preserve">pass both.</w:t>
      </w:r>
    </w:p>
    <w:bookmarkEnd w:id="192"/>
    <w:bookmarkStart w:id="193" w:name="a15.6-missing-data"/>
    <w:p>
      <w:pPr>
        <w:pStyle w:val="Heading3"/>
      </w:pPr>
      <w:r>
        <w:t xml:space="preserve">A15.6 Missing data</w:t>
      </w:r>
    </w:p>
    <w:p>
      <w:pPr>
        <w:pStyle w:val="FirstParagraph"/>
      </w:pPr>
      <w:r>
        <w:t xml:space="preserve">The Methods stated</w:t>
      </w:r>
      <w:r>
        <w:t xml:space="preserve"> </w:t>
      </w:r>
      <w:r>
        <w:t xml:space="preserve">“complete-case throughout, no imputation”</w:t>
      </w:r>
      <w:r>
        <w:t xml:space="preserve"> </w:t>
      </w:r>
      <w:r>
        <w:t xml:space="preserve">and reported no</w:t>
      </w:r>
      <w:r>
        <w:t xml:space="preserve"> </w:t>
      </w:r>
      <w:r>
        <w:t xml:space="preserve">missingness table and no mechanism test.</w:t>
      </w:r>
      <w:r>
        <w:t xml:space="preserve"> </w:t>
      </w:r>
      <w:r>
        <w:rPr>
          <w:rStyle w:val="VerbatimChar"/>
        </w:rPr>
        <w:t xml:space="preserve">R/06b_missingness.R</w:t>
      </w:r>
      <w:r>
        <w:t xml:space="preserve"> </w:t>
      </w:r>
      <w:r>
        <w:t xml:space="preserve">produces both.</w:t>
      </w:r>
    </w:p>
    <w:p>
      <w:pPr>
        <w:pStyle w:val="BodyText"/>
      </w:pPr>
      <w:r>
        <w:t xml:space="preserve">Little’s MCAR test over the numeric block gives chi-square 28.8, df 7,</w:t>
      </w:r>
      <w:r>
        <w:t xml:space="preserve"> </w:t>
      </w:r>
      <w:r>
        <w:rPr>
          <w:b/>
          <w:bCs/>
        </w:rPr>
        <w:t xml:space="preserve">p = 0.00015</w:t>
      </w:r>
      <w:r>
        <w:t xml:space="preserve"> </w:t>
      </w:r>
      <w:r>
        <w:t xml:space="preserve">— MCAR is rejected. Two caveats travel with that and are written</w:t>
      </w:r>
      <w:r>
        <w:t xml:space="preserve"> </w:t>
      </w:r>
      <w:r>
        <w:t xml:space="preserve">into</w:t>
      </w:r>
      <w:r>
        <w:t xml:space="preserve"> </w:t>
      </w:r>
      <w:r>
        <w:rPr>
          <w:rStyle w:val="VerbatimChar"/>
        </w:rPr>
        <w:t xml:space="preserve">output/missingness_mcar.csv</w:t>
      </w:r>
      <w:r>
        <w:t xml:space="preserve"> </w:t>
      </w:r>
      <w:r>
        <w:t xml:space="preserve">rather than left implicit: the test covers</w:t>
      </w:r>
      <w:r>
        <w:t xml:space="preserve"> </w:t>
      </w:r>
      <w:r>
        <w:t xml:space="preserve">only the numeric variables, and at N = 1,106 it is powered enough to reject on</w:t>
      </w:r>
      <w:r>
        <w:t xml:space="preserve"> </w:t>
      </w:r>
      <w:r>
        <w:t xml:space="preserve">minor deviations.</w:t>
      </w:r>
    </w:p>
    <w:p>
      <w:pPr>
        <w:pStyle w:val="BodyText"/>
      </w:pPr>
      <w:r>
        <w:t xml:space="preserve">More consequentially, the script tests the assumption the denominator rests on</w:t>
      </w:r>
      <w:r>
        <w:t xml:space="preserve"> </w:t>
      </w:r>
      <w:r>
        <w:t xml:space="preserve">by comparing the 55 unresolved abstracts against the 1,051 evaluated across</w:t>
      </w:r>
      <w:r>
        <w:t xml:space="preserve"> </w:t>
      </w:r>
      <w:r>
        <w:t xml:space="preserve">every model covariate: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covariate</w:t>
            </w:r>
          </w:p>
        </w:tc>
        <w:tc>
          <w:tcPr/>
          <w:p>
            <w:pPr>
              <w:pStyle w:val="Compact"/>
              <w:jc w:val="right"/>
            </w:pPr>
            <w:r>
              <w:t xml:space="preserve">unresolved</w:t>
            </w:r>
          </w:p>
        </w:tc>
        <w:tc>
          <w:tcPr/>
          <w:p>
            <w:pPr>
              <w:pStyle w:val="Compact"/>
              <w:jc w:val="right"/>
            </w:pPr>
            <w:r>
              <w:t xml:space="preserve">evaluated</w:t>
            </w:r>
          </w:p>
        </w:tc>
        <w:tc>
          <w:tcPr/>
          <w:p>
            <w:pPr>
              <w:pStyle w:val="Compact"/>
              <w:jc w:val="right"/>
            </w:pPr>
            <w:r>
              <w:t xml:space="preserve">p</w:t>
            </w:r>
          </w:p>
        </w:tc>
        <w:tc>
          <w:tcPr/>
          <w:p>
            <w:pPr>
              <w:pStyle w:val="Compact"/>
            </w:pPr>
          </w:p>
        </w:tc>
      </w:tr>
      <w:tr>
        <w:tc>
          <w:tcPr/>
          <w:p>
            <w:pPr>
              <w:pStyle w:val="Compact"/>
            </w:pPr>
            <w:r>
              <w:rPr>
                <w:rStyle w:val="VerbatimChar"/>
              </w:rPr>
              <w:t xml:space="preserve">study_design</w:t>
            </w:r>
          </w:p>
        </w:tc>
        <w:tc>
          <w:tcPr/>
          <w:p>
            <w:pPr>
              <w:pStyle w:val="Compact"/>
              <w:jc w:val="right"/>
            </w:pPr>
            <w:r>
              <w:t xml:space="preserve">—</w:t>
            </w:r>
          </w:p>
        </w:tc>
        <w:tc>
          <w:tcPr/>
          <w:p>
            <w:pPr>
              <w:pStyle w:val="Compact"/>
              <w:jc w:val="right"/>
            </w:pPr>
            <w:r>
              <w:t xml:space="preserve">—</w:t>
            </w:r>
          </w:p>
        </w:tc>
        <w:tc>
          <w:tcPr/>
          <w:p>
            <w:pPr>
              <w:pStyle w:val="Compact"/>
              <w:jc w:val="right"/>
            </w:pPr>
            <w:r>
              <w:t xml:space="preserve">0.0004</w:t>
            </w:r>
          </w:p>
        </w:tc>
        <w:tc>
          <w:tcPr/>
          <w:p>
            <w:pPr>
              <w:pStyle w:val="Compact"/>
            </w:pPr>
            <w:r>
              <w:rPr>
                <w:b/>
                <w:bCs/>
              </w:rPr>
              <w:t xml:space="preserve">substantive</w:t>
            </w:r>
          </w:p>
        </w:tc>
      </w:tr>
      <w:tr>
        <w:tc>
          <w:tcPr/>
          <w:p>
            <w:pPr>
              <w:pStyle w:val="Compact"/>
            </w:pPr>
            <w:r>
              <w:rPr>
                <w:rStyle w:val="VerbatimChar"/>
              </w:rPr>
              <w:t xml:space="preserve">n_authors</w:t>
            </w:r>
          </w:p>
        </w:tc>
        <w:tc>
          <w:tcPr/>
          <w:p>
            <w:pPr>
              <w:pStyle w:val="Compact"/>
              <w:jc w:val="right"/>
            </w:pPr>
            <w:r>
              <w:t xml:space="preserve">3.51</w:t>
            </w:r>
          </w:p>
        </w:tc>
        <w:tc>
          <w:tcPr/>
          <w:p>
            <w:pPr>
              <w:pStyle w:val="Compact"/>
              <w:jc w:val="right"/>
            </w:pPr>
            <w:r>
              <w:t xml:space="preserve">3.90</w:t>
            </w:r>
          </w:p>
        </w:tc>
        <w:tc>
          <w:tcPr/>
          <w:p>
            <w:pPr>
              <w:pStyle w:val="Compact"/>
              <w:jc w:val="right"/>
            </w:pPr>
            <w:r>
              <w:t xml:space="preserve">0.013</w:t>
            </w:r>
          </w:p>
        </w:tc>
        <w:tc>
          <w:tcPr/>
          <w:p>
            <w:pPr>
              <w:pStyle w:val="Compact"/>
            </w:pPr>
            <w:r>
              <w:rPr>
                <w:b/>
                <w:bCs/>
              </w:rPr>
              <w:t xml:space="preserve">substantive</w:t>
            </w:r>
          </w:p>
        </w:tc>
      </w:tr>
      <w:tr>
        <w:tc>
          <w:tcPr/>
          <w:p>
            <w:pPr>
              <w:pStyle w:val="Compact"/>
            </w:pPr>
            <w:r>
              <w:rPr>
                <w:rStyle w:val="VerbatimChar"/>
              </w:rPr>
              <w:t xml:space="preserve">best_score</w:t>
            </w:r>
          </w:p>
        </w:tc>
        <w:tc>
          <w:tcPr/>
          <w:p>
            <w:pPr>
              <w:pStyle w:val="Compact"/>
              <w:jc w:val="right"/>
            </w:pPr>
            <w:r>
              <w:t xml:space="preserve">4.72</w:t>
            </w:r>
          </w:p>
        </w:tc>
        <w:tc>
          <w:tcPr/>
          <w:p>
            <w:pPr>
              <w:pStyle w:val="Compact"/>
              <w:jc w:val="right"/>
            </w:pPr>
            <w:r>
              <w:t xml:space="preserve">3.23</w:t>
            </w:r>
          </w:p>
        </w:tc>
        <w:tc>
          <w:tcPr/>
          <w:p>
            <w:pPr>
              <w:pStyle w:val="Compact"/>
              <w:jc w:val="right"/>
            </w:pPr>
            <w:r>
              <w:t xml:space="preserve">&lt;0.001</w:t>
            </w:r>
          </w:p>
        </w:tc>
        <w:tc>
          <w:tcPr/>
          <w:p>
            <w:pPr>
              <w:pStyle w:val="Compact"/>
            </w:pPr>
            <w:r>
              <w:t xml:space="preserve">definitional</w:t>
            </w:r>
          </w:p>
        </w:tc>
      </w:tr>
      <w:tr>
        <w:tc>
          <w:tcPr/>
          <w:p>
            <w:pPr>
              <w:pStyle w:val="Compact"/>
            </w:pPr>
            <w:r>
              <w:rPr>
                <w:rStyle w:val="VerbatimChar"/>
              </w:rPr>
              <w:t xml:space="preserve">n_candidates</w:t>
            </w:r>
          </w:p>
        </w:tc>
        <w:tc>
          <w:tcPr/>
          <w:p>
            <w:pPr>
              <w:pStyle w:val="Compact"/>
              <w:jc w:val="right"/>
            </w:pPr>
            <w:r>
              <w:t xml:space="preserve">94.6</w:t>
            </w:r>
          </w:p>
        </w:tc>
        <w:tc>
          <w:tcPr/>
          <w:p>
            <w:pPr>
              <w:pStyle w:val="Compact"/>
              <w:jc w:val="right"/>
            </w:pPr>
            <w:r>
              <w:t xml:space="preserve">56.6</w:t>
            </w:r>
          </w:p>
        </w:tc>
        <w:tc>
          <w:tcPr/>
          <w:p>
            <w:pPr>
              <w:pStyle w:val="Compact"/>
              <w:jc w:val="right"/>
            </w:pPr>
            <w:r>
              <w:t xml:space="preserve">0.22</w:t>
            </w:r>
          </w:p>
        </w:tc>
        <w:tc>
          <w:tcPr/>
          <w:p>
            <w:pPr>
              <w:pStyle w:val="Compact"/>
            </w:pPr>
            <w:r>
              <w:t xml:space="preserve">definitional</w:t>
            </w:r>
          </w:p>
        </w:tc>
      </w:tr>
    </w:tbl>
    <w:p>
      <w:pPr>
        <w:pStyle w:val="BodyText"/>
      </w:pPr>
      <w:r>
        <w:rPr>
          <w:rStyle w:val="VerbatimChar"/>
        </w:rPr>
        <w:t xml:space="preserve">best_score</w:t>
      </w:r>
      <w:r>
        <w:t xml:space="preserve"> </w:t>
      </w:r>
      <w:r>
        <w:t xml:space="preserve">and</w:t>
      </w:r>
      <w:r>
        <w:t xml:space="preserve"> </w:t>
      </w:r>
      <w:r>
        <w:rPr>
          <w:rStyle w:val="VerbatimChar"/>
        </w:rPr>
        <w:t xml:space="preserve">n_candidates</w:t>
      </w:r>
      <w:r>
        <w:t xml:space="preserve"> </w:t>
      </w:r>
      <w:r>
        <w:t xml:space="preserve">must differ: the unresolved are the mid-score</w:t>
      </w:r>
      <w:r>
        <w:t xml:space="preserve"> </w:t>
      </w:r>
      <w:r>
        <w:t xml:space="preserve">band by construction and the comparison group holds 709</w:t>
      </w:r>
      <w:r>
        <w:t xml:space="preserve"> </w:t>
      </w:r>
      <w:r>
        <w:rPr>
          <w:rStyle w:val="VerbatimChar"/>
        </w:rPr>
        <w:t xml:space="preserve">no_match</w:t>
      </w:r>
      <w:r>
        <w:t xml:space="preserve"> </w:t>
      </w:r>
      <w:r>
        <w:t xml:space="preserve">abstracts.</w:t>
      </w:r>
      <w:r>
        <w:t xml:space="preserve"> </w:t>
      </w:r>
      <w:r>
        <w:t xml:space="preserve">They are labelled definitional and excluded from the verdict.</w:t>
      </w:r>
    </w:p>
    <w:p>
      <w:pPr>
        <w:pStyle w:val="BodyText"/>
      </w:pPr>
      <w:r>
        <w:rPr>
          <w:b/>
          <w:bCs/>
        </w:rPr>
        <w:t xml:space="preserve">The 55 are not missing completely at random.</w:t>
      </w:r>
      <w:r>
        <w:t xml:space="preserve"> </w:t>
      </w:r>
      <w:r>
        <w:t xml:space="preserve">They differ on</w:t>
      </w:r>
      <w:r>
        <w:t xml:space="preserve"> </w:t>
      </w:r>
      <w:r>
        <w:rPr>
          <w:rStyle w:val="VerbatimChar"/>
        </w:rPr>
        <w:t xml:space="preserve">study_design</w:t>
      </w:r>
      <w:r>
        <w:t xml:space="preserve"> </w:t>
      </w:r>
      <w:r>
        <w:t xml:space="preserve">and on</w:t>
      </w:r>
      <w:r>
        <w:t xml:space="preserve"> </w:t>
      </w:r>
      <w:r>
        <w:rPr>
          <w:rStyle w:val="VerbatimChar"/>
        </w:rPr>
        <w:t xml:space="preserve">n_authors</w:t>
      </w:r>
      <w:r>
        <w:t xml:space="preserve">, and</w:t>
      </w:r>
      <w:r>
        <w:t xml:space="preserve"> </w:t>
      </w:r>
      <w:r>
        <w:rPr>
          <w:rStyle w:val="VerbatimChar"/>
        </w:rPr>
        <w:t xml:space="preserve">n_authors</w:t>
      </w:r>
      <w:r>
        <w:t xml:space="preserve"> </w:t>
      </w:r>
      <w:r>
        <w:t xml:space="preserve">is a significant predictor in both models.</w:t>
      </w:r>
      <w:r>
        <w:t xml:space="preserve"> </w:t>
      </w:r>
      <w:r>
        <w:t xml:space="preserve">Dropping them from the denominator assumes missing-at-random</w:t>
      </w:r>
      <w:r>
        <w:t xml:space="preserve"> </w:t>
      </w:r>
      <w:r>
        <w:rPr>
          <w:i/>
          <w:iCs/>
        </w:rPr>
        <w:t xml:space="preserve">given the observed</w:t>
      </w:r>
      <w:r>
        <w:rPr>
          <w:i/>
          <w:iCs/>
        </w:rPr>
        <w:t xml:space="preserve"> </w:t>
      </w:r>
      <w:r>
        <w:rPr>
          <w:i/>
          <w:iCs/>
        </w:rPr>
        <w:t xml:space="preserve">data</w:t>
      </w:r>
      <w:r>
        <w:t xml:space="preserve">, which is weaker and untestable. The bounds in A13 — 16.1% if all were</w:t>
      </w:r>
      <w:r>
        <w:t xml:space="preserve"> </w:t>
      </w:r>
      <w:r>
        <w:t xml:space="preserve">unpublished, 21.1% if all were published — are the honest envelope, and this</w:t>
      </w:r>
      <w:r>
        <w:t xml:space="preserve"> </w:t>
      </w:r>
      <w:r>
        <w:t xml:space="preserve">result is the reason to quote them.</w:t>
      </w:r>
    </w:p>
    <w:bookmarkEnd w:id="193"/>
    <w:bookmarkStart w:id="194" w:name="X246f9010855e97a42de4a4bd99cdda120c13eb6"/>
    <w:p>
      <w:pPr>
        <w:pStyle w:val="Heading3"/>
      </w:pPr>
      <w:r>
        <w:t xml:space="preserve">A15.7 Structural fixes with no effect on the numbers</w:t>
      </w:r>
    </w:p>
    <w:p>
      <w:pPr>
        <w:pStyle w:val="Compact"/>
        <w:numPr>
          <w:ilvl w:val="0"/>
          <w:numId w:val="1011"/>
        </w:numPr>
      </w:pPr>
      <w:r>
        <w:rPr>
          <w:rStyle w:val="VerbatimChar"/>
          <w:b/>
          <w:bCs/>
        </w:rPr>
        <w:t xml:space="preserve">R/05_adjudicate.R</w:t>
      </w:r>
      <w:r>
        <w:rPr>
          <w:b/>
          <w:bCs/>
        </w:rPr>
        <w:t xml:space="preserve"> </w:t>
      </w:r>
      <w:r>
        <w:rPr>
          <w:b/>
          <w:bCs/>
        </w:rPr>
        <w:t xml:space="preserve">no longer destroys the enrichment columns.</w:t>
      </w:r>
      <w:r>
        <w:t xml:space="preserve"> </w:t>
      </w:r>
      <w:r>
        <w:t xml:space="preserve">It rebuilds</w:t>
      </w:r>
      <w:r>
        <w:t xml:space="preserve"> </w:t>
      </w:r>
      <w:r>
        <w:rPr>
          <w:rStyle w:val="VerbatimChar"/>
        </w:rPr>
        <w:t xml:space="preserve">output/abstracts_with_matches.csv</w:t>
      </w:r>
      <w:r>
        <w:t xml:space="preserve"> </w:t>
      </w:r>
      <w:r>
        <w:t xml:space="preserve">from scratch with 46 columns while six</w:t>
      </w:r>
      <w:r>
        <w:t xml:space="preserve"> </w:t>
      </w:r>
      <w:r>
        <w:t xml:space="preserve">later stages add the rest in place, so re-running step 5 alone used to delete</w:t>
      </w:r>
      <w:r>
        <w:t xml:space="preserve"> </w:t>
      </w:r>
      <w:r>
        <w:t xml:space="preserve">41 columns and</w:t>
      </w:r>
      <w:r>
        <w:t xml:space="preserve"> </w:t>
      </w:r>
      <w:r>
        <w:rPr>
          <w:rStyle w:val="VerbatimChar"/>
        </w:rPr>
        <w:t xml:space="preserve">06</w:t>
      </w:r>
      <w:r>
        <w:t xml:space="preserve"> </w:t>
      </w:r>
      <w:r>
        <w:t xml:space="preserve">would then silently drop those model terms. It now</w:t>
      </w:r>
      <w:r>
        <w:t xml:space="preserve"> </w:t>
      </w:r>
      <w:r>
        <w:t xml:space="preserve">re-joins any column it does not own.</w:t>
      </w:r>
    </w:p>
    <w:p>
      <w:pPr>
        <w:pStyle w:val="Compact"/>
        <w:numPr>
          <w:ilvl w:val="0"/>
          <w:numId w:val="1011"/>
        </w:numPr>
      </w:pPr>
      <w:r>
        <w:rPr>
          <w:rStyle w:val="VerbatimChar"/>
          <w:b/>
          <w:bCs/>
        </w:rPr>
        <w:t xml:space="preserve">00_run_all.R</w:t>
      </w:r>
      <w:r>
        <w:rPr>
          <w:b/>
          <w:bCs/>
        </w:rPr>
        <w:t xml:space="preserve"> </w:t>
      </w:r>
      <w:r>
        <w:rPr>
          <w:b/>
          <w:bCs/>
        </w:rPr>
        <w:t xml:space="preserve">runs the demographics merge.</w:t>
      </w:r>
      <w:r>
        <w:t xml:space="preserve"> </w:t>
      </w:r>
      <w:r>
        <w:rPr>
          <w:rStyle w:val="VerbatimChar"/>
        </w:rPr>
        <w:t xml:space="preserve">R/10e_merge_demographics.R</w:t>
      </w:r>
      <w:r>
        <w:t xml:space="preserve"> </w:t>
      </w:r>
      <w:r>
        <w:t xml:space="preserve">and its four upstream scripts were reachable only through</w:t>
      </w:r>
      <w:r>
        <w:t xml:space="preserve"> </w:t>
      </w:r>
      <w:r>
        <w:rPr>
          <w:rStyle w:val="VerbatimChar"/>
        </w:rPr>
        <w:t xml:space="preserve">R/run_demographics.R</w:t>
      </w:r>
      <w:r>
        <w:t xml:space="preserve">, so a clean run of the master pipeline produced a</w:t>
      </w:r>
      <w:r>
        <w:t xml:space="preserve"> </w:t>
      </w:r>
      <w:r>
        <w:t xml:space="preserve">dataset with no</w:t>
      </w:r>
      <w:r>
        <w:t xml:space="preserve"> </w:t>
      </w:r>
      <w:r>
        <w:rPr>
          <w:rStyle w:val="VerbatimChar"/>
        </w:rPr>
        <w:t xml:space="preserve">gender_unified</w:t>
      </w:r>
      <w:r>
        <w:t xml:space="preserve">, no</w:t>
      </w:r>
      <w:r>
        <w:t xml:space="preserve"> </w:t>
      </w:r>
      <w:r>
        <w:rPr>
          <w:rStyle w:val="VerbatimChar"/>
        </w:rPr>
        <w:t xml:space="preserve">npi_*</w:t>
      </w:r>
      <w:r>
        <w:t xml:space="preserve"> </w:t>
      </w:r>
      <w:r>
        <w:t xml:space="preserve">and no</w:t>
      </w:r>
      <w:r>
        <w:t xml:space="preserve"> </w:t>
      </w:r>
      <w:r>
        <w:rPr>
          <w:rStyle w:val="VerbatimChar"/>
        </w:rPr>
        <w:t xml:space="preserve">state_unified</w:t>
      </w:r>
      <w:r>
        <w:t xml:space="preserve">.</w:t>
      </w:r>
    </w:p>
    <w:p>
      <w:pPr>
        <w:pStyle w:val="Compact"/>
        <w:numPr>
          <w:ilvl w:val="0"/>
          <w:numId w:val="1011"/>
        </w:numPr>
      </w:pPr>
      <w:r>
        <w:rPr>
          <w:rStyle w:val="VerbatimChar"/>
          <w:b/>
          <w:bCs/>
        </w:rPr>
        <w:t xml:space="preserve">07</w:t>
      </w:r>
      <w:r>
        <w:rPr>
          <w:b/>
          <w:bCs/>
        </w:rPr>
        <w:t xml:space="preserve"> </w:t>
      </w:r>
      <w:r>
        <w:rPr>
          <w:b/>
          <w:bCs/>
        </w:rPr>
        <w:t xml:space="preserve">and</w:t>
      </w:r>
      <w:r>
        <w:rPr>
          <w:b/>
          <w:bCs/>
        </w:rPr>
        <w:t xml:space="preserve"> </w:t>
      </w:r>
      <w:r>
        <w:rPr>
          <w:rStyle w:val="VerbatimChar"/>
          <w:b/>
          <w:bCs/>
        </w:rPr>
        <w:t xml:space="preserve">08</w:t>
      </w:r>
      <w:r>
        <w:rPr>
          <w:b/>
          <w:bCs/>
        </w:rPr>
        <w:t xml:space="preserve"> </w:t>
      </w:r>
      <w:r>
        <w:rPr>
          <w:b/>
          <w:bCs/>
        </w:rPr>
        <w:t xml:space="preserve">source</w:t>
      </w:r>
      <w:r>
        <w:rPr>
          <w:b/>
          <w:bCs/>
        </w:rPr>
        <w:t xml:space="preserve"> </w:t>
      </w:r>
      <w:r>
        <w:rPr>
          <w:rStyle w:val="VerbatimChar"/>
          <w:b/>
          <w:bCs/>
        </w:rPr>
        <w:t xml:space="preserve">R/utils_decisions.R</w:t>
      </w:r>
      <w:r>
        <w:t xml:space="preserve"> </w:t>
      </w:r>
      <w:r>
        <w:t xml:space="preserve">instead of each carrying an</w:t>
      </w:r>
      <w:r>
        <w:t xml:space="preserve"> </w:t>
      </w:r>
      <w:r>
        <w:t xml:space="preserve">inline copy of the outcome cascade that omitted the human-outranks-AUTO rule.</w:t>
      </w:r>
    </w:p>
    <w:p>
      <w:pPr>
        <w:pStyle w:val="Compact"/>
        <w:numPr>
          <w:ilvl w:val="0"/>
          <w:numId w:val="1011"/>
        </w:numPr>
      </w:pPr>
      <w:r>
        <w:rPr>
          <w:rStyle w:val="VerbatimChar"/>
          <w:b/>
          <w:bCs/>
        </w:rPr>
        <w:t xml:space="preserve">result_positivity</w:t>
      </w:r>
      <w:r>
        <w:rPr>
          <w:b/>
          <w:bCs/>
        </w:rPr>
        <w:t xml:space="preserve"> </w:t>
      </w:r>
      <w:r>
        <w:rPr>
          <w:b/>
          <w:bCs/>
        </w:rPr>
        <w:t xml:space="preserve">restored</w:t>
      </w:r>
      <w:r>
        <w:t xml:space="preserve"> </w:t>
      </w:r>
      <w:r>
        <w:t xml:space="preserve">to</w:t>
      </w:r>
      <w:r>
        <w:t xml:space="preserve"> </w:t>
      </w:r>
      <w:r>
        <w:rPr>
          <w:rStyle w:val="VerbatimChar"/>
        </w:rPr>
        <w:t xml:space="preserve">05</w:t>
      </w:r>
      <w:r>
        <w:t xml:space="preserve">’s</w:t>
      </w:r>
      <w:r>
        <w:t xml:space="preserve"> </w:t>
      </w:r>
      <w:r>
        <w:rPr>
          <w:rStyle w:val="VerbatimChar"/>
        </w:rPr>
        <w:t xml:space="preserve">select()</w:t>
      </w:r>
      <w:r>
        <w:t xml:space="preserve">, so the Aim 5</w:t>
      </w:r>
      <w:r>
        <w:t xml:space="preserve"> </w:t>
      </w:r>
      <w:r>
        <w:t xml:space="preserve">publication-bias block runs again after being silently gated off since</w:t>
      </w:r>
      <w:r>
        <w:t xml:space="preserve"> </w:t>
      </w:r>
      <w:r>
        <w:t xml:space="preserve">17 April 2026.</w:t>
      </w:r>
    </w:p>
    <w:p>
      <w:pPr>
        <w:pStyle w:val="Compact"/>
        <w:numPr>
          <w:ilvl w:val="0"/>
          <w:numId w:val="1011"/>
        </w:numPr>
      </w:pPr>
      <w:r>
        <w:rPr>
          <w:rStyle w:val="VerbatimChar"/>
          <w:b/>
          <w:bCs/>
        </w:rPr>
        <w:t xml:space="preserve">subspecialty_unified</w:t>
      </w:r>
      <w:r>
        <w:rPr>
          <w:b/>
          <w:bCs/>
        </w:rPr>
        <w:t xml:space="preserve"> </w:t>
      </w:r>
      <w:r>
        <w:rPr>
          <w:b/>
          <w:bCs/>
        </w:rPr>
        <w:t xml:space="preserve">harmonised</w:t>
      </w:r>
      <w:r>
        <w:t xml:space="preserve"> </w:t>
      </w:r>
      <w:r>
        <w:t xml:space="preserve">from 13 levels to 8.</w:t>
      </w:r>
      <w:r>
        <w:t xml:space="preserve"> </w:t>
      </w:r>
      <w:r>
        <w:rPr>
          <w:rStyle w:val="VerbatimChar"/>
        </w:rPr>
        <w:t xml:space="preserve">MIG</w:t>
      </w:r>
      <w:r>
        <w:t xml:space="preserve">/</w:t>
      </w:r>
      <w:r>
        <w:rPr>
          <w:rStyle w:val="VerbatimChar"/>
        </w:rPr>
        <w:t xml:space="preserve">MIGS</w:t>
      </w:r>
      <w:r>
        <w:t xml:space="preserve">,</w:t>
      </w:r>
      <w:r>
        <w:t xml:space="preserve"> </w:t>
      </w:r>
      <w:r>
        <w:rPr>
          <w:rStyle w:val="VerbatimChar"/>
        </w:rPr>
        <w:t xml:space="preserve">FPMRS</w:t>
      </w:r>
      <w:r>
        <w:t xml:space="preserve"> </w:t>
      </w:r>
      <w:r>
        <w:t xml:space="preserve">and its spelled-out form,</w:t>
      </w:r>
      <w:r>
        <w:t xml:space="preserve"> </w:t>
      </w:r>
      <w:r>
        <w:rPr>
          <w:rStyle w:val="VerbatimChar"/>
        </w:rPr>
        <w:t xml:space="preserve">Generalist</w:t>
      </w:r>
      <w:r>
        <w:t xml:space="preserve">/</w:t>
      </w:r>
      <w:r>
        <w:rPr>
          <w:rStyle w:val="VerbatimChar"/>
        </w:rPr>
        <w:t xml:space="preserve">general_OBGYN</w:t>
      </w:r>
      <w:r>
        <w:t xml:space="preserve"> </w:t>
      </w:r>
      <w:r>
        <w:t xml:space="preserve">were splitting</w:t>
      </w:r>
      <w:r>
        <w:t xml:space="preserve"> </w:t>
      </w:r>
      <w:r>
        <w:t xml:space="preserve">real categories in two.</w:t>
      </w:r>
    </w:p>
    <w:p>
      <w:pPr>
        <w:pStyle w:val="Compact"/>
        <w:numPr>
          <w:ilvl w:val="0"/>
          <w:numId w:val="1011"/>
        </w:numPr>
      </w:pPr>
      <w:r>
        <w:rPr>
          <w:b/>
          <w:bCs/>
        </w:rPr>
        <w:t xml:space="preserve">Thirteen joins in</w:t>
      </w:r>
      <w:r>
        <w:rPr>
          <w:b/>
          <w:bCs/>
        </w:rPr>
        <w:t xml:space="preserve"> </w:t>
      </w:r>
      <w:r>
        <w:rPr>
          <w:rStyle w:val="VerbatimChar"/>
          <w:b/>
          <w:bCs/>
        </w:rPr>
        <w:t xml:space="preserve">10e</w:t>
      </w:r>
      <w:r>
        <w:t xml:space="preserve"> </w:t>
      </w:r>
      <w:r>
        <w:t xml:space="preserve">now validate key uniqueness on the right table</w:t>
      </w:r>
      <w:r>
        <w:t xml:space="preserve"> </w:t>
      </w:r>
      <w:r>
        <w:t xml:space="preserve">before joining rather than checking the row count afterwards.</w:t>
      </w:r>
    </w:p>
    <w:p>
      <w:pPr>
        <w:pStyle w:val="Compact"/>
        <w:numPr>
          <w:ilvl w:val="0"/>
          <w:numId w:val="1011"/>
        </w:numPr>
      </w:pPr>
      <w:r>
        <w:rPr>
          <w:b/>
          <w:bCs/>
        </w:rPr>
        <w:t xml:space="preserve">The Shiny deploy verifies before it can publish</w:t>
      </w:r>
      <w:r>
        <w:t xml:space="preserve"> </w:t>
      </w:r>
      <w:r>
        <w:t xml:space="preserve">and is opt-in behind</w:t>
      </w:r>
      <w:r>
        <w:t xml:space="preserve"> </w:t>
      </w:r>
      <w:r>
        <w:rPr>
          <w:rStyle w:val="VerbatimChar"/>
        </w:rPr>
        <w:t xml:space="preserve">SHINY_DEPLOY</w:t>
      </w:r>
      <w:r>
        <w:t xml:space="preserve">. The bundle had been 135 days stale, so reviewers were</w:t>
      </w:r>
      <w:r>
        <w:t xml:space="preserve"> </w:t>
      </w:r>
      <w:r>
        <w:t xml:space="preserve">adjudicating against a pre-denominator-fix cohort and a candidate pool missing</w:t>
      </w:r>
      <w:r>
        <w:t xml:space="preserve"> </w:t>
      </w:r>
      <w:r>
        <w:t xml:space="preserve">283 winning PMIDs.</w:t>
      </w:r>
    </w:p>
    <w:bookmarkEnd w:id="194"/>
    <w:bookmarkStart w:id="195" w:name="a15.8-borrowed-code"/>
    <w:p>
      <w:pPr>
        <w:pStyle w:val="Heading3"/>
      </w:pPr>
      <w:r>
        <w:t xml:space="preserve">A15.8 Borrowed code</w:t>
      </w:r>
    </w:p>
    <w:p>
      <w:pPr>
        <w:pStyle w:val="FirstParagraph"/>
      </w:pPr>
      <w:r>
        <w:t xml:space="preserve">Five functions come from the</w:t>
      </w:r>
      <w:r>
        <w:t xml:space="preserve"> </w:t>
      </w:r>
      <w:r>
        <w:rPr>
          <w:rStyle w:val="VerbatimChar"/>
        </w:rPr>
        <w:t xml:space="preserve">mysterycall</w:t>
      </w:r>
      <w:r>
        <w:t xml:space="preserve"> </w:t>
      </w:r>
      <w:r>
        <w:t xml:space="preserve">package, pinned at commit</w:t>
      </w:r>
      <w:r>
        <w:t xml:space="preserve"> </w:t>
      </w:r>
      <w:r>
        <w:rPr>
          <w:rStyle w:val="VerbatimChar"/>
        </w:rPr>
        <w:t xml:space="preserve">42d66d92</w:t>
      </w:r>
      <w:r>
        <w:t xml:space="preserve"> </w:t>
      </w:r>
      <w:r>
        <w:t xml:space="preserve">in</w:t>
      </w:r>
      <w:r>
        <w:t xml:space="preserve"> </w:t>
      </w:r>
      <w:r>
        <w:rPr>
          <w:rStyle w:val="VerbatimChar"/>
        </w:rPr>
        <w:t xml:space="preserve">docs/REPRODUCIBILITY.md</w:t>
      </w:r>
      <w:r>
        <w:t xml:space="preserve">. Every use degrades to the previous</w:t>
      </w:r>
      <w:r>
        <w:t xml:space="preserve"> </w:t>
      </w:r>
      <w:r>
        <w:t xml:space="preserve">behaviour if the package is absent.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function</w:t>
            </w:r>
          </w:p>
        </w:tc>
        <w:tc>
          <w:tcPr/>
          <w:p>
            <w:pPr>
              <w:pStyle w:val="Compact"/>
            </w:pPr>
            <w:r>
              <w:t xml:space="preserve">what it replaced</w:t>
            </w:r>
          </w:p>
        </w:tc>
      </w:tr>
      <w:tr>
        <w:tc>
          <w:tcPr/>
          <w:p>
            <w:pPr>
              <w:pStyle w:val="Compact"/>
            </w:pPr>
            <w:r>
              <w:rPr>
                <w:rStyle w:val="VerbatimChar"/>
              </w:rPr>
              <w:t xml:space="preserve">mysterycall_nppes_gender()</w:t>
            </w:r>
          </w:p>
        </w:tc>
        <w:tc>
          <w:tcPr/>
          <w:p>
            <w:pPr>
              <w:pStyle w:val="Compact"/>
            </w:pPr>
            <w:r>
              <w:t xml:space="preserve">the unregenerable ABOG gender column (A15.3)</w:t>
            </w:r>
          </w:p>
        </w:tc>
      </w:tr>
      <w:tr>
        <w:tc>
          <w:tcPr/>
          <w:p>
            <w:pPr>
              <w:pStyle w:val="Compact"/>
            </w:pPr>
            <w:r>
              <w:rPr>
                <w:rStyle w:val="VerbatimChar"/>
              </w:rPr>
              <w:t xml:space="preserve">mysterycall_table1()</w:t>
            </w:r>
          </w:p>
        </w:tc>
        <w:tc>
          <w:tcPr/>
          <w:p>
            <w:pPr>
              <w:pStyle w:val="Compact"/>
            </w:pPr>
            <w:r>
              <w:t xml:space="preserve">a five-variable summarise with no test, now 35 rows over 10 variables with p-values</w:t>
            </w:r>
          </w:p>
        </w:tc>
      </w:tr>
      <w:tr>
        <w:tc>
          <w:tcPr/>
          <w:p>
            <w:pPr>
              <w:pStyle w:val="Compact"/>
            </w:pPr>
            <w:r>
              <w:rPr>
                <w:rStyle w:val="VerbatimChar"/>
              </w:rPr>
              <w:t xml:space="preserve">mysterycall_safe_left_join()</w:t>
            </w:r>
          </w:p>
        </w:tc>
        <w:tc>
          <w:tcPr/>
          <w:p>
            <w:pPr>
              <w:pStyle w:val="Compact"/>
            </w:pPr>
            <w:r>
              <w:t xml:space="preserve">a row-count assertion after the fact</w:t>
            </w:r>
          </w:p>
        </w:tc>
      </w:tr>
      <w:tr>
        <w:tc>
          <w:tcPr/>
          <w:p>
            <w:pPr>
              <w:pStyle w:val="Compact"/>
            </w:pPr>
            <w:r>
              <w:rPr>
                <w:rStyle w:val="VerbatimChar"/>
              </w:rPr>
              <w:t xml:space="preserve">build_missingness_mcar_table()</w:t>
            </w:r>
          </w:p>
        </w:tc>
        <w:tc>
          <w:tcPr/>
          <w:p>
            <w:pPr>
              <w:pStyle w:val="Compact"/>
            </w:pPr>
            <w:r>
              <w:t xml:space="preserve">nothing — there was no missingness reporting (A15.6)</w:t>
            </w:r>
          </w:p>
        </w:tc>
      </w:tr>
      <w:tr>
        <w:tc>
          <w:tcPr/>
          <w:p>
            <w:pPr>
              <w:pStyle w:val="Compact"/>
            </w:pPr>
            <w:r>
              <w:rPr>
                <w:rStyle w:val="VerbatimChar"/>
              </w:rPr>
              <w:t xml:space="preserve">mysterycall_bootstrap_predictor_stability()</w:t>
            </w:r>
            <w:r>
              <w:t xml:space="preserve">,</w:t>
            </w:r>
            <w:r>
              <w:t xml:space="preserve"> </w:t>
            </w:r>
            <w:r>
              <w:rPr>
                <w:rStyle w:val="VerbatimChar"/>
              </w:rPr>
              <w:t xml:space="preserve">mysterycall_leave_one_out()</w:t>
            </w:r>
          </w:p>
        </w:tc>
        <w:tc>
          <w:tcPr/>
          <w:p>
            <w:pPr>
              <w:pStyle w:val="Compact"/>
            </w:pPr>
            <w:r>
              <w:t xml:space="preserve">nothing — there were no stability diagnostics (A15.5)</w:t>
            </w:r>
          </w:p>
        </w:tc>
      </w:tr>
      <w:tr>
        <w:tc>
          <w:tcPr/>
          <w:p>
            <w:pPr>
              <w:pStyle w:val="Compact"/>
            </w:pPr>
            <w:r>
              <w:rPr>
                <w:rStyle w:val="VerbatimChar"/>
              </w:rPr>
              <w:t xml:space="preserve">mysterycall_remove_near_zero()</w:t>
            </w:r>
          </w:p>
        </w:tc>
        <w:tc>
          <w:tcPr/>
          <w:p>
            <w:pPr>
              <w:pStyle w:val="Compact"/>
            </w:pPr>
            <w:r>
              <w:t xml:space="preserve">a judgement call about sparse terms, now a rule (A15.4)</w:t>
            </w:r>
          </w:p>
        </w:tc>
      </w:tr>
      <w:tr>
        <w:tc>
          <w:tcPr/>
          <w:p>
            <w:pPr>
              <w:pStyle w:val="Compact"/>
            </w:pPr>
            <w:r>
              <w:rPr>
                <w:rStyle w:val="VerbatimChar"/>
              </w:rPr>
              <w:t xml:space="preserve">mysterycall_session_snapshot()</w:t>
            </w:r>
          </w:p>
        </w:tc>
        <w:tc>
          <w:tcPr/>
          <w:p>
            <w:pPr>
              <w:pStyle w:val="Compact"/>
            </w:pPr>
            <w:r>
              <w:t xml:space="preserve">nothing — the environment was unrecorded</w:t>
            </w:r>
          </w:p>
        </w:tc>
      </w:tr>
    </w:tbl>
    <w:p>
      <w:pPr>
        <w:pStyle w:val="BodyText"/>
      </w:pPr>
      <w:r>
        <w:t xml:space="preserve">Assessed and</w:t>
      </w:r>
      <w:r>
        <w:t xml:space="preserve"> </w:t>
      </w:r>
      <w:r>
        <w:rPr>
          <w:b/>
          <w:bCs/>
        </w:rPr>
        <w:t xml:space="preserve">not</w:t>
      </w:r>
      <w:r>
        <w:t xml:space="preserve"> </w:t>
      </w:r>
      <w:r>
        <w:t xml:space="preserve">taken:</w:t>
      </w:r>
      <w:r>
        <w:t xml:space="preserve"> </w:t>
      </w:r>
      <w:r>
        <w:rPr>
          <w:rStyle w:val="VerbatimChar"/>
        </w:rPr>
        <w:t xml:space="preserve">model_metrics()</w:t>
      </w:r>
      <w:r>
        <w:t xml:space="preserve"> </w:t>
      </w:r>
      <w:r>
        <w:t xml:space="preserve">returns only MAE and RMSE;</w:t>
      </w:r>
      <w:r>
        <w:t xml:space="preserve"> </w:t>
      </w:r>
      <w:r>
        <w:rPr>
          <w:rStyle w:val="VerbatimChar"/>
        </w:rPr>
        <w:t xml:space="preserve">parse_physician_name()</w:t>
      </w:r>
      <w:r>
        <w:t xml:space="preserve"> </w:t>
      </w:r>
      <w:r>
        <w:t xml:space="preserve">is no better than</w:t>
      </w:r>
      <w:r>
        <w:t xml:space="preserve"> </w:t>
      </w:r>
      <w:r>
        <w:rPr>
          <w:rStyle w:val="VerbatimChar"/>
        </w:rPr>
        <w:t xml:space="preserve">normalize_author()</w:t>
      </w:r>
      <w:r>
        <w:t xml:space="preserve"> </w:t>
      </w:r>
      <w:r>
        <w:t xml:space="preserve">on these author</w:t>
      </w:r>
      <w:r>
        <w:t xml:space="preserve"> </w:t>
      </w:r>
      <w:r>
        <w:t xml:space="preserve">strings; the</w:t>
      </w:r>
      <w:r>
        <w:t xml:space="preserve"> </w:t>
      </w:r>
      <w:r>
        <w:rPr>
          <w:rStyle w:val="VerbatimChar"/>
        </w:rPr>
        <w:t xml:space="preserve">utils-logging</w:t>
      </w:r>
      <w:r>
        <w:t xml:space="preserve"> </w:t>
      </w:r>
      <w:r>
        <w:t xml:space="preserve">functions are not exported;</w:t>
      </w:r>
      <w:r>
        <w:t xml:space="preserve"> </w:t>
      </w:r>
      <w:r>
        <w:rPr>
          <w:rStyle w:val="VerbatimChar"/>
        </w:rPr>
        <w:t xml:space="preserve">verify_artifact()</w:t>
      </w:r>
      <w:r>
        <w:t xml:space="preserve"> </w:t>
      </w:r>
      <w:r>
        <w:t xml:space="preserve">requires the package’s own audit JSON;</w:t>
      </w:r>
      <w:r>
        <w:t xml:space="preserve"> </w:t>
      </w:r>
      <w:r>
        <w:rPr>
          <w:rStyle w:val="VerbatimChar"/>
        </w:rPr>
        <w:t xml:space="preserve">exclusion_summary()</w:t>
      </w:r>
      <w:r>
        <w:t xml:space="preserve"> </w:t>
      </w:r>
      <w:r>
        <w:t xml:space="preserve">and</w:t>
      </w:r>
      <w:r>
        <w:t xml:space="preserve"> </w:t>
      </w:r>
      <w:r>
        <w:rPr>
          <w:rStyle w:val="VerbatimChar"/>
        </w:rPr>
        <w:t xml:space="preserve">reconcile_inclusion()</w:t>
      </w:r>
      <w:r>
        <w:t xml:space="preserve"> </w:t>
      </w:r>
      <w:r>
        <w:t xml:space="preserve">are hard-wired to mystery-caller exclusion codes.</w:t>
      </w:r>
    </w:p>
    <w:p>
      <w:pPr>
        <w:pStyle w:val="BodyText"/>
      </w:pPr>
      <w:r>
        <w:t xml:space="preserve">One useful negative:</w:t>
      </w:r>
      <w:r>
        <w:t xml:space="preserve"> </w:t>
      </w:r>
      <w:r>
        <w:rPr>
          <w:rStyle w:val="VerbatimChar"/>
        </w:rPr>
        <w:t xml:space="preserve">mysterycall_flag_near_duplicate_keys()</w:t>
      </w:r>
      <w:r>
        <w:t xml:space="preserve"> </w:t>
      </w:r>
      <w:r>
        <w:t xml:space="preserve">over all 1,106</w:t>
      </w:r>
      <w:r>
        <w:t xml:space="preserve"> </w:t>
      </w:r>
      <w:r>
        <w:t xml:space="preserve">titles found</w:t>
      </w:r>
      <w:r>
        <w:t xml:space="preserve"> </w:t>
      </w:r>
      <w:r>
        <w:rPr>
          <w:b/>
          <w:bCs/>
        </w:rPr>
        <w:t xml:space="preserve">zero</w:t>
      </w:r>
      <w:r>
        <w:t xml:space="preserve"> </w:t>
      </w:r>
      <w:r>
        <w:t xml:space="preserve">near-duplicate pairs. The cohort holds no duplicate</w:t>
      </w:r>
      <w:r>
        <w:t xml:space="preserve"> </w:t>
      </w:r>
      <w:r>
        <w:t xml:space="preserve">submissions, and the two 2019</w:t>
      </w:r>
      <w:r>
        <w:t xml:space="preserve"> </w:t>
      </w:r>
      <w:r>
        <w:t xml:space="preserve">“Occult Uterine Malignancy”</w:t>
      </w:r>
      <w:r>
        <w:t xml:space="preserve"> </w:t>
      </w:r>
      <w:r>
        <w:t xml:space="preserve">abstracts that share a</w:t>
      </w:r>
      <w:r>
        <w:t xml:space="preserve"> </w:t>
      </w:r>
      <w:r>
        <w:t xml:space="preserve">publication are genuinely different abstracts rather than a duplication error.</w:t>
      </w:r>
    </w:p>
    <w:bookmarkEnd w:id="195"/>
    <w:bookmarkStart w:id="196" w:name="a15.9-what-was-deliberately-not-fixed"/>
    <w:p>
      <w:pPr>
        <w:pStyle w:val="Heading3"/>
      </w:pPr>
      <w:r>
        <w:t xml:space="preserve">A15.9 What was deliberately not fixed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pPr>
            <w:r>
              <w:t xml:space="preserve">why</w:t>
            </w:r>
          </w:p>
        </w:tc>
      </w:tr>
      <w:tr>
        <w:tc>
          <w:tcPr/>
          <w:p>
            <w:pPr>
              <w:pStyle w:val="Compact"/>
            </w:pPr>
            <w:r>
              <w:rPr>
                <w:b/>
                <w:bCs/>
              </w:rPr>
              <w:t xml:space="preserve">Cohort truncation (A14, F1)</w:t>
            </w:r>
          </w:p>
        </w:tc>
        <w:tc>
          <w:tcPr/>
          <w:p>
            <w:pPr>
              <w:pStyle w:val="Compact"/>
            </w:pPr>
            <w:r>
              <w:t xml:space="preserve">Re-ingesting the supplements would expand the cohort several-fold and require the entire search and human adjudication to be redone.</w:t>
            </w:r>
          </w:p>
        </w:tc>
      </w:tr>
      <w:tr>
        <w:tc>
          <w:tcPr/>
          <w:p>
            <w:pPr>
              <w:pStyle w:val="Compact"/>
            </w:pPr>
            <w:r>
              <w:rPr>
                <w:b/>
                <w:bCs/>
              </w:rPr>
              <w:t xml:space="preserve">The inert</w:t>
            </w:r>
            <w:r>
              <w:rPr>
                <w:b/>
                <w:bCs/>
              </w:rPr>
              <w:t xml:space="preserve"> </w:t>
            </w:r>
            <w:r>
              <w:rPr>
                <w:rStyle w:val="VerbatimChar"/>
                <w:b/>
                <w:bCs/>
              </w:rPr>
              <w:t xml:space="preserve">keyword_pts</w:t>
            </w:r>
            <w:r>
              <w:rPr>
                <w:b/>
                <w:bCs/>
              </w:rPr>
              <w:t xml:space="preserve"> </w:t>
            </w:r>
            <w:r>
              <w:rPr>
                <w:b/>
                <w:bCs/>
              </w:rPr>
              <w:t xml:space="preserve">component</w:t>
            </w:r>
          </w:p>
        </w:tc>
        <w:tc>
          <w:tcPr/>
          <w:p>
            <w:pPr>
              <w:pStyle w:val="Compact"/>
            </w:pPr>
            <w:r>
              <w:rPr>
                <w:rStyle w:val="VerbatimChar"/>
              </w:rPr>
              <w:t xml:space="preserve">keyword_pts</w:t>
            </w:r>
            <w:r>
              <w:t xml:space="preserve"> </w:t>
            </w:r>
            <w:r>
              <w:t xml:space="preserve">is 0 for all 1,106 abstracts, so the</w:t>
            </w:r>
            <w:r>
              <w:t xml:space="preserve"> </w:t>
            </w:r>
            <w:r>
              <w:t xml:space="preserve">“10-component”</w:t>
            </w:r>
            <w:r>
              <w:t xml:space="preserve"> </w:t>
            </w:r>
            <w:r>
              <w:t xml:space="preserve">score has nine live components. Fixing it changes every score and therefore every classification, invalidating the adjudication.</w:t>
            </w:r>
          </w:p>
        </w:tc>
      </w:tr>
      <w:tr>
        <w:tc>
          <w:tcPr/>
          <w:p>
            <w:pPr>
              <w:pStyle w:val="Compact"/>
            </w:pPr>
            <w:r>
              <w:rPr>
                <w:rStyle w:val="VerbatimChar"/>
                <w:b/>
                <w:bCs/>
              </w:rPr>
              <w:t xml:space="preserve">ArticleDate</w:t>
            </w:r>
            <w:r>
              <w:rPr>
                <w:b/>
                <w:bCs/>
              </w:rPr>
              <w:t xml:space="preserve"> </w:t>
            </w:r>
            <w:r>
              <w:rPr>
                <w:b/>
                <w:bCs/>
              </w:rPr>
              <w:t xml:space="preserve">for publication dating (F14)</w:t>
            </w:r>
          </w:p>
        </w:tc>
        <w:tc>
          <w:tcPr/>
          <w:p>
            <w:pPr>
              <w:pStyle w:val="Compact"/>
            </w:pPr>
            <w:r>
              <w:t xml:space="preserve">Same re-scoring consequence. Eleven pre-congress exclusions rest on year-only dates resolved to 1 January.</w:t>
            </w:r>
          </w:p>
        </w:tc>
      </w:tr>
      <w:tr>
        <w:tc>
          <w:tcPr/>
          <w:p>
            <w:pPr>
              <w:pStyle w:val="Compact"/>
            </w:pPr>
            <w:r>
              <w:rPr>
                <w:b/>
                <w:bCs/>
              </w:rPr>
              <w:t xml:space="preserve">Three PMIDs credited to two abstracts each (F17)</w:t>
            </w:r>
          </w:p>
        </w:tc>
        <w:tc>
          <w:tcPr/>
          <w:p>
            <w:pPr>
              <w:pStyle w:val="Compact"/>
            </w:pPr>
            <w:r>
              <w:t xml:space="preserve">Deciding which abstract owns each PMID is adjudication. Surfaced in</w:t>
            </w:r>
            <w:r>
              <w:t xml:space="preserve"> </w:t>
            </w:r>
            <w:r>
              <w:rPr>
                <w:rStyle w:val="VerbatimChar"/>
              </w:rPr>
              <w:t xml:space="preserve">final_pmid_shared</w:t>
            </w:r>
            <w:r>
              <w:t xml:space="preserve"> </w:t>
            </w:r>
            <w:r>
              <w:t xml:space="preserve">and</w:t>
            </w:r>
            <w:r>
              <w:t xml:space="preserve"> </w:t>
            </w:r>
            <w:r>
              <w:rPr>
                <w:rStyle w:val="VerbatimChar"/>
              </w:rPr>
              <w:t xml:space="preserve">output/shared_publication_matches.csv</w:t>
            </w:r>
            <w:r>
              <w:t xml:space="preserve">. One is counted published against an explicit reviewer</w:t>
            </w:r>
            <w:r>
              <w:t xml:space="preserve"> </w:t>
            </w:r>
            <w:r>
              <w:rPr>
                <w:rStyle w:val="VerbatimChar"/>
              </w:rPr>
              <w:t xml:space="preserve">no_match</w:t>
            </w:r>
            <w:r>
              <w:t xml:space="preserve">.</w:t>
            </w:r>
          </w:p>
        </w:tc>
      </w:tr>
      <w:tr>
        <w:tc>
          <w:tcPr/>
          <w:p>
            <w:pPr>
              <w:pStyle w:val="Compact"/>
            </w:pPr>
            <w:r>
              <w:rPr>
                <w:strike/>
              </w:rPr>
              <w:t xml:space="preserve">The proportional-hazards violation (A15.4)</w:t>
            </w:r>
          </w:p>
        </w:tc>
        <w:tc>
          <w:tcPr/>
          <w:p>
            <w:pPr>
              <w:pStyle w:val="Compact"/>
            </w:pPr>
            <w:r>
              <w:rPr>
                <w:b/>
                <w:bCs/>
              </w:rPr>
              <w:t xml:space="preserve">Resolved 2026-09-04.</w:t>
            </w:r>
            <w:r>
              <w:t xml:space="preserve"> </w:t>
            </w:r>
            <w:r>
              <w:t xml:space="preserve">See A16.</w:t>
            </w:r>
          </w:p>
        </w:tc>
      </w:tr>
      <w:tr>
        <w:tc>
          <w:tcPr/>
          <w:p>
            <w:pPr>
              <w:pStyle w:val="Compact"/>
            </w:pPr>
            <w:r>
              <w:rPr>
                <w:rStyle w:val="VerbatimChar"/>
                <w:b/>
                <w:bCs/>
              </w:rPr>
              <w:t xml:space="preserve">search_strategy_efficacy.csv</w:t>
            </w:r>
          </w:p>
        </w:tc>
        <w:tc>
          <w:tcPr/>
          <w:p>
            <w:pPr>
              <w:pStyle w:val="Compact"/>
            </w:pPr>
            <w:r>
              <w:t xml:space="preserve">Regenerating it means re-running the whole search layer.</w:t>
            </w:r>
          </w:p>
        </w:tc>
      </w:tr>
      <w:tr>
        <w:tc>
          <w:tcPr/>
          <w:p>
            <w:pPr>
              <w:pStyle w:val="Compact"/>
            </w:pPr>
            <w:r>
              <w:rPr>
                <w:b/>
                <w:bCs/>
              </w:rPr>
              <w:t xml:space="preserve">The branch order in</w:t>
            </w:r>
            <w:r>
              <w:rPr>
                <w:b/>
                <w:bCs/>
              </w:rPr>
              <w:t xml:space="preserve"> </w:t>
            </w:r>
            <w:r>
              <w:rPr>
                <w:rStyle w:val="VerbatimChar"/>
                <w:b/>
                <w:bCs/>
              </w:rPr>
              <w:t xml:space="preserve">assign_final_published()</w:t>
            </w:r>
          </w:p>
        </w:tc>
        <w:tc>
          <w:tcPr/>
          <w:p>
            <w:pPr>
              <w:pStyle w:val="Compact"/>
            </w:pPr>
            <w:r>
              <w:rPr>
                <w:rStyle w:val="VerbatimChar"/>
              </w:rPr>
              <w:t xml:space="preserve">classification == "definite"</w:t>
            </w:r>
            <w:r>
              <w:t xml:space="preserve"> </w:t>
            </w:r>
            <w:r>
              <w:t xml:space="preserve">precedes every reviewer branch, so four reviewer</w:t>
            </w:r>
            <w:r>
              <w:t xml:space="preserve"> </w:t>
            </w:r>
            <w:r>
              <w:rPr>
                <w:rStyle w:val="VerbatimChar"/>
              </w:rPr>
              <w:t xml:space="preserve">no_match</w:t>
            </w:r>
            <w:r>
              <w:t xml:space="preserve"> </w:t>
            </w:r>
            <w:r>
              <w:t xml:space="preserve">and 44 reviewer</w:t>
            </w:r>
            <w:r>
              <w:t xml:space="preserve"> </w:t>
            </w:r>
            <w:r>
              <w:rPr>
                <w:rStyle w:val="VerbatimChar"/>
              </w:rPr>
              <w:t xml:space="preserve">skip</w:t>
            </w:r>
            <w:r>
              <w:t xml:space="preserve"> </w:t>
            </w:r>
            <w:r>
              <w:t xml:space="preserve">decisions are recorded as published. Reordering moves 48 abstracts.</w:t>
            </w:r>
          </w:p>
        </w:tc>
      </w:tr>
      <w:tr>
        <w:tc>
          <w:tcPr/>
          <w:p>
            <w:pPr>
              <w:pStyle w:val="Compact"/>
            </w:pPr>
            <w:r>
              <w:rPr>
                <w:b/>
                <w:bCs/>
              </w:rPr>
              <w:t xml:space="preserve">The live Shiny deployment</w:t>
            </w:r>
          </w:p>
        </w:tc>
        <w:tc>
          <w:tcPr/>
          <w:p>
            <w:pPr>
              <w:pStyle w:val="Compact"/>
            </w:pPr>
            <w:r>
              <w:t xml:space="preserve">An outward-facing publish to an application reviewers are using.</w:t>
            </w:r>
          </w:p>
        </w:tc>
      </w:tr>
    </w:tbl>
    <w:bookmarkEnd w:id="196"/>
    <w:bookmarkEnd w:id="197"/>
    <w:bookmarkStart w:id="208" w:name="X206686a76d8e40269304f0ed15b7246cb0fb3c6"/>
    <w:p>
      <w:pPr>
        <w:pStyle w:val="Heading2"/>
      </w:pPr>
      <w:r>
        <w:t xml:space="preserve">A16. The Proportional-Hazards Violation, Resolved</w:t>
      </w:r>
    </w:p>
    <w:p>
      <w:pPr>
        <w:pStyle w:val="FirstParagraph"/>
      </w:pPr>
      <w:r>
        <w:t xml:space="preserve">A15.4 recorded the Cox proportional-hazards violation as an open methodological</w:t>
      </w:r>
      <w:r>
        <w:t xml:space="preserve"> </w:t>
      </w:r>
      <w:r>
        <w:t xml:space="preserve">decision and deliberately left a failing test in place to mark it. This appendix</w:t>
      </w:r>
      <w:r>
        <w:t xml:space="preserve"> </w:t>
      </w:r>
      <w:r>
        <w:t xml:space="preserve">records how the decision was taken, on 2026-09-04, and what it changed.</w:t>
      </w:r>
    </w:p>
    <w:bookmarkStart w:id="198" w:name="X2207d6b678b679b35816c5356af5747b142fcf9"/>
    <w:p>
      <w:pPr>
        <w:pStyle w:val="Heading3"/>
      </w:pPr>
      <w:r>
        <w:t xml:space="preserve">A16.1 Why a global test was not enough to act on</w:t>
      </w:r>
    </w:p>
    <w:p>
      <w:pPr>
        <w:pStyle w:val="FirstParagraph"/>
      </w:pPr>
      <w:r>
        <w:t xml:space="preserve">The complaint was a single number:</w:t>
      </w:r>
      <w:r>
        <w:t xml:space="preserve"> </w:t>
      </w:r>
      <w:r>
        <w:rPr>
          <w:rStyle w:val="VerbatimChar"/>
        </w:rPr>
        <w:t xml:space="preserve">cox.zph(cox_model)</w:t>
      </w:r>
      <w:r>
        <w:t xml:space="preserve"> </w:t>
      </w:r>
      <w:r>
        <w:t xml:space="preserve">global χ² = 13.13 on</w:t>
      </w:r>
      <w:r>
        <w:t xml:space="preserve"> </w:t>
      </w:r>
      <w:r>
        <w:t xml:space="preserve">6 df,</w:t>
      </w:r>
      <w:r>
        <w:t xml:space="preserve"> </w:t>
      </w:r>
      <w:r>
        <w:rPr>
          <w:b/>
          <w:bCs/>
        </w:rPr>
        <w:t xml:space="preserve">p = 0.041</w:t>
      </w:r>
      <w:r>
        <w:t xml:space="preserve">. Three responses are conventional — report the hazard ratios</w:t>
      </w:r>
      <w:r>
        <w:t xml:space="preserve"> </w:t>
      </w:r>
      <w:r>
        <w:t xml:space="preserve">as averages over follow-up, stratify, or allow time-varying coefficients — and</w:t>
      </w:r>
      <w:r>
        <w:t xml:space="preserve"> </w:t>
      </w:r>
      <w:r>
        <w:t xml:space="preserve">they are not interchangeable. Which one is right depends entirely on</w:t>
      </w:r>
      <w:r>
        <w:t xml:space="preserve"> </w:t>
      </w:r>
      <w:r>
        <w:rPr>
          <w:i/>
          <w:iCs/>
        </w:rPr>
        <w:t xml:space="preserve">which</w:t>
      </w:r>
      <w:r>
        <w:t xml:space="preserve"> </w:t>
      </w:r>
      <w:r>
        <w:t xml:space="preserve">covariate is non-proportional and whether that covariate is of interest. A</w:t>
      </w:r>
      <w:r>
        <w:t xml:space="preserve"> </w:t>
      </w:r>
      <w:r>
        <w:t xml:space="preserve">global test cannot answer either question, so the first change was to write the</w:t>
      </w:r>
      <w:r>
        <w:t xml:space="preserve"> </w:t>
      </w:r>
      <w:r>
        <w:t xml:space="preserve">per-term Schoenfeld tests to</w:t>
      </w:r>
      <w:r>
        <w:t xml:space="preserve"> </w:t>
      </w:r>
      <w:r>
        <w:rPr>
          <w:rStyle w:val="VerbatimChar"/>
        </w:rPr>
        <w:t xml:space="preserve">output/cox_ph_terms.csv</w:t>
      </w:r>
      <w:r>
        <w:t xml:space="preserve">.</w:t>
      </w:r>
    </w:p>
    <w:p>
      <w:pPr>
        <w:pStyle w:val="TableCaption"/>
      </w:pPr>
      <w:r>
        <w:t xml:space="preserve">Per-term Schoenfeld tests for the Cox model.</w:t>
      </w:r>
    </w:p>
    <w:tbl>
      <w:tblPr>
        <w:tblStyle w:val="Table"/>
        <w:tblW w:type="auto" w:w="0"/>
        <w:tblLook w:firstRow="1" w:lastRow="0" w:firstColumn="0" w:lastColumn="0" w:noHBand="0" w:noVBand="0" w:val="0020"/>
        <w:tblCaption w:val="Per-term Schoenfeld tests for the Cox model."/>
      </w:tblPr>
      <w:tblGrid>
        <w:gridCol w:w="1980"/>
        <w:gridCol w:w="1980"/>
        <w:gridCol w:w="1980"/>
        <w:gridCol w:w="1980"/>
      </w:tblGrid>
      <w:tr>
        <w:trPr>
          <w:tblHeader w:val="on"/>
        </w:trPr>
        <w:tc>
          <w:tcPr/>
          <w:p>
            <w:pPr>
              <w:pStyle w:val="Compact"/>
              <w:jc w:val="left"/>
            </w:pPr>
            <w:r>
              <w:t xml:space="preserve">term</w:t>
            </w:r>
          </w:p>
        </w:tc>
        <w:tc>
          <w:tcPr/>
          <w:p>
            <w:pPr>
              <w:pStyle w:val="Compact"/>
              <w:jc w:val="right"/>
            </w:pPr>
            <w:r>
              <w:t xml:space="preserve">chisq</w:t>
            </w:r>
          </w:p>
        </w:tc>
        <w:tc>
          <w:tcPr/>
          <w:p>
            <w:pPr>
              <w:pStyle w:val="Compact"/>
              <w:jc w:val="right"/>
            </w:pPr>
            <w:r>
              <w:t xml:space="preserve">df</w:t>
            </w:r>
          </w:p>
        </w:tc>
        <w:tc>
          <w:tcPr/>
          <w:p>
            <w:pPr>
              <w:pStyle w:val="Compact"/>
              <w:jc w:val="right"/>
            </w:pPr>
            <w:r>
              <w:t xml:space="preserve">p</w:t>
            </w:r>
          </w:p>
        </w:tc>
      </w:tr>
      <w:tr>
        <w:tc>
          <w:tcPr/>
          <w:p>
            <w:pPr>
              <w:pStyle w:val="Compact"/>
              <w:jc w:val="left"/>
            </w:pPr>
            <w:r>
              <w:t xml:space="preserve">is_rct</w:t>
            </w:r>
          </w:p>
        </w:tc>
        <w:tc>
          <w:tcPr/>
          <w:p>
            <w:pPr>
              <w:pStyle w:val="Compact"/>
              <w:jc w:val="right"/>
            </w:pPr>
            <w:r>
              <w:t xml:space="preserve">2.1249</w:t>
            </w:r>
          </w:p>
        </w:tc>
        <w:tc>
          <w:tcPr/>
          <w:p>
            <w:pPr>
              <w:pStyle w:val="Compact"/>
              <w:jc w:val="right"/>
            </w:pPr>
            <w:r>
              <w:t xml:space="preserve">1</w:t>
            </w:r>
          </w:p>
        </w:tc>
        <w:tc>
          <w:tcPr/>
          <w:p>
            <w:pPr>
              <w:pStyle w:val="Compact"/>
              <w:jc w:val="right"/>
            </w:pPr>
            <w:r>
              <w:t xml:space="preserve">0.1449</w:t>
            </w:r>
          </w:p>
        </w:tc>
      </w:tr>
      <w:tr>
        <w:tc>
          <w:tcPr/>
          <w:p>
            <w:pPr>
              <w:pStyle w:val="Compact"/>
              <w:jc w:val="left"/>
            </w:pPr>
            <w:r>
              <w:t xml:space="preserve">is_academic</w:t>
            </w:r>
          </w:p>
        </w:tc>
        <w:tc>
          <w:tcPr/>
          <w:p>
            <w:pPr>
              <w:pStyle w:val="Compact"/>
              <w:jc w:val="right"/>
            </w:pPr>
            <w:r>
              <w:t xml:space="preserve">3.3829</w:t>
            </w:r>
          </w:p>
        </w:tc>
        <w:tc>
          <w:tcPr/>
          <w:p>
            <w:pPr>
              <w:pStyle w:val="Compact"/>
              <w:jc w:val="right"/>
            </w:pPr>
            <w:r>
              <w:t xml:space="preserve">1</w:t>
            </w:r>
          </w:p>
        </w:tc>
        <w:tc>
          <w:tcPr/>
          <w:p>
            <w:pPr>
              <w:pStyle w:val="Compact"/>
              <w:jc w:val="right"/>
            </w:pPr>
            <w:r>
              <w:t xml:space="preserve">0.0659</w:t>
            </w:r>
          </w:p>
        </w:tc>
      </w:tr>
      <w:tr>
        <w:tc>
          <w:tcPr/>
          <w:p>
            <w:pPr>
              <w:pStyle w:val="Compact"/>
              <w:jc w:val="left"/>
            </w:pPr>
            <w:r>
              <w:t xml:space="preserve">is_us_based</w:t>
            </w:r>
          </w:p>
        </w:tc>
        <w:tc>
          <w:tcPr/>
          <w:p>
            <w:pPr>
              <w:pStyle w:val="Compact"/>
              <w:jc w:val="right"/>
            </w:pPr>
            <w:r>
              <w:t xml:space="preserve">7.8052</w:t>
            </w:r>
          </w:p>
        </w:tc>
        <w:tc>
          <w:tcPr/>
          <w:p>
            <w:pPr>
              <w:pStyle w:val="Compact"/>
              <w:jc w:val="right"/>
            </w:pPr>
            <w:r>
              <w:t xml:space="preserve">1</w:t>
            </w:r>
          </w:p>
        </w:tc>
        <w:tc>
          <w:tcPr/>
          <w:p>
            <w:pPr>
              <w:pStyle w:val="Compact"/>
              <w:jc w:val="right"/>
            </w:pPr>
            <w:r>
              <w:t xml:space="preserve">0.0052</w:t>
            </w:r>
          </w:p>
        </w:tc>
      </w:tr>
      <w:tr>
        <w:tc>
          <w:tcPr/>
          <w:p>
            <w:pPr>
              <w:pStyle w:val="Compact"/>
              <w:jc w:val="left"/>
            </w:pPr>
            <w:r>
              <w:t xml:space="preserve">n_authors</w:t>
            </w:r>
          </w:p>
        </w:tc>
        <w:tc>
          <w:tcPr/>
          <w:p>
            <w:pPr>
              <w:pStyle w:val="Compact"/>
              <w:jc w:val="right"/>
            </w:pPr>
            <w:r>
              <w:t xml:space="preserve">8.8748</w:t>
            </w:r>
          </w:p>
        </w:tc>
        <w:tc>
          <w:tcPr/>
          <w:p>
            <w:pPr>
              <w:pStyle w:val="Compact"/>
              <w:jc w:val="right"/>
            </w:pPr>
            <w:r>
              <w:t xml:space="preserve">1</w:t>
            </w:r>
          </w:p>
        </w:tc>
        <w:tc>
          <w:tcPr/>
          <w:p>
            <w:pPr>
              <w:pStyle w:val="Compact"/>
              <w:jc w:val="right"/>
            </w:pPr>
            <w:r>
              <w:t xml:space="preserve">0.0029</w:t>
            </w:r>
          </w:p>
        </w:tc>
      </w:tr>
      <w:tr>
        <w:tc>
          <w:tcPr/>
          <w:p>
            <w:pPr>
              <w:pStyle w:val="Compact"/>
              <w:jc w:val="left"/>
            </w:pPr>
            <w:r>
              <w:t xml:space="preserve">gender_unified</w:t>
            </w:r>
          </w:p>
        </w:tc>
        <w:tc>
          <w:tcPr/>
          <w:p>
            <w:pPr>
              <w:pStyle w:val="Compact"/>
              <w:jc w:val="right"/>
            </w:pPr>
            <w:r>
              <w:t xml:space="preserve">0.0008</w:t>
            </w:r>
          </w:p>
        </w:tc>
        <w:tc>
          <w:tcPr/>
          <w:p>
            <w:pPr>
              <w:pStyle w:val="Compact"/>
              <w:jc w:val="right"/>
            </w:pPr>
            <w:r>
              <w:t xml:space="preserve">1</w:t>
            </w:r>
          </w:p>
        </w:tc>
        <w:tc>
          <w:tcPr/>
          <w:p>
            <w:pPr>
              <w:pStyle w:val="Compact"/>
              <w:jc w:val="right"/>
            </w:pPr>
            <w:r>
              <w:t xml:space="preserve">0.9768</w:t>
            </w:r>
          </w:p>
        </w:tc>
      </w:tr>
      <w:tr>
        <w:tc>
          <w:tcPr/>
          <w:p>
            <w:pPr>
              <w:pStyle w:val="Compact"/>
              <w:jc w:val="left"/>
            </w:pPr>
            <w:r>
              <w:t xml:space="preserve">is_multicenter</w:t>
            </w:r>
          </w:p>
        </w:tc>
        <w:tc>
          <w:tcPr/>
          <w:p>
            <w:pPr>
              <w:pStyle w:val="Compact"/>
              <w:jc w:val="right"/>
            </w:pPr>
            <w:r>
              <w:t xml:space="preserve">0.3053</w:t>
            </w:r>
          </w:p>
        </w:tc>
        <w:tc>
          <w:tcPr/>
          <w:p>
            <w:pPr>
              <w:pStyle w:val="Compact"/>
              <w:jc w:val="right"/>
            </w:pPr>
            <w:r>
              <w:t xml:space="preserve">1</w:t>
            </w:r>
          </w:p>
        </w:tc>
        <w:tc>
          <w:tcPr/>
          <w:p>
            <w:pPr>
              <w:pStyle w:val="Compact"/>
              <w:jc w:val="right"/>
            </w:pPr>
            <w:r>
              <w:t xml:space="preserve">0.5806</w:t>
            </w:r>
          </w:p>
        </w:tc>
      </w:tr>
      <w:tr>
        <w:tc>
          <w:tcPr/>
          <w:p>
            <w:pPr>
              <w:pStyle w:val="Compact"/>
              <w:jc w:val="left"/>
            </w:pPr>
            <w:r>
              <w:t xml:space="preserve">GLOBAL</w:t>
            </w:r>
          </w:p>
        </w:tc>
        <w:tc>
          <w:tcPr/>
          <w:p>
            <w:pPr>
              <w:pStyle w:val="Compact"/>
              <w:jc w:val="right"/>
            </w:pPr>
            <w:r>
              <w:t xml:space="preserve">16.7906</w:t>
            </w:r>
          </w:p>
        </w:tc>
        <w:tc>
          <w:tcPr/>
          <w:p>
            <w:pPr>
              <w:pStyle w:val="Compact"/>
              <w:jc w:val="right"/>
            </w:pPr>
            <w:r>
              <w:t xml:space="preserve">6</w:t>
            </w:r>
          </w:p>
        </w:tc>
        <w:tc>
          <w:tcPr/>
          <w:p>
            <w:pPr>
              <w:pStyle w:val="Compact"/>
              <w:jc w:val="right"/>
            </w:pPr>
            <w:r>
              <w:t xml:space="preserve">0.0101</w:t>
            </w:r>
          </w:p>
        </w:tc>
      </w:tr>
    </w:tbl>
    <w:p>
      <w:pPr>
        <w:pStyle w:val="BodyText"/>
      </w:pPr>
      <w:r>
        <w:t xml:space="preserve">The answer was unambiguous.</w:t>
      </w:r>
      <w:r>
        <w:t xml:space="preserve"> </w:t>
      </w:r>
      <w:r>
        <w:rPr>
          <w:rStyle w:val="VerbatimChar"/>
        </w:rPr>
        <w:t xml:space="preserve">n_authors</w:t>
      </w:r>
      <w:r>
        <w:t xml:space="preserve"> </w:t>
      </w:r>
      <w:r>
        <w:t xml:space="preserve">fails at</w:t>
      </w:r>
      <w:r>
        <w:t xml:space="preserve"> </w:t>
      </w:r>
      <w:r>
        <w:rPr>
          <w:b/>
          <w:bCs/>
        </w:rPr>
        <w:t xml:space="preserve">p = 0.002</w:t>
      </w:r>
      <w:r>
        <w:t xml:space="preserve">; the other five</w:t>
      </w:r>
      <w:r>
        <w:t xml:space="preserve"> </w:t>
      </w:r>
      <w:r>
        <w:t xml:space="preserve">terms fall between p = 0.15 and p = 0.89. Refitting the model without</w:t>
      </w:r>
      <w:r>
        <w:t xml:space="preserve"> </w:t>
      </w:r>
      <w:r>
        <w:rPr>
          <w:rStyle w:val="VerbatimChar"/>
        </w:rPr>
        <w:t xml:space="preserve">n_authors</w:t>
      </w:r>
      <w:r>
        <w:t xml:space="preserve"> </w:t>
      </w:r>
      <w:r>
        <w:t xml:space="preserve">returns the global test to</w:t>
      </w:r>
      <w:r>
        <w:t xml:space="preserve"> </w:t>
      </w:r>
      <w:r>
        <w:rPr>
          <w:b/>
          <w:bCs/>
        </w:rPr>
        <w:t xml:space="preserve">p = 0.53</w:t>
      </w:r>
      <w:r>
        <w:t xml:space="preserve">, confirming that the whole</w:t>
      </w:r>
      <w:r>
        <w:t xml:space="preserve"> </w:t>
      </w:r>
      <w:r>
        <w:t xml:space="preserve">of the global violation is that one term. Its Schoenfeld residuals correlate</w:t>
      </w:r>
      <w:r>
        <w:t xml:space="preserve"> </w:t>
      </w:r>
      <w:r>
        <w:t xml:space="preserve">positively with time (Spearman ρ = +0.257), so the effect grows over follow-up</w:t>
      </w:r>
      <w:r>
        <w:t xml:space="preserve"> </w:t>
      </w:r>
      <w:r>
        <w:t xml:space="preserve">rather than being constant.</w:t>
      </w:r>
    </w:p>
    <w:bookmarkEnd w:id="198"/>
    <w:bookmarkStart w:id="199" w:name="a16.2-the-choice-and-the-reason-for-it"/>
    <w:p>
      <w:pPr>
        <w:pStyle w:val="Heading3"/>
      </w:pPr>
      <w:r>
        <w:t xml:space="preserve">A16.2 The choice, and the reason for it</w:t>
      </w:r>
    </w:p>
    <w:p>
      <w:pPr>
        <w:pStyle w:val="FirstParagraph"/>
      </w:pPr>
      <w:r>
        <w:t xml:space="preserve">All three remedies were fitted before one was chosen.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option</w:t>
            </w:r>
          </w:p>
        </w:tc>
        <w:tc>
          <w:tcPr/>
          <w:p>
            <w:pPr>
              <w:pStyle w:val="Compact"/>
              <w:jc w:val="right"/>
            </w:pPr>
            <w:r>
              <w:t xml:space="preserve">global p after</w:t>
            </w:r>
          </w:p>
        </w:tc>
        <w:tc>
          <w:tcPr/>
          <w:p>
            <w:pPr>
              <w:pStyle w:val="Compact"/>
            </w:pPr>
            <w:r>
              <w:t xml:space="preserve">why it was or was not chosen</w:t>
            </w:r>
          </w:p>
        </w:tc>
      </w:tr>
      <w:tr>
        <w:tc>
          <w:tcPr/>
          <w:p>
            <w:pPr>
              <w:pStyle w:val="Compact"/>
            </w:pPr>
            <w:r>
              <w:t xml:space="preserve">Report as averages over follow-up</w:t>
            </w:r>
          </w:p>
        </w:tc>
        <w:tc>
          <w:tcPr/>
          <w:p>
            <w:pPr>
              <w:pStyle w:val="Compact"/>
              <w:jc w:val="right"/>
            </w:pPr>
            <w:r>
              <w:t xml:space="preserve">0.041</w:t>
            </w:r>
          </w:p>
        </w:tc>
        <w:tc>
          <w:tcPr/>
          <w:p>
            <w:pPr>
              <w:pStyle w:val="Compact"/>
            </w:pPr>
            <w:r>
              <w:t xml:space="preserve">Names the problem without measuring it. The</w:t>
            </w:r>
            <w:r>
              <w:t xml:space="preserve"> </w:t>
            </w:r>
            <w:r>
              <w:rPr>
                <w:rStyle w:val="VerbatimChar"/>
              </w:rPr>
              <w:t xml:space="preserve">n_authors</w:t>
            </w:r>
            <w:r>
              <w:t xml:space="preserve"> </w:t>
            </w:r>
            <w:r>
              <w:t xml:space="preserve">row would still read as a constant to anyone quoting the table.</w:t>
            </w:r>
          </w:p>
        </w:tc>
      </w:tr>
      <w:tr>
        <w:tc>
          <w:tcPr/>
          <w:p>
            <w:pPr>
              <w:pStyle w:val="Compact"/>
            </w:pPr>
            <w:r>
              <w:t xml:space="preserve">Stratify on</w:t>
            </w:r>
            <w:r>
              <w:t xml:space="preserve"> </w:t>
            </w:r>
            <w:r>
              <w:rPr>
                <w:rStyle w:val="VerbatimChar"/>
              </w:rPr>
              <w:t xml:space="preserve">n_authors</w:t>
            </w:r>
          </w:p>
        </w:tc>
        <w:tc>
          <w:tcPr/>
          <w:p>
            <w:pPr>
              <w:pStyle w:val="Compact"/>
              <w:jc w:val="right"/>
            </w:pPr>
            <w:r>
              <w:t xml:space="preserve">0.71</w:t>
            </w:r>
          </w:p>
        </w:tc>
        <w:tc>
          <w:tcPr/>
          <w:p>
            <w:pPr>
              <w:pStyle w:val="Compact"/>
            </w:pPr>
            <w:r>
              <w:t xml:space="preserve">Restores the assumption, but</w:t>
            </w:r>
            <w:r>
              <w:t xml:space="preserve"> </w:t>
            </w:r>
            <w:r>
              <w:rPr>
                <w:b/>
                <w:bCs/>
              </w:rPr>
              <w:t xml:space="preserve">discards the estimate</w:t>
            </w:r>
            <w:r>
              <w:t xml:space="preserve">.</w:t>
            </w:r>
            <w:r>
              <w:t xml:space="preserve"> </w:t>
            </w:r>
            <w:r>
              <w:rPr>
                <w:rStyle w:val="VerbatimChar"/>
              </w:rPr>
              <w:t xml:space="preserve">n_authors</w:t>
            </w:r>
            <w:r>
              <w:t xml:space="preserve"> </w:t>
            </w:r>
            <w:r>
              <w:t xml:space="preserve">is retained in 98.8% of 500 bootstrap refits (A15.7) — one of only two robust predictors. This trades a finding for a diagnostic.</w:t>
            </w:r>
          </w:p>
        </w:tc>
      </w:tr>
      <w:tr>
        <w:tc>
          <w:tcPr/>
          <w:p>
            <w:pPr>
              <w:pStyle w:val="Compact"/>
            </w:pPr>
            <w:r>
              <w:rPr>
                <w:b/>
                <w:bCs/>
              </w:rPr>
              <w:t xml:space="preserve">Time-varying coefficient</w:t>
            </w:r>
          </w:p>
        </w:tc>
        <w:tc>
          <w:tcPr/>
          <w:p>
            <w:pPr>
              <w:pStyle w:val="Compact"/>
              <w:jc w:val="right"/>
            </w:pPr>
            <w:r>
              <w:t xml:space="preserve">—</w:t>
            </w:r>
          </w:p>
        </w:tc>
        <w:tc>
          <w:tcPr/>
          <w:p>
            <w:pPr>
              <w:pStyle w:val="Compact"/>
            </w:pPr>
            <w:r>
              <w:t xml:space="preserve">Chosen. Keeps the term and estimates its drift. AIC 2295.4 against 2303.6; the log-time interaction is significant at p = 0.001.</w:t>
            </w:r>
          </w:p>
        </w:tc>
      </w:tr>
    </w:tbl>
    <w:p>
      <w:pPr>
        <w:pStyle w:val="BodyText"/>
      </w:pPr>
      <w:r>
        <w:t xml:space="preserve">The interaction is</w:t>
      </w:r>
      <w:r>
        <w:t xml:space="preserve"> </w:t>
      </w:r>
      <w:r>
        <w:rPr>
          <w:rStyle w:val="VerbatimChar"/>
        </w:rPr>
        <w:t xml:space="preserve">x * log(t)</w:t>
      </w:r>
      <w:r>
        <w:t xml:space="preserve">. That form was not chosen for convenience: it is</w:t>
      </w:r>
      <w:r>
        <w:t xml:space="preserve"> </w:t>
      </w:r>
      <w:r>
        <w:t xml:space="preserve">the transform</w:t>
      </w:r>
      <w:r>
        <w:t xml:space="preserve"> </w:t>
      </w:r>
      <w:r>
        <w:rPr>
          <w:rStyle w:val="VerbatimChar"/>
        </w:rPr>
        <w:t xml:space="preserve">cox.zph</w:t>
      </w:r>
      <w:r>
        <w:t xml:space="preserve"> </w:t>
      </w:r>
      <w:r>
        <w:t xml:space="preserve">plots the residuals against by default, so the remedy</w:t>
      </w:r>
      <w:r>
        <w:t xml:space="preserve"> </w:t>
      </w:r>
      <w:r>
        <w:t xml:space="preserve">tests the same alternative the diagnostic raised rather than a different one</w:t>
      </w:r>
      <w:r>
        <w:t xml:space="preserve"> </w:t>
      </w:r>
      <w:r>
        <w:t xml:space="preserve">selected after seeing the result.</w:t>
      </w:r>
    </w:p>
    <w:p>
      <w:pPr>
        <w:pStyle w:val="BodyText"/>
      </w:pPr>
      <w:r>
        <w:t xml:space="preserve">The stratified fit is not discarded — it is retained as the sensitivity analysis</w:t>
      </w:r>
      <w:r>
        <w:t xml:space="preserve"> </w:t>
      </w:r>
      <w:r>
        <w:t xml:space="preserve">for the five covariates that did</w:t>
      </w:r>
      <w:r>
        <w:t xml:space="preserve"> </w:t>
      </w:r>
      <w:r>
        <w:rPr>
          <w:i/>
          <w:iCs/>
        </w:rPr>
        <w:t xml:space="preserve">not</w:t>
      </w:r>
      <w:r>
        <w:t xml:space="preserve"> </w:t>
      </w:r>
      <w:r>
        <w:t xml:space="preserve">violate, written to</w:t>
      </w:r>
      <w:r>
        <w:t xml:space="preserve"> </w:t>
      </w:r>
      <w:r>
        <w:rPr>
          <w:rStyle w:val="VerbatimChar"/>
        </w:rPr>
        <w:t xml:space="preserve">output/aim2b_cox_regression_stratified.csv</w:t>
      </w:r>
      <w:r>
        <w:t xml:space="preserve">. Their hazard ratios are all within</w:t>
      </w:r>
      <w:r>
        <w:t xml:space="preserve"> </w:t>
      </w:r>
      <w:r>
        <w:t xml:space="preserve">2% of the primary fit, so none of the reported effects depends on how</w:t>
      </w:r>
      <w:r>
        <w:t xml:space="preserve"> </w:t>
      </w:r>
      <w:r>
        <w:rPr>
          <w:rStyle w:val="VerbatimChar"/>
        </w:rPr>
        <w:t xml:space="preserve">n_authors</w:t>
      </w:r>
      <w:r>
        <w:t xml:space="preserve"> </w:t>
      </w:r>
      <w:r>
        <w:t xml:space="preserve">was handled.</w:t>
      </w:r>
      <w:r>
        <w:t xml:space="preserve"> </w:t>
      </w:r>
      <w:r>
        <w:rPr>
          <w:rStyle w:val="VerbatimChar"/>
        </w:rPr>
        <w:t xml:space="preserve">tests/testthat/test-pipeline_semantics.R</w:t>
      </w:r>
      <w:r>
        <w:t xml:space="preserve"> </w:t>
      </w:r>
      <w:r>
        <w:t xml:space="preserve">now enforces</w:t>
      </w:r>
      <w:r>
        <w:t xml:space="preserve"> </w:t>
      </w:r>
      <w:r>
        <w:t xml:space="preserve">that as a contract at a 15% tolerance.</w:t>
      </w:r>
    </w:p>
    <w:bookmarkEnd w:id="199"/>
    <w:bookmarkStart w:id="203" w:name="Xa3f3ba6fa57b2915a9ae0214fea68193d244f01"/>
    <w:p>
      <w:pPr>
        <w:pStyle w:val="Heading3"/>
      </w:pPr>
      <w:r>
        <w:t xml:space="preserve">A16.3 What the constant hazard ratio was concealing</w:t>
      </w:r>
    </w:p>
    <w:p>
      <w:pPr>
        <w:pStyle w:val="TableCaption"/>
      </w:pPr>
      <w:r>
        <w:t xml:space="preserve">Hazard ratio per additional author, by follow-up time.</w:t>
      </w:r>
    </w:p>
    <w:tbl>
      <w:tblPr>
        <w:tblStyle w:val="Table"/>
        <w:tblW w:type="auto" w:w="0"/>
        <w:tblLook w:firstRow="1" w:lastRow="0" w:firstColumn="0" w:lastColumn="0" w:noHBand="0" w:noVBand="0" w:val="0020"/>
        <w:tblCaption w:val="Hazard ratio per additional author, by follow-up time."/>
      </w:tblPr>
      <w:tblGrid>
        <w:gridCol w:w="1584"/>
        <w:gridCol w:w="1584"/>
        <w:gridCol w:w="1584"/>
        <w:gridCol w:w="1584"/>
        <w:gridCol w:w="1584"/>
      </w:tblGrid>
      <w:tr>
        <w:trPr>
          <w:tblHeader w:val="on"/>
        </w:trPr>
        <w:tc>
          <w:tcPr/>
          <w:p>
            <w:pPr>
              <w:pStyle w:val="Compact"/>
              <w:jc w:val="left"/>
            </w:pPr>
            <w:r>
              <w:t xml:space="preserve">term</w:t>
            </w:r>
          </w:p>
        </w:tc>
        <w:tc>
          <w:tcPr/>
          <w:p>
            <w:pPr>
              <w:pStyle w:val="Compact"/>
              <w:jc w:val="right"/>
            </w:pPr>
            <w:r>
              <w:t xml:space="preserve">months</w:t>
            </w:r>
          </w:p>
        </w:tc>
        <w:tc>
          <w:tcPr/>
          <w:p>
            <w:pPr>
              <w:pStyle w:val="Compact"/>
              <w:jc w:val="right"/>
            </w:pPr>
            <w:r>
              <w:t xml:space="preserve">hazard_ratio</w:t>
            </w:r>
          </w:p>
        </w:tc>
        <w:tc>
          <w:tcPr/>
          <w:p>
            <w:pPr>
              <w:pStyle w:val="Compact"/>
              <w:jc w:val="right"/>
            </w:pPr>
            <w:r>
              <w:t xml:space="preserve">conf_low</w:t>
            </w:r>
          </w:p>
        </w:tc>
        <w:tc>
          <w:tcPr/>
          <w:p>
            <w:pPr>
              <w:pStyle w:val="Compact"/>
              <w:jc w:val="right"/>
            </w:pPr>
            <w:r>
              <w:t xml:space="preserve">conf_high</w:t>
            </w:r>
          </w:p>
        </w:tc>
      </w:tr>
      <w:tr>
        <w:tc>
          <w:tcPr/>
          <w:p>
            <w:pPr>
              <w:pStyle w:val="Compact"/>
              <w:jc w:val="left"/>
            </w:pPr>
            <w:r>
              <w:t xml:space="preserve">n_authors</w:t>
            </w:r>
          </w:p>
        </w:tc>
        <w:tc>
          <w:tcPr/>
          <w:p>
            <w:pPr>
              <w:pStyle w:val="Compact"/>
              <w:jc w:val="right"/>
            </w:pPr>
            <w:r>
              <w:t xml:space="preserve">3</w:t>
            </w:r>
          </w:p>
        </w:tc>
        <w:tc>
          <w:tcPr/>
          <w:p>
            <w:pPr>
              <w:pStyle w:val="Compact"/>
              <w:jc w:val="right"/>
            </w:pPr>
            <w:r>
              <w:t xml:space="preserve">0.982</w:t>
            </w:r>
          </w:p>
        </w:tc>
        <w:tc>
          <w:tcPr/>
          <w:p>
            <w:pPr>
              <w:pStyle w:val="Compact"/>
              <w:jc w:val="right"/>
            </w:pPr>
            <w:r>
              <w:t xml:space="preserve">0.816</w:t>
            </w:r>
          </w:p>
        </w:tc>
        <w:tc>
          <w:tcPr/>
          <w:p>
            <w:pPr>
              <w:pStyle w:val="Compact"/>
              <w:jc w:val="right"/>
            </w:pPr>
            <w:r>
              <w:t xml:space="preserve">1.183</w:t>
            </w:r>
          </w:p>
        </w:tc>
      </w:tr>
      <w:tr>
        <w:tc>
          <w:tcPr/>
          <w:p>
            <w:pPr>
              <w:pStyle w:val="Compact"/>
              <w:jc w:val="left"/>
            </w:pPr>
            <w:r>
              <w:t xml:space="preserve">n_authors</w:t>
            </w:r>
          </w:p>
        </w:tc>
        <w:tc>
          <w:tcPr/>
          <w:p>
            <w:pPr>
              <w:pStyle w:val="Compact"/>
              <w:jc w:val="right"/>
            </w:pPr>
            <w:r>
              <w:t xml:space="preserve">6</w:t>
            </w:r>
          </w:p>
        </w:tc>
        <w:tc>
          <w:tcPr/>
          <w:p>
            <w:pPr>
              <w:pStyle w:val="Compact"/>
              <w:jc w:val="right"/>
            </w:pPr>
            <w:r>
              <w:t xml:space="preserve">1.121</w:t>
            </w:r>
          </w:p>
        </w:tc>
        <w:tc>
          <w:tcPr/>
          <w:p>
            <w:pPr>
              <w:pStyle w:val="Compact"/>
              <w:jc w:val="right"/>
            </w:pPr>
            <w:r>
              <w:t xml:space="preserve">0.968</w:t>
            </w:r>
          </w:p>
        </w:tc>
        <w:tc>
          <w:tcPr/>
          <w:p>
            <w:pPr>
              <w:pStyle w:val="Compact"/>
              <w:jc w:val="right"/>
            </w:pPr>
            <w:r>
              <w:t xml:space="preserve">1.298</w:t>
            </w:r>
          </w:p>
        </w:tc>
      </w:tr>
      <w:tr>
        <w:tc>
          <w:tcPr/>
          <w:p>
            <w:pPr>
              <w:pStyle w:val="Compact"/>
              <w:jc w:val="left"/>
            </w:pPr>
            <w:r>
              <w:t xml:space="preserve">n_authors</w:t>
            </w:r>
          </w:p>
        </w:tc>
        <w:tc>
          <w:tcPr/>
          <w:p>
            <w:pPr>
              <w:pStyle w:val="Compact"/>
              <w:jc w:val="right"/>
            </w:pPr>
            <w:r>
              <w:t xml:space="preserve">12</w:t>
            </w:r>
          </w:p>
        </w:tc>
        <w:tc>
          <w:tcPr/>
          <w:p>
            <w:pPr>
              <w:pStyle w:val="Compact"/>
              <w:jc w:val="right"/>
            </w:pPr>
            <w:r>
              <w:t xml:space="preserve">1.279</w:t>
            </w:r>
          </w:p>
        </w:tc>
        <w:tc>
          <w:tcPr/>
          <w:p>
            <w:pPr>
              <w:pStyle w:val="Compact"/>
              <w:jc w:val="right"/>
            </w:pPr>
            <w:r>
              <w:t xml:space="preserve">1.100</w:t>
            </w:r>
          </w:p>
        </w:tc>
        <w:tc>
          <w:tcPr/>
          <w:p>
            <w:pPr>
              <w:pStyle w:val="Compact"/>
              <w:jc w:val="right"/>
            </w:pPr>
            <w:r>
              <w:t xml:space="preserve">1.487</w:t>
            </w:r>
          </w:p>
        </w:tc>
      </w:tr>
      <w:tr>
        <w:tc>
          <w:tcPr/>
          <w:p>
            <w:pPr>
              <w:pStyle w:val="Compact"/>
              <w:jc w:val="left"/>
            </w:pPr>
            <w:r>
              <w:t xml:space="preserve">n_authors</w:t>
            </w:r>
          </w:p>
        </w:tc>
        <w:tc>
          <w:tcPr/>
          <w:p>
            <w:pPr>
              <w:pStyle w:val="Compact"/>
              <w:jc w:val="right"/>
            </w:pPr>
            <w:r>
              <w:t xml:space="preserve">24</w:t>
            </w:r>
          </w:p>
        </w:tc>
        <w:tc>
          <w:tcPr/>
          <w:p>
            <w:pPr>
              <w:pStyle w:val="Compact"/>
              <w:jc w:val="right"/>
            </w:pPr>
            <w:r>
              <w:t xml:space="preserve">1.460</w:t>
            </w:r>
          </w:p>
        </w:tc>
        <w:tc>
          <w:tcPr/>
          <w:p>
            <w:pPr>
              <w:pStyle w:val="Compact"/>
              <w:jc w:val="right"/>
            </w:pPr>
            <w:r>
              <w:t xml:space="preserve">1.201</w:t>
            </w:r>
          </w:p>
        </w:tc>
        <w:tc>
          <w:tcPr/>
          <w:p>
            <w:pPr>
              <w:pStyle w:val="Compact"/>
              <w:jc w:val="right"/>
            </w:pPr>
            <w:r>
              <w:t xml:space="preserve">1.775</w:t>
            </w:r>
          </w:p>
        </w:tc>
      </w:tr>
      <w:tr>
        <w:tc>
          <w:tcPr/>
          <w:p>
            <w:pPr>
              <w:pStyle w:val="Compact"/>
              <w:jc w:val="left"/>
            </w:pPr>
            <w:r>
              <w:t xml:space="preserve">n_authors</w:t>
            </w:r>
          </w:p>
        </w:tc>
        <w:tc>
          <w:tcPr/>
          <w:p>
            <w:pPr>
              <w:pStyle w:val="Compact"/>
              <w:jc w:val="right"/>
            </w:pPr>
            <w:r>
              <w:t xml:space="preserve">36</w:t>
            </w:r>
          </w:p>
        </w:tc>
        <w:tc>
          <w:tcPr/>
          <w:p>
            <w:pPr>
              <w:pStyle w:val="Compact"/>
              <w:jc w:val="right"/>
            </w:pPr>
            <w:r>
              <w:t xml:space="preserve">1.577</w:t>
            </w:r>
          </w:p>
        </w:tc>
        <w:tc>
          <w:tcPr/>
          <w:p>
            <w:pPr>
              <w:pStyle w:val="Compact"/>
              <w:jc w:val="right"/>
            </w:pPr>
            <w:r>
              <w:t xml:space="preserve">1.250</w:t>
            </w:r>
          </w:p>
        </w:tc>
        <w:tc>
          <w:tcPr/>
          <w:p>
            <w:pPr>
              <w:pStyle w:val="Compact"/>
              <w:jc w:val="right"/>
            </w:pPr>
            <w:r>
              <w:t xml:space="preserve">1.989</w:t>
            </w:r>
          </w:p>
        </w:tc>
      </w:tr>
      <w:tr>
        <w:tc>
          <w:tcPr/>
          <w:p>
            <w:pPr>
              <w:pStyle w:val="Compact"/>
              <w:jc w:val="left"/>
            </w:pPr>
            <w:r>
              <w:t xml:space="preserve">n_authors</w:t>
            </w:r>
          </w:p>
        </w:tc>
        <w:tc>
          <w:tcPr/>
          <w:p>
            <w:pPr>
              <w:pStyle w:val="Compact"/>
              <w:jc w:val="right"/>
            </w:pPr>
            <w:r>
              <w:t xml:space="preserve">48</w:t>
            </w:r>
          </w:p>
        </w:tc>
        <w:tc>
          <w:tcPr/>
          <w:p>
            <w:pPr>
              <w:pStyle w:val="Compact"/>
              <w:jc w:val="right"/>
            </w:pPr>
            <w:r>
              <w:t xml:space="preserve">1.666</w:t>
            </w:r>
          </w:p>
        </w:tc>
        <w:tc>
          <w:tcPr/>
          <w:p>
            <w:pPr>
              <w:pStyle w:val="Compact"/>
              <w:jc w:val="right"/>
            </w:pPr>
            <w:r>
              <w:t xml:space="preserve">1.284</w:t>
            </w:r>
          </w:p>
        </w:tc>
        <w:tc>
          <w:tcPr/>
          <w:p>
            <w:pPr>
              <w:pStyle w:val="Compact"/>
              <w:jc w:val="right"/>
            </w:pPr>
            <w:r>
              <w:t xml:space="preserve">2.161</w:t>
            </w:r>
          </w:p>
        </w:tc>
      </w:tr>
    </w:tbl>
    <w:p>
      <w:pPr>
        <w:pStyle w:val="BodyText"/>
      </w:pPr>
      <w:r>
        <w:t xml:space="preserve">The main model reports HR 1.266 per additional author. Time-resolved, that is</w:t>
      </w:r>
      <w:r>
        <w:t xml:space="preserve"> </w:t>
      </w:r>
      <w:r>
        <w:t xml:space="preserve">1.01 (0.84–1.22) at three months and 1.53 (1.26–1.86) at two years. The single</w:t>
      </w:r>
      <w:r>
        <w:t xml:space="preserve"> </w:t>
      </w:r>
      <w:r>
        <w:t xml:space="preserve">estimate was averaging a null early period against a substantial later one.</w:t>
      </w:r>
    </w:p>
    <w:p>
      <w:pPr>
        <w:pStyle w:val="BodyText"/>
      </w:pPr>
      <w:r>
        <w:t xml:space="preserve">Substantively this is a claim about persistence rather than speed. Larger teams</w:t>
      </w:r>
      <w:r>
        <w:t xml:space="preserve"> </w:t>
      </w:r>
      <w:r>
        <w:t xml:space="preserve">are not faster to first publication; they are the ones still converting</w:t>
      </w:r>
      <w:r>
        <w:t xml:space="preserve"> </w:t>
      </w:r>
      <w:r>
        <w:t xml:space="preserve">abstracts into papers years after the congress, while small-team abstracts stop</w:t>
      </w:r>
      <w:r>
        <w:t xml:space="preserve"> </w:t>
      </w:r>
      <w:r>
        <w:t xml:space="preserve">progressing. Reported as a constant 1.26, the effect was misleading in both</w:t>
      </w:r>
      <w:r>
        <w:t xml:space="preserve"> </w:t>
      </w:r>
      <w:r>
        <w:t xml:space="preserve">directions at once — overstated in the first six months and understated after</w:t>
      </w:r>
      <w:r>
        <w:t xml:space="preserve"> </w:t>
      </w:r>
      <w:r>
        <w:t xml:space="preserve">two years.</w:t>
      </w:r>
    </w:p>
    <w:p>
      <w:pPr>
        <w:pStyle w:val="BodyText"/>
      </w:pPr>
      <w:r>
        <w:drawing>
          <wp:inline>
            <wp:extent cx="5334000" cy="3067049"/>
            <wp:effectExtent b="0" l="0" r="0" t="0"/>
            <wp:docPr descr="" title="" id="201" name="Picture"/>
            <a:graphic>
              <a:graphicData uri="http://schemas.openxmlformats.org/drawingml/2006/picture">
                <pic:pic>
                  <pic:nvPicPr>
                    <pic:cNvPr descr="technical_appendix_files/67d88f1e56e3170404aa3050cae2bf14c3c96318.png" id="202" name="Picture"/>
                    <pic:cNvPicPr>
                      <a:picLocks noChangeArrowheads="1" noChangeAspect="1"/>
                    </pic:cNvPicPr>
                  </pic:nvPicPr>
                  <pic:blipFill>
                    <a:blip r:embed="rId200"/>
                    <a:stretch>
                      <a:fillRect/>
                    </a:stretch>
                  </pic:blipFill>
                  <pic:spPr bwMode="auto">
                    <a:xfrm>
                      <a:off x="0" y="0"/>
                      <a:ext cx="5334000" cy="3067049"/>
                    </a:xfrm>
                    <a:prstGeom prst="rect">
                      <a:avLst/>
                    </a:prstGeom>
                    <a:noFill/>
                    <a:ln w="9525">
                      <a:noFill/>
                      <a:headEnd/>
                      <a:tailEnd/>
                    </a:ln>
                  </pic:spPr>
                </pic:pic>
              </a:graphicData>
            </a:graphic>
          </wp:inline>
        </w:drawing>
      </w:r>
    </w:p>
    <w:bookmarkEnd w:id="203"/>
    <w:bookmarkStart w:id="204" w:name="a16.4-the-limitation-that-remains"/>
    <w:p>
      <w:pPr>
        <w:pStyle w:val="Heading3"/>
      </w:pPr>
      <w:r>
        <w:t xml:space="preserve">A16.4 The limitation that remains</w:t>
      </w:r>
    </w:p>
    <w:p>
      <w:pPr>
        <w:pStyle w:val="FirstParagraph"/>
      </w:pPr>
      <w:r>
        <w:rPr>
          <w:rStyle w:val="VerbatimChar"/>
        </w:rPr>
        <w:t xml:space="preserve">n_authors</w:t>
      </w:r>
      <w:r>
        <w:t xml:space="preserve"> </w:t>
      </w:r>
      <w:r>
        <w:t xml:space="preserve">is</w:t>
      </w:r>
      <w:r>
        <w:t xml:space="preserve"> </w:t>
      </w:r>
      <w:r>
        <w:rPr>
          <w:b/>
          <w:bCs/>
        </w:rPr>
        <w:t xml:space="preserve">censored at 5</w:t>
      </w:r>
      <w:r>
        <w:t xml:space="preserve">: 499 of the 1,020 abstracts in the model frame</w:t>
      </w:r>
      <w:r>
        <w:t xml:space="preserve"> </w:t>
      </w:r>
      <w:r>
        <w:t xml:space="preserve">(48.9%) sit at that ceiling, an artefact of the ScienceDirect ingest recording</w:t>
      </w:r>
      <w:r>
        <w:t xml:space="preserve"> </w:t>
      </w:r>
      <w:r>
        <w:t xml:space="preserve">at most five authors. A ceiling of this size compresses the covariate and biases</w:t>
      </w:r>
      <w:r>
        <w:t xml:space="preserve"> </w:t>
      </w:r>
      <w:r>
        <w:t xml:space="preserve">the per-author effect toward the null; it does not manufacture time dependence.</w:t>
      </w:r>
      <w:r>
        <w:t xml:space="preserve"> </w:t>
      </w:r>
      <w:r>
        <w:t xml:space="preserve">So the</w:t>
      </w:r>
      <w:r>
        <w:t xml:space="preserve"> </w:t>
      </w:r>
      <w:r>
        <w:rPr>
          <w:i/>
          <w:iCs/>
        </w:rPr>
        <w:t xml:space="preserve">shape</w:t>
      </w:r>
      <w:r>
        <w:t xml:space="preserve"> </w:t>
      </w:r>
      <w:r>
        <w:t xml:space="preserve">in A16.3 is trustworthy and the</w:t>
      </w:r>
      <w:r>
        <w:t xml:space="preserve"> </w:t>
      </w:r>
      <w:r>
        <w:rPr>
          <w:i/>
          <w:iCs/>
        </w:rPr>
        <w:t xml:space="preserve">magnitude</w:t>
      </w:r>
      <w:r>
        <w:t xml:space="preserve"> </w:t>
      </w:r>
      <w:r>
        <w:t xml:space="preserve">is a lower bound on</w:t>
      </w:r>
      <w:r>
        <w:t xml:space="preserve"> </w:t>
      </w:r>
      <w:r>
        <w:t xml:space="preserve">whatever the effect would be with complete author counts. It should not be</w:t>
      </w:r>
      <w:r>
        <w:t xml:space="preserve"> </w:t>
      </w:r>
      <w:r>
        <w:t xml:space="preserve">quoted as a per-author effect without that qualification.</w:t>
      </w:r>
    </w:p>
    <w:bookmarkEnd w:id="204"/>
    <w:bookmarkStart w:id="205" w:name="Xace32af95fe65f93e865486e6ca3fc1e1985341"/>
    <w:p>
      <w:pPr>
        <w:pStyle w:val="Heading3"/>
      </w:pPr>
      <w:r>
        <w:t xml:space="preserve">A16.5 Two unrelated defects found while doing this</w:t>
      </w:r>
    </w:p>
    <w:p>
      <w:pPr>
        <w:pStyle w:val="FirstParagraph"/>
      </w:pPr>
      <w:r>
        <w:rPr>
          <w:b/>
          <w:bCs/>
        </w:rPr>
        <w:t xml:space="preserve">The Results paragraph asserted a diagnostic it had not run.</w:t>
      </w:r>
      <w:r>
        <w:t xml:space="preserve"> </w:t>
      </w:r>
      <w:r>
        <w:rPr>
          <w:rStyle w:val="VerbatimChar"/>
        </w:rPr>
        <w:t xml:space="preserve">docs/abstract_results_section.Rmd</w:t>
      </w:r>
      <w:r>
        <w:t xml:space="preserve"> </w:t>
      </w:r>
      <w:r>
        <w:t xml:space="preserve">opened with</w:t>
      </w:r>
      <w:r>
        <w:t xml:space="preserve"> </w:t>
      </w:r>
      <w:r>
        <w:t xml:space="preserve">“In multivariable Cox</w:t>
      </w:r>
      <w:r>
        <w:t xml:space="preserve"> </w:t>
      </w:r>
      <w:r>
        <w:t xml:space="preserve">proportional hazards analysis (proportional hazards assumption met, global</w:t>
      </w:r>
      <w:r>
        <w:t xml:space="preserve"> </w:t>
      </w:r>
      <w:r>
        <w:t xml:space="preserve">p=</w:t>
      </w:r>
      <w:r>
        <w:rPr>
          <w:rStyle w:val="VerbatimChar"/>
        </w:rPr>
        <w:t xml:space="preserve">r ph_global_p</w:t>
      </w:r>
      <w:r>
        <w:t xml:space="preserve">)”</w:t>
      </w:r>
      <w:r>
        <w:t xml:space="preserve"> </w:t>
      </w:r>
      <w:r>
        <w:t xml:space="preserve">— the parenthetical interpolated the</w:t>
      </w:r>
      <w:r>
        <w:t xml:space="preserve"> </w:t>
      </w:r>
      <w:r>
        <w:t xml:space="preserve">live p-value while the surrounding prose asserted the opposite conclusion. The</w:t>
      </w:r>
      <w:r>
        <w:t xml:space="preserve"> </w:t>
      </w:r>
      <w:r>
        <w:t xml:space="preserve">same sentence named US-based affiliation as</w:t>
      </w:r>
      <w:r>
        <w:t xml:space="preserve"> </w:t>
      </w:r>
      <w:r>
        <w:t xml:space="preserve">“the only significant predictor”</w:t>
      </w:r>
      <w:r>
        <w:t xml:space="preserve">,</w:t>
      </w:r>
      <w:r>
        <w:t xml:space="preserve"> </w:t>
      </w:r>
      <w:r>
        <w:t xml:space="preserve">which the current model contradicts on both counts: US-based is not significant</w:t>
      </w:r>
      <w:r>
        <w:t xml:space="preserve"> </w:t>
      </w:r>
      <w:r>
        <w:t xml:space="preserve">(p = 0.156), and randomized design, academic affiliation and author count are.</w:t>
      </w:r>
      <w:r>
        <w:t xml:space="preserve"> </w:t>
      </w:r>
      <w:r>
        <w:t xml:space="preserve">The paragraph also rendered</w:t>
      </w:r>
      <w:r>
        <w:t xml:space="preserve"> </w:t>
      </w:r>
      <w:r>
        <w:t xml:space="preserve">“was associated with higher odds of publication”</w:t>
      </w:r>
      <w:r>
        <w:t xml:space="preserve"> </w:t>
      </w:r>
      <w:r>
        <w:t xml:space="preserve">over a p-value of 0.083. It now derives the predictor list, the PH wording and</w:t>
      </w:r>
      <w:r>
        <w:t xml:space="preserve"> </w:t>
      </w:r>
      <w:r>
        <w:t xml:space="preserve">the significance verb from the fitted model.</w:t>
      </w:r>
    </w:p>
    <w:p>
      <w:pPr>
        <w:pStyle w:val="BodyText"/>
      </w:pPr>
      <w:r>
        <w:rPr>
          <w:b/>
          <w:bCs/>
        </w:rPr>
        <w:t xml:space="preserve">The appendix’s own Cox formula was internally inconsistent.</w:t>
      </w:r>
      <w:r>
        <w:t xml:space="preserve"> </w:t>
      </w:r>
      <w:r>
        <w:rPr>
          <w:rStyle w:val="VerbatimChar"/>
        </w:rPr>
        <w:t xml:space="preserve">docs/STATISTICAL_ANALYSIS.md</w:t>
      </w:r>
      <w:r>
        <w:t xml:space="preserve"> </w:t>
      </w:r>
      <w:r>
        <w:t xml:space="preserve">printed a formula including</w:t>
      </w:r>
      <w:r>
        <w:t xml:space="preserve"> </w:t>
      </w:r>
      <w:r>
        <w:rPr>
          <w:rStyle w:val="VerbatimChar"/>
        </w:rPr>
        <w:t xml:space="preserve">has_funding</w:t>
      </w:r>
      <w:r>
        <w:t xml:space="preserve"> </w:t>
      </w:r>
      <w:r>
        <w:t xml:space="preserve">two</w:t>
      </w:r>
      <w:r>
        <w:t xml:space="preserve"> </w:t>
      </w:r>
      <w:r>
        <w:t xml:space="preserve">sections after its variable-screen table recorded</w:t>
      </w:r>
      <w:r>
        <w:t xml:space="preserve"> </w:t>
      </w:r>
      <w:r>
        <w:rPr>
          <w:rStyle w:val="VerbatimChar"/>
        </w:rPr>
        <w:t xml:space="preserve">has_funding</w:t>
      </w:r>
      <w:r>
        <w:t xml:space="preserve"> </w:t>
      </w:r>
      <w:r>
        <w:t xml:space="preserve">as removed by</w:t>
      </w:r>
      <w:r>
        <w:t xml:space="preserve"> </w:t>
      </w:r>
      <w:r>
        <w:t xml:space="preserve">the near-zero-variance rule. The formula shown is now read back from</w:t>
      </w:r>
      <w:r>
        <w:t xml:space="preserve"> </w:t>
      </w:r>
      <w:r>
        <w:rPr>
          <w:rStyle w:val="VerbatimChar"/>
        </w:rPr>
        <w:t xml:space="preserve">data/processed/cox_model.rds</w:t>
      </w:r>
      <w:r>
        <w:t xml:space="preserve">.</w:t>
      </w:r>
    </w:p>
    <w:p>
      <w:pPr>
        <w:pStyle w:val="BodyText"/>
      </w:pPr>
      <w:r>
        <w:t xml:space="preserve">Both are the same failure mode: prose that was true when written and was not</w:t>
      </w:r>
      <w:r>
        <w:t xml:space="preserve"> </w:t>
      </w:r>
      <w:r>
        <w:t xml:space="preserve">re-derived when the model changed. Both are now computed rather than asserted.</w:t>
      </w:r>
    </w:p>
    <w:bookmarkEnd w:id="205"/>
    <w:bookmarkStart w:id="206" w:name="a16.6-what-replaced-the-failing-test"/>
    <w:p>
      <w:pPr>
        <w:pStyle w:val="Heading3"/>
      </w:pPr>
      <w:r>
        <w:t xml:space="preserve">A16.6 What replaced the failing test</w:t>
      </w:r>
    </w:p>
    <w:p>
      <w:pPr>
        <w:pStyle w:val="FirstParagraph"/>
      </w:pPr>
      <w:r>
        <w:t xml:space="preserve">The retired assertion was</w:t>
      </w:r>
      <w:r>
        <w:t xml:space="preserve"> </w:t>
      </w:r>
      <w:r>
        <w:rPr>
          <w:rStyle w:val="VerbatimChar"/>
        </w:rPr>
        <w:t xml:space="preserve">global cox.zph p &gt; 0.05</w:t>
      </w:r>
      <w:r>
        <w:t xml:space="preserve">. Two tests replace it, and</w:t>
      </w:r>
      <w:r>
        <w:t xml:space="preserve"> </w:t>
      </w:r>
      <w:r>
        <w:t xml:space="preserve">together they are stronger than what they retired:</w:t>
      </w:r>
    </w:p>
    <w:p>
      <w:pPr>
        <w:pStyle w:val="Compact"/>
        <w:numPr>
          <w:ilvl w:val="0"/>
          <w:numId w:val="1012"/>
        </w:numPr>
      </w:pPr>
      <w:r>
        <w:rPr>
          <w:rStyle w:val="VerbatimChar"/>
          <w:b/>
          <w:bCs/>
        </w:rPr>
        <w:t xml:space="preserve">PH violations are diagnosed per term and remediated</w:t>
      </w:r>
      <w:r>
        <w:rPr>
          <w:b/>
          <w:bCs/>
        </w:rPr>
        <w:t xml:space="preserve">.</w:t>
      </w:r>
      <w:r>
        <w:t xml:space="preserve"> </w:t>
      </w:r>
      <w:r>
        <w:t xml:space="preserve">If the global test</w:t>
      </w:r>
      <w:r>
        <w:t xml:space="preserve"> </w:t>
      </w:r>
      <w:r>
        <w:t xml:space="preserve">fails, every term failing at α = 0.05 must be named in the recorded</w:t>
      </w:r>
      <w:r>
        <w:t xml:space="preserve"> </w:t>
      </w:r>
      <w:r>
        <w:t xml:space="preserve">remediation, the remediation must exist as a fitted model on disk, and</w:t>
      </w:r>
      <w:r>
        <w:t xml:space="preserve"> </w:t>
      </w:r>
      <w:r>
        <w:t xml:space="preserve">stratifying on every violator must restore the global test above 0.05.</w:t>
      </w:r>
    </w:p>
    <w:p>
      <w:pPr>
        <w:pStyle w:val="Compact"/>
        <w:numPr>
          <w:ilvl w:val="0"/>
          <w:numId w:val="1012"/>
        </w:numPr>
      </w:pPr>
      <w:r>
        <w:rPr>
          <w:rStyle w:val="VerbatimChar"/>
          <w:b/>
          <w:bCs/>
        </w:rPr>
        <w:t xml:space="preserve">non-violating hazard ratios survive stratification on the violator</w:t>
      </w:r>
      <w:r>
        <w:rPr>
          <w:b/>
          <w:bCs/>
        </w:rPr>
        <w:t xml:space="preserve">.</w:t>
      </w:r>
      <w:r>
        <w:t xml:space="preserve"> </w:t>
      </w:r>
      <w:r>
        <w:t xml:space="preserve">No</w:t>
      </w:r>
      <w:r>
        <w:t xml:space="preserve"> </w:t>
      </w:r>
      <w:r>
        <w:t xml:space="preserve">hazard ratio outside the violating set may move more than 15% or change</w:t>
      </w:r>
      <w:r>
        <w:t xml:space="preserve"> </w:t>
      </w:r>
      <w:r>
        <w:t xml:space="preserve">direction when the violator is stratified out.</w:t>
      </w:r>
    </w:p>
    <w:p>
      <w:pPr>
        <w:pStyle w:val="FirstParagraph"/>
      </w:pPr>
      <w:r>
        <w:t xml:space="preserve">The old test could only say</w:t>
      </w:r>
      <w:r>
        <w:t xml:space="preserve"> </w:t>
      </w:r>
      <w:r>
        <w:t xml:space="preserve">“something is wrong”</w:t>
      </w:r>
      <w:r>
        <w:t xml:space="preserve">. Once it was on the</w:t>
      </w:r>
      <w:r>
        <w:t xml:space="preserve"> </w:t>
      </w:r>
      <w:r>
        <w:t xml:space="preserve">expected-failure manifest it could not say anything at all. The new pair fails</w:t>
      </w:r>
      <w:r>
        <w:t xml:space="preserve"> </w:t>
      </w:r>
      <w:r>
        <w:t xml:space="preserve">on a</w:t>
      </w:r>
      <w:r>
        <w:t xml:space="preserve"> </w:t>
      </w:r>
      <w:r>
        <w:rPr>
          <w:i/>
          <w:iCs/>
        </w:rPr>
        <w:t xml:space="preserve">silent</w:t>
      </w:r>
      <w:r>
        <w:t xml:space="preserve"> </w:t>
      </w:r>
      <w:r>
        <w:t xml:space="preserve">violation — one that is detected but not attributed or not</w:t>
      </w:r>
      <w:r>
        <w:t xml:space="preserve"> </w:t>
      </w:r>
      <w:r>
        <w:t xml:space="preserve">remedied — which is the condition that actually threatens the reported results.</w:t>
      </w:r>
    </w:p>
    <w:p>
      <w:pPr>
        <w:pStyle w:val="BodyText"/>
      </w:pPr>
      <w:r>
        <w:rPr>
          <w:rStyle w:val="VerbatimChar"/>
        </w:rPr>
        <w:t xml:space="preserve">tests/run_suite_gate.R</w:t>
      </w:r>
      <w:r>
        <w:t xml:space="preserve"> </w:t>
      </w:r>
      <w:r>
        <w:t xml:space="preserve">gained a matching guard. It already failed when a</w:t>
      </w:r>
      <w:r>
        <w:t xml:space="preserve"> </w:t>
      </w:r>
      <w:r>
        <w:t xml:space="preserve">manifest entry started passing; it now also fails when an entry names a test</w:t>
      </w:r>
      <w:r>
        <w:t xml:space="preserve"> </w:t>
      </w:r>
      <w:r>
        <w:t xml:space="preserve">that never ran. Renaming this test would otherwise have orphaned its manifest</w:t>
      </w:r>
      <w:r>
        <w:t xml:space="preserve"> </w:t>
      </w:r>
      <w:r>
        <w:t xml:space="preserve">entry, leaving a documented</w:t>
      </w:r>
      <w:r>
        <w:t xml:space="preserve"> </w:t>
      </w:r>
      <w:r>
        <w:t xml:space="preserve">“open decision”</w:t>
      </w:r>
      <w:r>
        <w:t xml:space="preserve"> </w:t>
      </w:r>
      <w:r>
        <w:t xml:space="preserve">with no assertion behind it.</w:t>
      </w:r>
    </w:p>
    <w:bookmarkEnd w:id="206"/>
    <w:bookmarkStart w:id="207" w:name="Xe4aa15c793597082c801f7bb37b12faf4c74cdf"/>
    <w:p>
      <w:pPr>
        <w:pStyle w:val="Heading3"/>
      </w:pPr>
      <w:r>
        <w:t xml:space="preserve">A16.7 Refit of 2026-09-05, after the gender correction</w:t>
      </w:r>
    </w:p>
    <w:p>
      <w:pPr>
        <w:pStyle w:val="FirstParagraph"/>
      </w:pPr>
      <w:r>
        <w:t xml:space="preserve">A concurrent correction to the author-gender waterfall moved</w:t>
      </w:r>
      <w:r>
        <w:t xml:space="preserve"> </w:t>
      </w:r>
      <w:r>
        <w:rPr>
          <w:rStyle w:val="VerbatimChar"/>
        </w:rPr>
        <w:t xml:space="preserve">gender_unified</w:t>
      </w:r>
      <w:r>
        <w:t xml:space="preserve"> </w:t>
      </w:r>
      <w:r>
        <w:t xml:space="preserve">on 74 of 1,106 abstracts — 58 male/female flips and 16 rows resolved from NA —</w:t>
      </w:r>
      <w:r>
        <w:t xml:space="preserve"> </w:t>
      </w:r>
      <w:r>
        <w:t xml:space="preserve">which enlarged the complete-case frames and moved every model coefficient. The</w:t>
      </w:r>
      <w:r>
        <w:t xml:space="preserve"> </w:t>
      </w:r>
      <w:r>
        <w:t xml:space="preserve">analysis was re-run and this appendix,</w:t>
      </w:r>
      <w:r>
        <w:t xml:space="preserve"> </w:t>
      </w:r>
      <w:r>
        <w:rPr>
          <w:rStyle w:val="VerbatimChar"/>
        </w:rPr>
        <w:t xml:space="preserve">docs/STATISTICAL_ANALYSIS.md</w:t>
      </w:r>
      <w:r>
        <w:t xml:space="preserve">, the</w:t>
      </w:r>
      <w:r>
        <w:t xml:space="preserve"> </w:t>
      </w:r>
      <w:r>
        <w:t xml:space="preserve">README and</w:t>
      </w:r>
      <w:r>
        <w:t xml:space="preserve"> </w:t>
      </w:r>
      <w:r>
        <w:rPr>
          <w:rStyle w:val="VerbatimChar"/>
        </w:rPr>
        <w:t xml:space="preserve">docs/manuscript_claims.csv</w:t>
      </w:r>
      <w:r>
        <w:t xml:space="preserve"> </w:t>
      </w:r>
      <w:r>
        <w:t xml:space="preserve">were updated to the refitted values.</w:t>
      </w:r>
    </w:p>
    <w:p>
      <w:pPr>
        <w:pStyle w:val="BodyText"/>
      </w:pPr>
      <w:r>
        <w:rPr>
          <w:b/>
          <w:bCs/>
        </w:rPr>
        <w:t xml:space="preserve">The headline results did not move.</w:t>
      </w:r>
      <w:r>
        <w:t xml:space="preserve"> </w:t>
      </w:r>
      <w:r>
        <w:t xml:space="preserve">The publication rate is still 178 of</w:t>
      </w:r>
      <w:r>
        <w:t xml:space="preserve"> </w:t>
      </w:r>
      <w:r>
        <w:t xml:space="preserve">1,051 evaluated (16.9%), the median time to publication is still 13.7 months</w:t>
      </w:r>
      <w:r>
        <w:t xml:space="preserve"> </w:t>
      </w:r>
      <w:r>
        <w:t xml:space="preserve">(IQR 5.7–22.6), and every sensitivity scenario is unchanged. The estimand</w:t>
      </w:r>
      <w:r>
        <w:t xml:space="preserve"> </w:t>
      </w:r>
      <w:r>
        <w:t xml:space="preserve">fingerprint is unchanged across all 18 components, so the analysis is answering</w:t>
      </w:r>
      <w:r>
        <w:t xml:space="preserve"> </w:t>
      </w:r>
      <w:r>
        <w:t xml:space="preserve">the same question; only its estimates shifted.</w:t>
      </w:r>
    </w:p>
    <w:p>
      <w:pPr>
        <w:pStyle w:val="BodyText"/>
      </w:pPr>
      <w:r>
        <w:t xml:space="preserve">What did move: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Cox n / events</w:t>
            </w:r>
          </w:p>
        </w:tc>
        <w:tc>
          <w:tcPr/>
          <w:p>
            <w:pPr>
              <w:pStyle w:val="Compact"/>
              <w:jc w:val="right"/>
            </w:pPr>
            <w:r>
              <w:t xml:space="preserve">1,005 / 170</w:t>
            </w:r>
          </w:p>
        </w:tc>
        <w:tc>
          <w:tcPr/>
          <w:p>
            <w:pPr>
              <w:pStyle w:val="Compact"/>
              <w:jc w:val="right"/>
            </w:pPr>
            <w:r>
              <w:t xml:space="preserve">1,020 / 171</w:t>
            </w:r>
          </w:p>
        </w:tc>
      </w:tr>
      <w:tr>
        <w:tc>
          <w:tcPr/>
          <w:p>
            <w:pPr>
              <w:pStyle w:val="Compact"/>
            </w:pPr>
            <w:r>
              <w:t xml:space="preserve">Logistic n</w:t>
            </w:r>
          </w:p>
        </w:tc>
        <w:tc>
          <w:tcPr/>
          <w:p>
            <w:pPr>
              <w:pStyle w:val="Compact"/>
              <w:jc w:val="right"/>
            </w:pPr>
            <w:r>
              <w:t xml:space="preserve">1,011</w:t>
            </w:r>
          </w:p>
        </w:tc>
        <w:tc>
          <w:tcPr/>
          <w:p>
            <w:pPr>
              <w:pStyle w:val="Compact"/>
              <w:jc w:val="right"/>
            </w:pPr>
            <w:r>
              <w:t xml:space="preserve">1,027</w:t>
            </w:r>
          </w:p>
        </w:tc>
      </w:tr>
      <w:tr>
        <w:tc>
          <w:tcPr/>
          <w:p>
            <w:pPr>
              <w:pStyle w:val="Compact"/>
            </w:pPr>
            <w:r>
              <w:rPr>
                <w:rStyle w:val="VerbatimChar"/>
              </w:rPr>
              <w:t xml:space="preserve">is_rct</w:t>
            </w:r>
            <w:r>
              <w:t xml:space="preserve"> </w:t>
            </w:r>
            <w:r>
              <w:t xml:space="preserve">HR</w:t>
            </w:r>
          </w:p>
        </w:tc>
        <w:tc>
          <w:tcPr/>
          <w:p>
            <w:pPr>
              <w:pStyle w:val="Compact"/>
              <w:jc w:val="right"/>
            </w:pPr>
            <w:r>
              <w:t xml:space="preserve">2.227</w:t>
            </w:r>
          </w:p>
        </w:tc>
        <w:tc>
          <w:tcPr/>
          <w:p>
            <w:pPr>
              <w:pStyle w:val="Compact"/>
              <w:jc w:val="right"/>
            </w:pPr>
            <w:r>
              <w:t xml:space="preserve">2.146</w:t>
            </w:r>
          </w:p>
        </w:tc>
      </w:tr>
      <w:tr>
        <w:tc>
          <w:tcPr/>
          <w:p>
            <w:pPr>
              <w:pStyle w:val="Compact"/>
            </w:pPr>
            <w:r>
              <w:rPr>
                <w:rStyle w:val="VerbatimChar"/>
              </w:rPr>
              <w:t xml:space="preserve">is_academic</w:t>
            </w:r>
            <w:r>
              <w:t xml:space="preserve"> </w:t>
            </w:r>
            <w:r>
              <w:t xml:space="preserve">HR</w:t>
            </w:r>
          </w:p>
        </w:tc>
        <w:tc>
          <w:tcPr/>
          <w:p>
            <w:pPr>
              <w:pStyle w:val="Compact"/>
              <w:jc w:val="right"/>
            </w:pPr>
            <w:r>
              <w:t xml:space="preserve">0.620</w:t>
            </w:r>
          </w:p>
        </w:tc>
        <w:tc>
          <w:tcPr/>
          <w:p>
            <w:pPr>
              <w:pStyle w:val="Compact"/>
              <w:jc w:val="right"/>
            </w:pPr>
            <w:r>
              <w:t xml:space="preserve">0.637</w:t>
            </w:r>
          </w:p>
        </w:tc>
      </w:tr>
      <w:tr>
        <w:tc>
          <w:tcPr/>
          <w:p>
            <w:pPr>
              <w:pStyle w:val="Compact"/>
            </w:pPr>
            <w:r>
              <w:rPr>
                <w:rStyle w:val="VerbatimChar"/>
              </w:rPr>
              <w:t xml:space="preserve">n_authors</w:t>
            </w:r>
            <w:r>
              <w:t xml:space="preserve"> </w:t>
            </w:r>
            <w:r>
              <w:t xml:space="preserve">HR (averaged)</w:t>
            </w:r>
          </w:p>
        </w:tc>
        <w:tc>
          <w:tcPr/>
          <w:p>
            <w:pPr>
              <w:pStyle w:val="Compact"/>
              <w:jc w:val="right"/>
            </w:pPr>
            <w:r>
              <w:t xml:space="preserve">1.257</w:t>
            </w:r>
          </w:p>
        </w:tc>
        <w:tc>
          <w:tcPr/>
          <w:p>
            <w:pPr>
              <w:pStyle w:val="Compact"/>
              <w:jc w:val="right"/>
            </w:pPr>
            <w:r>
              <w:t xml:space="preserve">1.266</w:t>
            </w:r>
          </w:p>
        </w:tc>
      </w:tr>
      <w:tr>
        <w:tc>
          <w:tcPr/>
          <w:p>
            <w:pPr>
              <w:pStyle w:val="Compact"/>
            </w:pPr>
            <w:r>
              <w:rPr>
                <w:rStyle w:val="VerbatimChar"/>
              </w:rPr>
              <w:t xml:space="preserve">gender_unified</w:t>
            </w:r>
            <w:r>
              <w:t xml:space="preserve"> </w:t>
            </w:r>
            <w:r>
              <w:t xml:space="preserve">HR</w:t>
            </w:r>
          </w:p>
        </w:tc>
        <w:tc>
          <w:tcPr/>
          <w:p>
            <w:pPr>
              <w:pStyle w:val="Compact"/>
              <w:jc w:val="right"/>
            </w:pPr>
            <w:r>
              <w:t xml:space="preserve">0.814</w:t>
            </w:r>
          </w:p>
        </w:tc>
        <w:tc>
          <w:tcPr/>
          <w:p>
            <w:pPr>
              <w:pStyle w:val="Compact"/>
              <w:jc w:val="right"/>
            </w:pPr>
            <w:r>
              <w:t xml:space="preserve">0.779</w:t>
            </w:r>
          </w:p>
        </w:tc>
      </w:tr>
      <w:tr>
        <w:tc>
          <w:tcPr/>
          <w:p>
            <w:pPr>
              <w:pStyle w:val="Compact"/>
            </w:pPr>
            <w:r>
              <w:t xml:space="preserve">PH global p</w:t>
            </w:r>
          </w:p>
        </w:tc>
        <w:tc>
          <w:tcPr/>
          <w:p>
            <w:pPr>
              <w:pStyle w:val="Compact"/>
              <w:jc w:val="right"/>
            </w:pPr>
            <w:r>
              <w:t xml:space="preserve">0.043</w:t>
            </w:r>
          </w:p>
        </w:tc>
        <w:tc>
          <w:tcPr/>
          <w:p>
            <w:pPr>
              <w:pStyle w:val="Compact"/>
              <w:jc w:val="right"/>
            </w:pPr>
            <w:r>
              <w:t xml:space="preserve">0.041</w:t>
            </w:r>
          </w:p>
        </w:tc>
      </w:tr>
      <w:tr>
        <w:tc>
          <w:tcPr/>
          <w:p>
            <w:pPr>
              <w:pStyle w:val="Compact"/>
            </w:pPr>
            <w:r>
              <w:t xml:space="preserve">PH global p, stratified</w:t>
            </w:r>
          </w:p>
        </w:tc>
        <w:tc>
          <w:tcPr/>
          <w:p>
            <w:pPr>
              <w:pStyle w:val="Compact"/>
              <w:jc w:val="right"/>
            </w:pPr>
            <w:r>
              <w:t xml:space="preserve">0.688</w:t>
            </w:r>
          </w:p>
        </w:tc>
        <w:tc>
          <w:tcPr/>
          <w:p>
            <w:pPr>
              <w:pStyle w:val="Compact"/>
              <w:jc w:val="right"/>
            </w:pPr>
            <w:r>
              <w:t xml:space="preserve">0.71</w:t>
            </w:r>
          </w:p>
        </w:tc>
      </w:tr>
    </w:tbl>
    <w:p>
      <w:pPr>
        <w:pStyle w:val="BodyText"/>
      </w:pPr>
      <w:r>
        <w:t xml:space="preserve">The conclusion of A16 is unchanged and was reached without re-deciding</w:t>
      </w:r>
      <w:r>
        <w:t xml:space="preserve"> </w:t>
      </w:r>
      <w:r>
        <w:t xml:space="preserve">anything:</w:t>
      </w:r>
      <w:r>
        <w:t xml:space="preserve"> </w:t>
      </w:r>
      <w:r>
        <w:rPr>
          <w:rStyle w:val="VerbatimChar"/>
        </w:rPr>
        <w:t xml:space="preserve">n_authors</w:t>
      </w:r>
      <w:r>
        <w:t xml:space="preserve"> </w:t>
      </w:r>
      <w:r>
        <w:t xml:space="preserve">remains the only term violating proportional hazards</w:t>
      </w:r>
      <w:r>
        <w:t xml:space="preserve"> </w:t>
      </w:r>
      <w:r>
        <w:t xml:space="preserve">(p = 0.002 against p ≥ 0.15 for every other term), and the remediation logic in</w:t>
      </w:r>
      <w:r>
        <w:t xml:space="preserve"> </w:t>
      </w:r>
      <w:r>
        <w:rPr>
          <w:rStyle w:val="VerbatimChar"/>
        </w:rPr>
        <w:t xml:space="preserve">R/06_analyze_results.R</w:t>
      </w:r>
      <w:r>
        <w:t xml:space="preserve"> </w:t>
      </w:r>
      <w:r>
        <w:t xml:space="preserve">re-diagnosed and re-applied the log-time interaction on</w:t>
      </w:r>
      <w:r>
        <w:t xml:space="preserve"> </w:t>
      </w:r>
      <w:r>
        <w:t xml:space="preserve">its own, because it reads the violation from</w:t>
      </w:r>
      <w:r>
        <w:t xml:space="preserve"> </w:t>
      </w:r>
      <w:r>
        <w:rPr>
          <w:rStyle w:val="VerbatimChar"/>
        </w:rPr>
        <w:t xml:space="preserve">cox.zph</w:t>
      </w:r>
      <w:r>
        <w:t xml:space="preserve"> </w:t>
      </w:r>
      <w:r>
        <w:t xml:space="preserve">rather than naming the</w:t>
      </w:r>
      <w:r>
        <w:t xml:space="preserve"> </w:t>
      </w:r>
      <w:r>
        <w:t xml:space="preserve">term. That is the property the generic implementation was written for.</w:t>
      </w:r>
    </w:p>
    <w:p>
      <w:pPr>
        <w:pStyle w:val="BodyText"/>
      </w:pPr>
      <w:r>
        <w:t xml:space="preserve">One reading did change and is worth flagging rather than burying.</w:t>
      </w:r>
      <w:r>
        <w:t xml:space="preserve"> </w:t>
      </w:r>
      <w:r>
        <w:rPr>
          <w:rStyle w:val="VerbatimChar"/>
        </w:rPr>
        <w:t xml:space="preserve">is_academic</w:t>
      </w:r>
      <w:r>
        <w:t xml:space="preserve"> </w:t>
      </w:r>
      <w:r>
        <w:t xml:space="preserve">was significant in</w:t>
      </w:r>
      <w:r>
        <w:t xml:space="preserve"> </w:t>
      </w:r>
      <w:r>
        <w:rPr>
          <w:b/>
          <w:bCs/>
        </w:rPr>
        <w:t xml:space="preserve">all twelve</w:t>
      </w:r>
      <w:r>
        <w:t xml:space="preserve"> </w:t>
      </w:r>
      <w:r>
        <w:t xml:space="preserve">leave-one-congress-out refits before the</w:t>
      </w:r>
      <w:r>
        <w:t xml:space="preserve"> </w:t>
      </w:r>
      <w:r>
        <w:t xml:space="preserve">correction and is now significant in</w:t>
      </w:r>
      <w:r>
        <w:t xml:space="preserve"> </w:t>
      </w:r>
      <w:r>
        <w:rPr>
          <w:b/>
          <w:bCs/>
        </w:rPr>
        <w:t xml:space="preserve">eleven of twelve</w:t>
      </w:r>
      <w:r>
        <w:t xml:space="preserve">, while its bootstrap</w:t>
      </w:r>
      <w:r>
        <w:t xml:space="preserve"> </w:t>
      </w:r>
      <w:r>
        <w:t xml:space="preserve">retention fell from 67.4% to 62.0%. It was already described as</w:t>
      </w:r>
      <w:r>
        <w:t xml:space="preserve"> </w:t>
      </w:r>
      <w:r>
        <w:t xml:space="preserve">“not</w:t>
      </w:r>
      <w:r>
        <w:t xml:space="preserve"> </w:t>
      </w:r>
      <w:r>
        <w:t xml:space="preserve">congress-driven but not sampling-robust”</w:t>
      </w:r>
      <w:r>
        <w:t xml:space="preserve">; it is now marginally less</w:t>
      </w:r>
      <w:r>
        <w:t xml:space="preserve"> </w:t>
      </w:r>
      <w:r>
        <w:t xml:space="preserve">congress-independent as well. The qualification it carries should be read as</w:t>
      </w:r>
      <w:r>
        <w:t xml:space="preserve"> </w:t>
      </w:r>
      <w:r>
        <w:t xml:space="preserve">having got slightly stronger, not weaker.</w:t>
      </w:r>
    </w:p>
    <w:bookmarkEnd w:id="207"/>
    <w:bookmarkEnd w:id="208"/>
    <w:bookmarkStart w:id="214" w:name="X149e2ef04c0217676e508c98efc7562e55da7db"/>
    <w:p>
      <w:pPr>
        <w:pStyle w:val="Heading2"/>
      </w:pPr>
      <w:r>
        <w:t xml:space="preserve">A17. Single-Sourcing the Decision Registry</w:t>
      </w:r>
    </w:p>
    <w:p>
      <w:pPr>
        <w:pStyle w:val="FirstParagraph"/>
      </w:pPr>
      <w:r>
        <w:t xml:space="preserve">This appendix records a documentation defect, not a scientific one, and the</w:t>
      </w:r>
      <w:r>
        <w:t xml:space="preserve"> </w:t>
      </w:r>
      <w:r>
        <w:t xml:space="preserve">guard added so it cannot recur.</w:t>
      </w:r>
    </w:p>
    <w:bookmarkStart w:id="209" w:name="a17.1-the-same-rot-one-level-up"/>
    <w:p>
      <w:pPr>
        <w:pStyle w:val="Heading3"/>
      </w:pPr>
      <w:r>
        <w:t xml:space="preserve">A17.1 The same rot, one level up</w:t>
      </w:r>
    </w:p>
    <w:p>
      <w:pPr>
        <w:pStyle w:val="FirstParagraph"/>
      </w:pPr>
      <w:r>
        <w:rPr>
          <w:rStyle w:val="VerbatimChar"/>
        </w:rPr>
        <w:t xml:space="preserve">tests/expected_failures.yaml</w:t>
      </w:r>
      <w:r>
        <w:t xml:space="preserve"> </w:t>
      </w:r>
      <w:r>
        <w:t xml:space="preserve">registers every test left failing on purpose.</w:t>
      </w:r>
      <w:r>
        <w:t xml:space="preserve"> </w:t>
      </w:r>
      <w:r>
        <w:t xml:space="preserve">The suite gate fails when an unregistered test fails, when a registered one</w:t>
      </w:r>
      <w:r>
        <w:t xml:space="preserve"> </w:t>
      </w:r>
      <w:r>
        <w:t xml:space="preserve">starts passing, when an entry names a test that no longer runs, and — since the</w:t>
      </w:r>
      <w:r>
        <w:t xml:space="preserve"> </w:t>
      </w:r>
      <w:r>
        <w:t xml:space="preserve">skip work — when a test skips without approval. All of that exists because a</w:t>
      </w:r>
      <w:r>
        <w:t xml:space="preserve"> </w:t>
      </w:r>
      <w:r>
        <w:t xml:space="preserve">list of known-failing tests rots: a decision gets taken, the entry stays, and CI</w:t>
      </w:r>
      <w:r>
        <w:t xml:space="preserve"> </w:t>
      </w:r>
      <w:r>
        <w:t xml:space="preserve">keeps green-lighting a question that has already been answered.</w:t>
      </w:r>
    </w:p>
    <w:p>
      <w:pPr>
        <w:pStyle w:val="BodyText"/>
      </w:pPr>
      <w:r>
        <w:t xml:space="preserve">The manifest was protected. Its</w:t>
      </w:r>
      <w:r>
        <w:t xml:space="preserve"> </w:t>
      </w:r>
      <w:r>
        <w:rPr>
          <w:i/>
          <w:iCs/>
        </w:rPr>
        <w:t xml:space="preserve">descriptions</w:t>
      </w:r>
      <w:r>
        <w:t xml:space="preserve"> </w:t>
      </w:r>
      <w:r>
        <w:t xml:space="preserve">were not. Both</w:t>
      </w:r>
      <w:r>
        <w:t xml:space="preserve"> </w:t>
      </w:r>
      <w:r>
        <w:rPr>
          <w:rStyle w:val="VerbatimChar"/>
        </w:rPr>
        <w:t xml:space="preserve">README.md</w:t>
      </w:r>
      <w:r>
        <w:t xml:space="preserve"> </w:t>
      </w:r>
      <w:r>
        <w:t xml:space="preserve">and</w:t>
      </w:r>
      <w:r>
        <w:t xml:space="preserve"> </w:t>
      </w:r>
      <w:r>
        <w:rPr>
          <w:rStyle w:val="VerbatimChar"/>
        </w:rPr>
        <w:t xml:space="preserve">docs/VALIDATION.md</w:t>
      </w:r>
      <w:r>
        <w:t xml:space="preserve"> </w:t>
      </w:r>
      <w:r>
        <w:t xml:space="preserve">carried a hand-maintained table of the registered failures,</w:t>
      </w:r>
      <w:r>
        <w:t xml:space="preserve"> </w:t>
      </w:r>
      <w:r>
        <w:t xml:space="preserve">and both had stopped at three rows while the manifest grew to</w:t>
      </w:r>
      <w:r>
        <w:t xml:space="preserve"> </w:t>
      </w:r>
      <w:r>
        <w:rPr>
          <w:b/>
          <w:bCs/>
        </w:rPr>
        <w:t xml:space="preserve">23</w:t>
      </w:r>
      <w:r>
        <w:t xml:space="preserve">. A reader</w:t>
      </w:r>
      <w:r>
        <w:t xml:space="preserve"> </w:t>
      </w:r>
      <w:r>
        <w:t xml:space="preserve">of either document would have concluded the project had three open questions.</w:t>
      </w:r>
    </w:p>
    <w:p>
      <w:pPr>
        <w:pStyle w:val="BodyText"/>
      </w:pPr>
      <w:r>
        <w:rPr>
          <w:rStyle w:val="VerbatimChar"/>
        </w:rPr>
        <w:t xml:space="preserve">docs/DECISIONS_PENDING.md</w:t>
      </w:r>
      <w:r>
        <w:t xml:space="preserve"> </w:t>
      </w:r>
      <w:r>
        <w:t xml:space="preserve">had been generated from the manifest the whole time</w:t>
      </w:r>
      <w:r>
        <w:t xml:space="preserve"> </w:t>
      </w:r>
      <w:r>
        <w:t xml:space="preserve">and listed all 23 correctly. The problem was not a missing artefact; it was two</w:t>
      </w:r>
      <w:r>
        <w:t xml:space="preserve"> </w:t>
      </w:r>
      <w:r>
        <w:t xml:space="preserve">unofficial copies of one that already existed.</w:t>
      </w:r>
    </w:p>
    <w:bookmarkEnd w:id="209"/>
    <w:bookmarkStart w:id="210" w:name="a17.2-what-replaced-them"/>
    <w:p>
      <w:pPr>
        <w:pStyle w:val="Heading3"/>
      </w:pPr>
      <w:r>
        <w:t xml:space="preserve">A17.2 What replaced them</w:t>
      </w:r>
    </w:p>
    <w:p>
      <w:pPr>
        <w:pStyle w:val="FirstParagraph"/>
      </w:pPr>
      <w:r>
        <w:t xml:space="preserve">Both tables are deleted. Each document now links to the generated registry and</w:t>
      </w:r>
      <w:r>
        <w:t xml:space="preserve"> </w:t>
      </w:r>
      <w:r>
        <w:t xml:space="preserve">states only a count, written as a marker:</w:t>
      </w:r>
    </w:p>
    <w:p>
      <w:pPr>
        <w:pStyle w:val="SourceCode"/>
      </w:pPr>
      <w:r>
        <w:rPr>
          <w:rStyle w:val="VerbatimChar"/>
        </w:rPr>
        <w:t xml:space="preserve">&lt;!--manifest-count--&gt;23&lt;!--/manifest-count--&gt;</w:t>
      </w:r>
    </w:p>
    <w:p>
      <w:pPr>
        <w:pStyle w:val="FirstParagraph"/>
      </w:pPr>
      <w:r>
        <w:rPr>
          <w:rStyle w:val="VerbatimChar"/>
        </w:rPr>
        <w:t xml:space="preserve">tests/testthat/test-decision_registry.R</w:t>
      </w:r>
      <w:r>
        <w:t xml:space="preserve"> </w:t>
      </w:r>
      <w:r>
        <w:t xml:space="preserve">asserts that every marked count equals</w:t>
      </w:r>
      <w:r>
        <w:t xml:space="preserve"> </w:t>
      </w:r>
      <w:r>
        <w:t xml:space="preserve">the length of its manifest, that</w:t>
      </w:r>
      <w:r>
        <w:t xml:space="preserve"> </w:t>
      </w:r>
      <w:r>
        <w:rPr>
          <w:rStyle w:val="VerbatimChar"/>
        </w:rPr>
        <w:t xml:space="preserve">DECISIONS_PENDING.md</w:t>
      </w:r>
      <w:r>
        <w:t xml:space="preserve"> </w:t>
      </w:r>
      <w:r>
        <w:t xml:space="preserve">carries one heading per</w:t>
      </w:r>
      <w:r>
        <w:t xml:space="preserve"> </w:t>
      </w:r>
      <w:r>
        <w:t xml:space="preserve">manifest entry and keeps its do-not-edit banner, and that neither document</w:t>
      </w:r>
      <w:r>
        <w:t xml:space="preserve"> </w:t>
      </w:r>
      <w:r>
        <w:t xml:space="preserve">reintroduces a table of manifest rows.</w:t>
      </w:r>
    </w:p>
    <w:p>
      <w:pPr>
        <w:pStyle w:val="BodyText"/>
      </w:pPr>
      <w:r>
        <w:t xml:space="preserve">That last check needed narrowing. Its first form matched any table row citing a</w:t>
      </w:r>
      <w:r>
        <w:t xml:space="preserve"> </w:t>
      </w:r>
      <w:r>
        <w:t xml:space="preserve">test file and flagged nineteen rows in</w:t>
      </w:r>
      <w:r>
        <w:t xml:space="preserve"> </w:t>
      </w:r>
      <w:r>
        <w:rPr>
          <w:rStyle w:val="VerbatimChar"/>
        </w:rPr>
        <w:t xml:space="preserve">docs/VALIDATION.md</w:t>
      </w:r>
      <w:r>
        <w:t xml:space="preserve"> </w:t>
      </w:r>
      <w:r>
        <w:t xml:space="preserve">— the legitimate</w:t>
      </w:r>
      <w:r>
        <w:t xml:space="preserve"> </w:t>
      </w:r>
      <w:r>
        <w:t xml:space="preserve">test</w:t>
      </w:r>
      <w:r>
        <w:t xml:space="preserve"> </w:t>
      </w:r>
      <w:r>
        <w:rPr>
          <w:b/>
          <w:bCs/>
        </w:rPr>
        <w:t xml:space="preserve">inventory</w:t>
      </w:r>
      <w:r>
        <w:t xml:space="preserve">, which tabulates every test file with its assertion count and</w:t>
      </w:r>
      <w:r>
        <w:t xml:space="preserve"> </w:t>
      </w:r>
      <w:r>
        <w:t xml:space="preserve">gate. A manifest row cites a specific</w:t>
      </w:r>
      <w:r>
        <w:t xml:space="preserve"> </w:t>
      </w:r>
      <w:r>
        <w:rPr>
          <w:i/>
          <w:iCs/>
        </w:rPr>
        <w:t xml:space="preserve">line</w:t>
      </w:r>
      <w:r>
        <w:t xml:space="preserve"> </w:t>
      </w:r>
      <w:r>
        <w:t xml:space="preserve">(</w:t>
      </w:r>
      <w:r>
        <w:rPr>
          <w:rStyle w:val="VerbatimChar"/>
        </w:rPr>
        <w:t xml:space="preserve">test-cycle04_….R:179</w:t>
      </w:r>
      <w:r>
        <w:t xml:space="preserve">); an</w:t>
      </w:r>
      <w:r>
        <w:t xml:space="preserve"> </w:t>
      </w:r>
      <w:r>
        <w:t xml:space="preserve">inventory row does not. The guard now requires the line number, so it catches</w:t>
      </w:r>
      <w:r>
        <w:t xml:space="preserve"> </w:t>
      </w:r>
      <w:r>
        <w:t xml:space="preserve">the duplicate table without forbidding the catalogue.</w:t>
      </w:r>
    </w:p>
    <w:p>
      <w:pPr>
        <w:pStyle w:val="BodyText"/>
      </w:pPr>
      <w:r>
        <w:t xml:space="preserve">README also stopped quoting pass and fail totals. They changed on almost every</w:t>
      </w:r>
      <w:r>
        <w:t xml:space="preserve"> </w:t>
      </w:r>
      <w:r>
        <w:t xml:space="preserve">commit, so the figure was stale before it could be read.</w:t>
      </w:r>
    </w:p>
    <w:bookmarkEnd w:id="210"/>
    <w:bookmarkStart w:id="211" w:name="X5f4f88a56db74902f9ea4c7bb01ff69f56826eb"/>
    <w:p>
      <w:pPr>
        <w:pStyle w:val="Heading3"/>
      </w:pPr>
      <w:r>
        <w:t xml:space="preserve">A17.2b A registration is not an observation</w:t>
      </w:r>
    </w:p>
    <w:p>
      <w:pPr>
        <w:pStyle w:val="FirstParagraph"/>
      </w:pPr>
      <w:r>
        <w:t xml:space="preserve">The count guard caught something on its first run that is worth keeping. The</w:t>
      </w:r>
      <w:r>
        <w:t xml:space="preserve"> </w:t>
      </w:r>
      <w:r>
        <w:t xml:space="preserve">README stated</w:t>
      </w:r>
      <w:r>
        <w:t xml:space="preserve"> </w:t>
      </w:r>
      <w:r>
        <w:rPr>
          <w:i/>
          <w:iCs/>
        </w:rPr>
        <w:t xml:space="preserve">12 skipped</w:t>
      </w:r>
      <w:r>
        <w:t xml:space="preserve">, taken from a clean-worktree run;</w:t>
      </w:r>
      <w:r>
        <w:t xml:space="preserve"> </w:t>
      </w:r>
      <w:r>
        <w:rPr>
          <w:rStyle w:val="VerbatimChar"/>
        </w:rPr>
        <w:t xml:space="preserve">tests/expected_skips.yaml</w:t>
      </w:r>
      <w:r>
        <w:t xml:space="preserve"> </w:t>
      </w:r>
      <w:r>
        <w:t xml:space="preserve">holds</w:t>
      </w:r>
      <w:r>
        <w:t xml:space="preserve"> </w:t>
      </w:r>
      <w:r>
        <w:rPr>
          <w:b/>
          <w:bCs/>
        </w:rPr>
        <w:t xml:space="preserve">13</w:t>
      </w:r>
      <w:r>
        <w:t xml:space="preserve"> </w:t>
      </w:r>
      <w:r>
        <w:t xml:space="preserve">entries. Both are correct, and they</w:t>
      </w:r>
      <w:r>
        <w:t xml:space="preserve"> </w:t>
      </w:r>
      <w:r>
        <w:t xml:space="preserve">measure different things.</w:t>
      </w:r>
    </w:p>
    <w:p>
      <w:pPr>
        <w:pStyle w:val="BodyText"/>
      </w:pPr>
      <w:r>
        <w:t xml:space="preserve">An entry in the skip manifest is a</w:t>
      </w:r>
      <w:r>
        <w:t xml:space="preserve"> </w:t>
      </w:r>
      <w:r>
        <w:rPr>
          <w:i/>
          <w:iCs/>
        </w:rPr>
        <w:t xml:space="preserve">registration</w:t>
      </w:r>
      <w:r>
        <w:t xml:space="preserve">: this test is allowed to skip,</w:t>
      </w:r>
      <w:r>
        <w:t xml:space="preserve"> </w:t>
      </w:r>
      <w:r>
        <w:t xml:space="preserve">and here is why. Whether it actually skips depends on the environment — the</w:t>
      </w:r>
      <w:r>
        <w:t xml:space="preserve"> </w:t>
      </w:r>
      <w:r>
        <w:t xml:space="preserve">Shiny bundle, the PubMed XML cache and the 2017 JMIG cache are all gitignored,</w:t>
      </w:r>
      <w:r>
        <w:t xml:space="preserve"> </w:t>
      </w:r>
      <w:r>
        <w:t xml:space="preserve">so a machine that has run the pipeline reaches assertions that CI cannot. The</w:t>
      </w:r>
      <w:r>
        <w:t xml:space="preserve"> </w:t>
      </w:r>
      <w:r>
        <w:t xml:space="preserve">gate is built on exactly that asymmetry: it fails on an</w:t>
      </w:r>
      <w:r>
        <w:t xml:space="preserve"> </w:t>
      </w:r>
      <w:r>
        <w:rPr>
          <w:i/>
          <w:iCs/>
        </w:rPr>
        <w:t xml:space="preserve">unapproved</w:t>
      </w:r>
      <w:r>
        <w:t xml:space="preserve"> </w:t>
      </w:r>
      <w:r>
        <w:t xml:space="preserve">skip, and</w:t>
      </w:r>
      <w:r>
        <w:t xml:space="preserve"> </w:t>
      </w:r>
      <w:r>
        <w:t xml:space="preserve">says nothing when an approved one runs anyway.</w:t>
      </w:r>
    </w:p>
    <w:p>
      <w:pPr>
        <w:pStyle w:val="BodyText"/>
      </w:pPr>
      <w:r>
        <w:t xml:space="preserve">So the marker checking a manifest length belongs on the registered count, and</w:t>
      </w:r>
      <w:r>
        <w:t xml:space="preserve"> </w:t>
      </w:r>
      <w:r>
        <w:t xml:space="preserve">the observed count is left unchecked and labelled as an observation. Marking</w:t>
      </w:r>
      <w:r>
        <w:t xml:space="preserve"> </w:t>
      </w:r>
      <w:r>
        <w:t xml:space="preserve">both would have forced the two to agree, which would either have falsified the</w:t>
      </w:r>
      <w:r>
        <w:t xml:space="preserve"> </w:t>
      </w:r>
      <w:r>
        <w:t xml:space="preserve">README or created pressure to delete a legitimate manifest entry to make a</w:t>
      </w:r>
      <w:r>
        <w:t xml:space="preserve"> </w:t>
      </w:r>
      <w:r>
        <w:t xml:space="preserve">number match.</w:t>
      </w:r>
    </w:p>
    <w:bookmarkEnd w:id="211"/>
    <w:bookmarkStart w:id="212" w:name="a17.3-numbers-with-no-producer"/>
    <w:p>
      <w:pPr>
        <w:pStyle w:val="Heading3"/>
      </w:pPr>
      <w:r>
        <w:t xml:space="preserve">A17.3 Numbers with no producer</w:t>
      </w:r>
    </w:p>
    <w:p>
      <w:pPr>
        <w:pStyle w:val="FirstParagraph"/>
      </w:pPr>
      <w:r>
        <w:t xml:space="preserve">A second, smaller instance of the same principle. Several figures justifying the</w:t>
      </w:r>
      <w:r>
        <w:t xml:space="preserve"> </w:t>
      </w:r>
      <w:r>
        <w:t xml:space="preserve">proportional-hazards remediation in A16 were computed at a prompt and typed into</w:t>
      </w:r>
      <w:r>
        <w:t xml:space="preserve"> </w:t>
      </w:r>
      <w:r>
        <w:t xml:space="preserve">prose: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Cox model frame</w:t>
            </w:r>
          </w:p>
        </w:tc>
        <w:tc>
          <w:tcPr/>
          <w:p>
            <w:pPr>
              <w:pStyle w:val="Compact"/>
              <w:jc w:val="right"/>
            </w:pPr>
            <w:r>
              <w:t xml:space="preserve">1,020 abstracts, 171 events</w:t>
            </w:r>
          </w:p>
        </w:tc>
      </w:tr>
      <w:tr>
        <w:tc>
          <w:tcPr/>
          <w:p>
            <w:pPr>
              <w:pStyle w:val="Compact"/>
            </w:pPr>
            <w:r>
              <w:t xml:space="preserve">Global Schoenfeld p, violator removed</w:t>
            </w:r>
          </w:p>
        </w:tc>
        <w:tc>
          <w:tcPr/>
          <w:p>
            <w:pPr>
              <w:pStyle w:val="Compact"/>
              <w:jc w:val="right"/>
            </w:pPr>
            <w:r>
              <w:t xml:space="preserve">0.5295</w:t>
            </w:r>
          </w:p>
        </w:tc>
      </w:tr>
      <w:tr>
        <w:tc>
          <w:tcPr/>
          <w:p>
            <w:pPr>
              <w:pStyle w:val="Compact"/>
            </w:pPr>
            <w:r>
              <w:t xml:space="preserve">AIC, proportional fit</w:t>
            </w:r>
          </w:p>
        </w:tc>
        <w:tc>
          <w:tcPr/>
          <w:p>
            <w:pPr>
              <w:pStyle w:val="Compact"/>
              <w:jc w:val="right"/>
            </w:pPr>
            <w:r>
              <w:t xml:space="preserve">2303.6</w:t>
            </w:r>
          </w:p>
        </w:tc>
      </w:tr>
      <w:tr>
        <w:tc>
          <w:tcPr/>
          <w:p>
            <w:pPr>
              <w:pStyle w:val="Compact"/>
            </w:pPr>
            <w:r>
              <w:t xml:space="preserve">AIC, time-varying fit</w:t>
            </w:r>
          </w:p>
        </w:tc>
        <w:tc>
          <w:tcPr/>
          <w:p>
            <w:pPr>
              <w:pStyle w:val="Compact"/>
              <w:jc w:val="right"/>
            </w:pPr>
            <w:r>
              <w:t xml:space="preserve">2295.4</w:t>
            </w:r>
          </w:p>
        </w:tc>
      </w:tr>
      <w:tr>
        <w:tc>
          <w:tcPr/>
          <w:p>
            <w:pPr>
              <w:pStyle w:val="Compact"/>
            </w:pPr>
            <w:r>
              <w:t xml:space="preserve">Schoenfeld ρ with time, violator</w:t>
            </w:r>
          </w:p>
        </w:tc>
        <w:tc>
          <w:tcPr/>
          <w:p>
            <w:pPr>
              <w:pStyle w:val="Compact"/>
              <w:jc w:val="right"/>
            </w:pPr>
            <w:r>
              <w:t xml:space="preserve">0.257</w:t>
            </w:r>
          </w:p>
        </w:tc>
      </w:tr>
      <w:tr>
        <w:tc>
          <w:tcPr/>
          <w:p>
            <w:pPr>
              <w:pStyle w:val="Compact"/>
            </w:pPr>
            <w:r>
              <w:t xml:space="preserve">Share of frame at the author ceiling</w:t>
            </w:r>
          </w:p>
        </w:tc>
        <w:tc>
          <w:tcPr/>
          <w:p>
            <w:pPr>
              <w:pStyle w:val="Compact"/>
              <w:jc w:val="right"/>
            </w:pPr>
            <w:r>
              <w:t xml:space="preserve">48.9%</w:t>
            </w:r>
          </w:p>
        </w:tc>
      </w:tr>
    </w:tbl>
    <w:p>
      <w:pPr>
        <w:pStyle w:val="BodyText"/>
      </w:pPr>
      <w:r>
        <w:t xml:space="preserve">A number with no producer cannot be re-derived, so nothing notices when it stops</w:t>
      </w:r>
      <w:r>
        <w:t xml:space="preserve"> </w:t>
      </w:r>
      <w:r>
        <w:t xml:space="preserve">being true — and every one of these shifted at the 2026-09-05 refit.</w:t>
      </w:r>
      <w:r>
        <w:t xml:space="preserve"> </w:t>
      </w:r>
      <w:r>
        <w:rPr>
          <w:rStyle w:val="VerbatimChar"/>
        </w:rPr>
        <w:t xml:space="preserve">scripts/ph_diagnostics_report.R</w:t>
      </w:r>
      <w:r>
        <w:t xml:space="preserve"> </w:t>
      </w:r>
      <w:r>
        <w:t xml:space="preserve">now computes them into</w:t>
      </w:r>
      <w:r>
        <w:t xml:space="preserve"> </w:t>
      </w:r>
      <w:r>
        <w:rPr>
          <w:rStyle w:val="VerbatimChar"/>
        </w:rPr>
        <w:t xml:space="preserve">output/cox_ph_support.csv</w:t>
      </w:r>
      <w:r>
        <w:t xml:space="preserve">, reading the model specification back from</w:t>
      </w:r>
      <w:r>
        <w:t xml:space="preserve"> </w:t>
      </w:r>
      <w:r>
        <w:rPr>
          <w:rStyle w:val="VerbatimChar"/>
        </w:rPr>
        <w:t xml:space="preserve">output/model_variable_screen.csv</w:t>
      </w:r>
      <w:r>
        <w:t xml:space="preserve"> </w:t>
      </w:r>
      <w:r>
        <w:t xml:space="preserve">rather than restating it, so it cannot drift</w:t>
      </w:r>
      <w:r>
        <w:t xml:space="preserve"> </w:t>
      </w:r>
      <w:r>
        <w:t xml:space="preserve">from the model actually fitted. Seven are registered in</w:t>
      </w:r>
      <w:r>
        <w:t xml:space="preserve"> </w:t>
      </w:r>
      <w:r>
        <w:rPr>
          <w:rStyle w:val="VerbatimChar"/>
        </w:rPr>
        <w:t xml:space="preserve">docs/manuscript_claims.csv</w:t>
      </w:r>
      <w:r>
        <w:t xml:space="preserve"> </w:t>
      </w:r>
      <w:r>
        <w:t xml:space="preserve">and recomputed by the claims test.</w:t>
      </w:r>
    </w:p>
    <w:bookmarkEnd w:id="212"/>
    <w:bookmarkStart w:id="213" w:name="X09754584c0a25a9907ec13185c24b3896071f29"/>
    <w:p>
      <w:pPr>
        <w:pStyle w:val="Heading3"/>
      </w:pPr>
      <w:r>
        <w:t xml:space="preserve">A17.4 Two files committed without metadata</w:t>
      </w:r>
    </w:p>
    <w:p>
      <w:pPr>
        <w:pStyle w:val="FirstParagraph"/>
      </w:pPr>
      <w:r>
        <w:rPr>
          <w:rStyle w:val="VerbatimChar"/>
        </w:rPr>
        <w:t xml:space="preserve">scripts/build_docs_metadata.R</w:t>
      </w:r>
      <w:r>
        <w:t xml:space="preserve"> </w:t>
      </w:r>
      <w:r>
        <w:t xml:space="preserve">refused to run until</w:t>
      </w:r>
      <w:r>
        <w:t xml:space="preserve"> </w:t>
      </w:r>
      <w:r>
        <w:rPr>
          <w:rStyle w:val="VerbatimChar"/>
        </w:rPr>
        <w:t xml:space="preserve">output/candidate_pool_index.csv</w:t>
      </w:r>
      <w:r>
        <w:t xml:space="preserve"> </w:t>
      </w:r>
      <w:r>
        <w:t xml:space="preserve">and</w:t>
      </w:r>
      <w:r>
        <w:t xml:space="preserve"> </w:t>
      </w:r>
      <w:r>
        <w:rPr>
          <w:rStyle w:val="VerbatimChar"/>
        </w:rPr>
        <w:t xml:space="preserve">output/cox_ph_support.csv</w:t>
      </w:r>
      <w:r>
        <w:t xml:space="preserve"> </w:t>
      </w:r>
      <w:r>
        <w:t xml:space="preserve">were described</w:t>
      </w:r>
      <w:r>
        <w:t xml:space="preserve"> </w:t>
      </w:r>
      <w:r>
        <w:t xml:space="preserve">in</w:t>
      </w:r>
      <w:r>
        <w:t xml:space="preserve"> </w:t>
      </w:r>
      <w:r>
        <w:rPr>
          <w:rStyle w:val="VerbatimChar"/>
        </w:rPr>
        <w:t xml:space="preserve">docs/_meta/data_inventory_meta.csv</w:t>
      </w:r>
      <w:r>
        <w:t xml:space="preserve">. The first had been committed by other</w:t>
      </w:r>
      <w:r>
        <w:t xml:space="preserve"> </w:t>
      </w:r>
      <w:r>
        <w:t xml:space="preserve">work without an entry. The builder’s own guard caught both, which is the</w:t>
      </w:r>
      <w:r>
        <w:t xml:space="preserve"> </w:t>
      </w:r>
      <w:r>
        <w:t xml:space="preserve">behaviour that guard was added for.</w:t>
      </w:r>
    </w:p>
    <w:p>
      <w:pPr>
        <w:pStyle w:val="BodyText"/>
      </w:pPr>
      <w:r>
        <w:t xml:space="preserve">Regenerating the documentation on a branch also revealed that the builder</w:t>
      </w:r>
      <w:r>
        <w:t xml:space="preserve"> </w:t>
      </w:r>
      <w:r>
        <w:t xml:space="preserve">requires every documented file to be present on disk, including the large</w:t>
      </w:r>
      <w:r>
        <w:t xml:space="preserve"> </w:t>
      </w:r>
      <w:r>
        <w:t xml:space="preserve">gitignored artefacts (</w:t>
      </w:r>
      <w:r>
        <w:rPr>
          <w:rStyle w:val="VerbatimChar"/>
        </w:rPr>
        <w:t xml:space="preserve">pubmed_candidates.csv</w:t>
      </w:r>
      <w:r>
        <w:t xml:space="preserve">, the search checkpoints, the 2017</w:t>
      </w:r>
      <w:r>
        <w:t xml:space="preserve"> </w:t>
      </w:r>
      <w:r>
        <w:t xml:space="preserve">JMIG cache). It therefore cannot run in a clean checkout — only on a machine</w:t>
      </w:r>
      <w:r>
        <w:t xml:space="preserve"> </w:t>
      </w:r>
      <w:r>
        <w:t xml:space="preserve">that has done a full pipeline run. That is a limitation of the builder rather</w:t>
      </w:r>
      <w:r>
        <w:t xml:space="preserve"> </w:t>
      </w:r>
      <w:r>
        <w:t xml:space="preserve">than a defect in the metadata, and it is recorded here rather than worked</w:t>
      </w:r>
      <w:r>
        <w:t xml:space="preserve"> </w:t>
      </w:r>
      <w:r>
        <w:t xml:space="preserve">around: the caches were linked in temporarily to regenerate, and the links</w:t>
      </w:r>
      <w:r>
        <w:t xml:space="preserve"> </w:t>
      </w:r>
      <w:r>
        <w:t xml:space="preserve">removed before committing.</w:t>
      </w:r>
    </w:p>
    <w:bookmarkEnd w:id="213"/>
    <w:bookmarkEnd w:id="214"/>
    <w:bookmarkStart w:id="219" w:name="X5f611485395eac202a656f111fce3b8e9fa7850"/>
    <w:p>
      <w:pPr>
        <w:pStyle w:val="Heading2"/>
      </w:pPr>
      <w:r>
        <w:t xml:space="preserve">A18. The Publication Date Is the Print Issue Date</w:t>
      </w:r>
    </w:p>
    <w:p>
      <w:pPr>
        <w:pStyle w:val="FirstParagraph"/>
      </w:pPr>
      <w:r>
        <w:rPr>
          <w:b/>
          <w:bCs/>
        </w:rPr>
        <w:t xml:space="preserve">PI decision, 2026-09-05.</w:t>
      </w:r>
      <w:r>
        <w:t xml:space="preserve"> </w:t>
      </w:r>
      <w:r>
        <w:t xml:space="preserve">Recorded here because the study had been using two</w:t>
      </w:r>
      <w:r>
        <w:t xml:space="preserve"> </w:t>
      </w:r>
      <w:r>
        <w:t xml:space="preserve">different definitions at once without anyone having chosen between them.</w:t>
      </w:r>
    </w:p>
    <w:bookmarkStart w:id="215" w:name="a18.1-the-ambiguity"/>
    <w:p>
      <w:pPr>
        <w:pStyle w:val="Heading3"/>
      </w:pPr>
      <w:r>
        <w:t xml:space="preserve">A18.1 The ambiguity</w:t>
      </w:r>
    </w:p>
    <w:p>
      <w:pPr>
        <w:pStyle w:val="FirstParagraph"/>
      </w:pPr>
      <w:r>
        <w:t xml:space="preserve">PubMed carries at least two dates for an article.</w:t>
      </w:r>
      <w:r>
        <w:t xml:space="preserve"> </w:t>
      </w:r>
      <w:r>
        <w:rPr>
          <w:rStyle w:val="VerbatimChar"/>
        </w:rPr>
        <w:t xml:space="preserve">ArticleDate</w:t>
      </w:r>
      <w:r>
        <w:t xml:space="preserve"> </w:t>
      </w:r>
      <w:r>
        <w:t xml:space="preserve">is the</w:t>
      </w:r>
      <w:r>
        <w:t xml:space="preserve"> </w:t>
      </w:r>
      <w:r>
        <w:t xml:space="preserve">electronic release;</w:t>
      </w:r>
      <w:r>
        <w:t xml:space="preserve"> </w:t>
      </w:r>
      <w:r>
        <w:rPr>
          <w:rStyle w:val="VerbatimChar"/>
        </w:rPr>
        <w:t xml:space="preserve">JournalIssue/PubDate</w:t>
      </w:r>
      <w:r>
        <w:t xml:space="preserve"> </w:t>
      </w:r>
      <w:r>
        <w:t xml:space="preserve">is the print issue. For journals that</w:t>
      </w:r>
      <w:r>
        <w:t xml:space="preserve"> </w:t>
      </w:r>
      <w:r>
        <w:t xml:space="preserve">publish online ahead of print they differ by months.</w:t>
      </w:r>
    </w:p>
    <w:p>
      <w:pPr>
        <w:pStyle w:val="BodyText"/>
      </w:pPr>
      <w:r>
        <w:rPr>
          <w:rStyle w:val="VerbatimChar"/>
        </w:rPr>
        <w:t xml:space="preserve">R/utils_pubmed.R</w:t>
      </w:r>
      <w:r>
        <w:t xml:space="preserve"> </w:t>
      </w:r>
      <w:r>
        <w:t xml:space="preserve">reads</w:t>
      </w:r>
      <w:r>
        <w:t xml:space="preserve"> </w:t>
      </w:r>
      <w:r>
        <w:rPr>
          <w:rStyle w:val="VerbatimChar"/>
        </w:rPr>
        <w:t xml:space="preserve">JournalIssue/PubDate</w:t>
      </w:r>
      <w:r>
        <w:t xml:space="preserve"> </w:t>
      </w:r>
      <w:r>
        <w:t xml:space="preserve">and defaults an absent day to</w:t>
      </w:r>
      <w:r>
        <w:t xml:space="preserve"> </w:t>
      </w:r>
      <w:r>
        <w:t xml:space="preserve">the first of the month, so every interval in the analysis is measured to the</w:t>
      </w:r>
      <w:r>
        <w:t xml:space="preserve"> </w:t>
      </w:r>
      <w:r>
        <w:t xml:space="preserve">print issue.</w:t>
      </w:r>
      <w:r>
        <w:t xml:space="preserve"> </w:t>
      </w:r>
      <w:r>
        <w:rPr>
          <w:rStyle w:val="VerbatimChar"/>
        </w:rPr>
        <w:t xml:space="preserve">output/excluded_pre_congress_publications.csv</w:t>
      </w:r>
      <w:r>
        <w:t xml:space="preserve">, the file that</w:t>
      </w:r>
      <w:r>
        <w:t xml:space="preserve"> </w:t>
      </w:r>
      <w:r>
        <w:t xml:space="preserve">identifies publications predating their congress, was built from</w:t>
      </w:r>
      <w:r>
        <w:t xml:space="preserve"> </w:t>
      </w:r>
      <w:r>
        <w:rPr>
          <w:rStyle w:val="VerbatimChar"/>
        </w:rPr>
        <w:t xml:space="preserve">ArticleDate</w:t>
      </w:r>
      <w:r>
        <w:t xml:space="preserve">.</w:t>
      </w:r>
      <w:r>
        <w:t xml:space="preserve"> </w:t>
      </w:r>
      <w:r>
        <w:t xml:space="preserve">Both were internally consistent and neither was wrong; they simply answered</w:t>
      </w:r>
      <w:r>
        <w:t xml:space="preserve"> </w:t>
      </w:r>
      <w:r>
        <w:t xml:space="preserve">different questions, and nothing recorded which question the study was asking.</w:t>
      </w:r>
    </w:p>
    <w:p>
      <w:pPr>
        <w:pStyle w:val="BodyText"/>
      </w:pPr>
      <w:r>
        <w:t xml:space="preserve">On the four abstracts whose pre-congress status is contested, the two bases</w:t>
      </w:r>
      <w:r>
        <w:t xml:space="preserve"> </w:t>
      </w:r>
      <w:r>
        <w:t xml:space="preserve">disagree by 1.5 to 4.9 months:</w:t>
      </w:r>
    </w:p>
    <w:tbl>
      <w:tblPr>
        <w:tblStyle w:val="Table"/>
        <w:tblW w:type="pct" w:w="5000"/>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pPr>
            <w:r>
              <w:t xml:space="preserve">abstract</w:t>
            </w:r>
          </w:p>
        </w:tc>
        <w:tc>
          <w:tcPr/>
          <w:p>
            <w:pPr>
              <w:pStyle w:val="Compact"/>
            </w:pPr>
            <w:r>
              <w:t xml:space="preserve">electronic date</w:t>
            </w:r>
          </w:p>
        </w:tc>
        <w:tc>
          <w:tcPr/>
          <w:p>
            <w:pPr>
              <w:pStyle w:val="Compact"/>
              <w:jc w:val="right"/>
            </w:pPr>
            <w:r>
              <w:t xml:space="preserve">months before</w:t>
            </w:r>
          </w:p>
        </w:tc>
        <w:tc>
          <w:tcPr/>
          <w:p>
            <w:pPr>
              <w:pStyle w:val="Compact"/>
            </w:pPr>
            <w:r>
              <w:t xml:space="preserve">print issue</w:t>
            </w:r>
          </w:p>
        </w:tc>
        <w:tc>
          <w:tcPr/>
          <w:p>
            <w:pPr>
              <w:pStyle w:val="Compact"/>
              <w:jc w:val="right"/>
            </w:pPr>
            <w:r>
              <w:t xml:space="preserve">months before</w:t>
            </w:r>
          </w:p>
        </w:tc>
      </w:tr>
      <w:tr>
        <w:tc>
          <w:tcPr/>
          <w:p>
            <w:pPr>
              <w:pStyle w:val="Compact"/>
            </w:pPr>
            <w:r>
              <w:t xml:space="preserve">AAGL2021_002</w:t>
            </w:r>
          </w:p>
        </w:tc>
        <w:tc>
          <w:tcPr/>
          <w:p>
            <w:pPr>
              <w:pStyle w:val="Compact"/>
            </w:pPr>
            <w:r>
              <w:t xml:space="preserve">2021-05-13</w:t>
            </w:r>
          </w:p>
        </w:tc>
        <w:tc>
          <w:tcPr/>
          <w:p>
            <w:pPr>
              <w:pStyle w:val="Compact"/>
              <w:jc w:val="right"/>
            </w:pPr>
            <w:r>
              <w:t xml:space="preserve">6.1</w:t>
            </w:r>
          </w:p>
        </w:tc>
        <w:tc>
          <w:tcPr/>
          <w:p>
            <w:pPr>
              <w:pStyle w:val="Compact"/>
            </w:pPr>
            <w:r>
              <w:t xml:space="preserve">2021-07-01</w:t>
            </w:r>
          </w:p>
        </w:tc>
        <w:tc>
          <w:tcPr/>
          <w:p>
            <w:pPr>
              <w:pStyle w:val="Compact"/>
              <w:jc w:val="right"/>
            </w:pPr>
            <w:r>
              <w:t xml:space="preserve">4.5</w:t>
            </w:r>
          </w:p>
        </w:tc>
      </w:tr>
      <w:tr>
        <w:tc>
          <w:tcPr/>
          <w:p>
            <w:pPr>
              <w:pStyle w:val="Compact"/>
            </w:pPr>
            <w:r>
              <w:t xml:space="preserve">AAGL2021_049</w:t>
            </w:r>
          </w:p>
        </w:tc>
        <w:tc>
          <w:tcPr/>
          <w:p>
            <w:pPr>
              <w:pStyle w:val="Compact"/>
            </w:pPr>
            <w:r>
              <w:t xml:space="preserve">2021-06-12</w:t>
            </w:r>
          </w:p>
        </w:tc>
        <w:tc>
          <w:tcPr/>
          <w:p>
            <w:pPr>
              <w:pStyle w:val="Compact"/>
              <w:jc w:val="right"/>
            </w:pPr>
            <w:r>
              <w:t xml:space="preserve">5.1</w:t>
            </w:r>
          </w:p>
        </w:tc>
        <w:tc>
          <w:tcPr/>
          <w:p>
            <w:pPr>
              <w:pStyle w:val="Compact"/>
            </w:pPr>
            <w:r>
              <w:t xml:space="preserve">2021-10-01</w:t>
            </w:r>
          </w:p>
        </w:tc>
        <w:tc>
          <w:tcPr/>
          <w:p>
            <w:pPr>
              <w:pStyle w:val="Compact"/>
              <w:jc w:val="right"/>
            </w:pPr>
            <w:r>
              <w:t xml:space="preserve">1.4</w:t>
            </w:r>
          </w:p>
        </w:tc>
      </w:tr>
      <w:tr>
        <w:tc>
          <w:tcPr/>
          <w:p>
            <w:pPr>
              <w:pStyle w:val="Compact"/>
            </w:pPr>
            <w:r>
              <w:t xml:space="preserve">AAGL2023_042</w:t>
            </w:r>
          </w:p>
        </w:tc>
        <w:tc>
          <w:tcPr/>
          <w:p>
            <w:pPr>
              <w:pStyle w:val="Compact"/>
            </w:pPr>
            <w:r>
              <w:t xml:space="preserve">2023-04-23</w:t>
            </w:r>
          </w:p>
        </w:tc>
        <w:tc>
          <w:tcPr/>
          <w:p>
            <w:pPr>
              <w:pStyle w:val="Compact"/>
              <w:jc w:val="right"/>
            </w:pPr>
            <w:r>
              <w:t xml:space="preserve">6.5</w:t>
            </w:r>
          </w:p>
        </w:tc>
        <w:tc>
          <w:tcPr/>
          <w:p>
            <w:pPr>
              <w:pStyle w:val="Compact"/>
            </w:pPr>
            <w:r>
              <w:t xml:space="preserve">2023-08-01</w:t>
            </w:r>
          </w:p>
        </w:tc>
        <w:tc>
          <w:tcPr/>
          <w:p>
            <w:pPr>
              <w:pStyle w:val="Compact"/>
              <w:jc w:val="right"/>
            </w:pPr>
            <w:r>
              <w:t xml:space="preserve">3.2</w:t>
            </w:r>
          </w:p>
        </w:tc>
      </w:tr>
      <w:tr>
        <w:tc>
          <w:tcPr/>
          <w:p>
            <w:pPr>
              <w:pStyle w:val="Compact"/>
            </w:pPr>
            <w:r>
              <w:t xml:space="preserve">AAGL2023_048</w:t>
            </w:r>
          </w:p>
        </w:tc>
        <w:tc>
          <w:tcPr/>
          <w:p>
            <w:pPr>
              <w:pStyle w:val="Compact"/>
            </w:pPr>
            <w:r>
              <w:t xml:space="preserve">2023-06-04</w:t>
            </w:r>
          </w:p>
        </w:tc>
        <w:tc>
          <w:tcPr/>
          <w:p>
            <w:pPr>
              <w:pStyle w:val="Compact"/>
              <w:jc w:val="right"/>
            </w:pPr>
            <w:r>
              <w:t xml:space="preserve">5.1</w:t>
            </w:r>
          </w:p>
        </w:tc>
        <w:tc>
          <w:tcPr/>
          <w:p>
            <w:pPr>
              <w:pStyle w:val="Compact"/>
            </w:pPr>
            <w:r>
              <w:t xml:space="preserve">2023-11-01</w:t>
            </w:r>
          </w:p>
        </w:tc>
        <w:tc>
          <w:tcPr/>
          <w:p>
            <w:pPr>
              <w:pStyle w:val="Compact"/>
              <w:jc w:val="right"/>
            </w:pPr>
            <w:r>
              <w:t xml:space="preserve">0.2</w:t>
            </w:r>
          </w:p>
        </w:tc>
      </w:tr>
    </w:tbl>
    <w:p>
      <w:pPr>
        <w:pStyle w:val="BodyText"/>
      </w:pPr>
      <w:r>
        <w:t xml:space="preserve">Both dates were read from the cached PubMed records themselves</w:t>
      </w:r>
      <w:r>
        <w:t xml:space="preserve"> </w:t>
      </w:r>
      <w:r>
        <w:t xml:space="preserve">(</w:t>
      </w:r>
      <w:r>
        <w:rPr>
          <w:rStyle w:val="VerbatimChar"/>
        </w:rPr>
        <w:t xml:space="preserve">data/cache/pubmed_xml/&lt;pmid&gt;.xml</w:t>
      </w:r>
      <w:r>
        <w:t xml:space="preserve">), not from a derived file, so the</w:t>
      </w:r>
      <w:r>
        <w:t xml:space="preserve"> </w:t>
      </w:r>
      <w:r>
        <w:t xml:space="preserve">discrepancy is verified at source. For</w:t>
      </w:r>
      <w:r>
        <w:t xml:space="preserve"> </w:t>
      </w:r>
      <w:r>
        <w:rPr>
          <w:rStyle w:val="VerbatimChar"/>
        </w:rPr>
        <w:t xml:space="preserve">AAGL2023_048</w:t>
      </w:r>
      <w:r>
        <w:t xml:space="preserve"> </w:t>
      </w:r>
      <w:r>
        <w:t xml:space="preserve">the choice is between</w:t>
      </w:r>
      <w:r>
        <w:t xml:space="preserve"> </w:t>
      </w:r>
      <w:r>
        <w:t xml:space="preserve">“five months before the congress”</w:t>
      </w:r>
      <w:r>
        <w:t xml:space="preserve"> </w:t>
      </w:r>
      <w:r>
        <w:t xml:space="preserve">and</w:t>
      </w:r>
      <w:r>
        <w:t xml:space="preserve"> </w:t>
      </w:r>
      <w:r>
        <w:t xml:space="preserve">“six days before”</w:t>
      </w:r>
      <w:r>
        <w:t xml:space="preserve">.</w:t>
      </w:r>
    </w:p>
    <w:bookmarkEnd w:id="215"/>
    <w:bookmarkStart w:id="216" w:name="Xfb34709670f389eb2b69967bb0d197996bf832c"/>
    <w:p>
      <w:pPr>
        <w:pStyle w:val="Heading3"/>
      </w:pPr>
      <w:r>
        <w:t xml:space="preserve">A18.2 What the decision settles, and what it does not</w:t>
      </w:r>
    </w:p>
    <w:p>
      <w:pPr>
        <w:pStyle w:val="FirstParagraph"/>
      </w:pPr>
      <w:r>
        <w:t xml:space="preserve">It settles the date basis: the print issue date is the publication date,</w:t>
      </w:r>
      <w:r>
        <w:t xml:space="preserve"> </w:t>
      </w:r>
      <w:r>
        <w:t xml:space="preserve">throughout, for the time-to-publication interval and for whether a paper</w:t>
      </w:r>
      <w:r>
        <w:t xml:space="preserve"> </w:t>
      </w:r>
      <w:r>
        <w:t xml:space="preserve">preceded its congress. Articles released online ahead of print are dated to</w:t>
      </w:r>
      <w:r>
        <w:t xml:space="preserve"> </w:t>
      </w:r>
      <w:r>
        <w:t xml:space="preserve">their print issue. Month-only issue dates resolve to the first of the month.</w:t>
      </w:r>
    </w:p>
    <w:p>
      <w:pPr>
        <w:pStyle w:val="BodyText"/>
      </w:pPr>
      <w:r>
        <w:t xml:space="preserve">Because the analysis already used that basis,</w:t>
      </w:r>
      <w:r>
        <w:t xml:space="preserve"> </w:t>
      </w:r>
      <w:r>
        <w:rPr>
          <w:b/>
          <w:bCs/>
        </w:rPr>
        <w:t xml:space="preserve">no number changes.</w:t>
      </w:r>
      <w:r>
        <w:t xml:space="preserve"> </w:t>
      </w:r>
      <w:r>
        <w:t xml:space="preserve">The</w:t>
      </w:r>
      <w:r>
        <w:t xml:space="preserve"> </w:t>
      </w:r>
      <w:r>
        <w:t xml:space="preserve">publication rate, the median time to publication and every model are unaffected.</w:t>
      </w:r>
    </w:p>
    <w:p>
      <w:pPr>
        <w:pStyle w:val="BodyText"/>
      </w:pPr>
      <w:r>
        <w:t xml:space="preserve">It does</w:t>
      </w:r>
      <w:r>
        <w:t xml:space="preserve"> </w:t>
      </w:r>
      <w:r>
        <w:rPr>
          <w:b/>
          <w:bCs/>
        </w:rPr>
        <w:t xml:space="preserve">not</w:t>
      </w:r>
      <w:r>
        <w:t xml:space="preserve"> </w:t>
      </w:r>
      <w:r>
        <w:t xml:space="preserve">settle whether a reviewer’s</w:t>
      </w:r>
      <w:r>
        <w:t xml:space="preserve"> </w:t>
      </w:r>
      <w:r>
        <w:rPr>
          <w:rStyle w:val="VerbatimChar"/>
        </w:rPr>
        <w:t xml:space="preserve">match</w:t>
      </w:r>
      <w:r>
        <w:t xml:space="preserve"> </w:t>
      </w:r>
      <w:r>
        <w:t xml:space="preserve">should override a</w:t>
      </w:r>
      <w:r>
        <w:t xml:space="preserve"> </w:t>
      </w:r>
      <w:r>
        <w:t xml:space="preserve">pre-congress exclusion. That is the separate question of branch order in</w:t>
      </w:r>
      <w:r>
        <w:t xml:space="preserve"> </w:t>
      </w:r>
      <w:r>
        <w:rPr>
          <w:rStyle w:val="VerbatimChar"/>
        </w:rPr>
        <w:t xml:space="preserve">assign_final_published()</w:t>
      </w:r>
      <w:r>
        <w:t xml:space="preserve">, it is what moves the numerator between 178 and 174,</w:t>
      </w:r>
      <w:r>
        <w:t xml:space="preserve"> </w:t>
      </w:r>
      <w:r>
        <w:t xml:space="preserve">and it remains open.</w:t>
      </w:r>
    </w:p>
    <w:bookmarkEnd w:id="216"/>
    <w:bookmarkStart w:id="217" w:name="a18.3-what-still-needs-doing"/>
    <w:p>
      <w:pPr>
        <w:pStyle w:val="Heading3"/>
      </w:pPr>
      <w:r>
        <w:t xml:space="preserve">A18.3 What still needs doing</w:t>
      </w:r>
    </w:p>
    <w:p>
      <w:pPr>
        <w:pStyle w:val="FirstParagraph"/>
      </w:pPr>
      <w:r>
        <w:rPr>
          <w:rStyle w:val="VerbatimChar"/>
        </w:rPr>
        <w:t xml:space="preserve">output/excluded_pre_congress_publications.csv</w:t>
      </w:r>
      <w:r>
        <w:t xml:space="preserve"> </w:t>
      </w:r>
      <w:r>
        <w:t xml:space="preserve">is on the electronic basis and</w:t>
      </w:r>
      <w:r>
        <w:t xml:space="preserve"> </w:t>
      </w:r>
      <w:r>
        <w:t xml:space="preserve">is therefore inconsistent with the decision. It is evidence rather than an input</w:t>
      </w:r>
      <w:r>
        <w:t xml:space="preserve"> </w:t>
      </w:r>
      <w:r>
        <w:t xml:space="preserve">to any reported figure, so nothing downstream is wrong today, but it should be</w:t>
      </w:r>
      <w:r>
        <w:t xml:space="preserve"> </w:t>
      </w:r>
      <w:r>
        <w:t xml:space="preserve">regenerated before the branch-order question is settled, because the two bases</w:t>
      </w:r>
      <w:r>
        <w:t xml:space="preserve"> </w:t>
      </w:r>
      <w:r>
        <w:t xml:space="preserve">identify different sets. Measured on issue dates, three abstracts carry negative</w:t>
      </w:r>
      <w:r>
        <w:t xml:space="preserve"> </w:t>
      </w:r>
      <w:r>
        <w:t xml:space="preserve">intervals and are absent from that file, while some of its 39 entries would no</w:t>
      </w:r>
      <w:r>
        <w:t xml:space="preserve"> </w:t>
      </w:r>
      <w:r>
        <w:t xml:space="preserve">longer qualify. Whether the open question concerns four abstracts or seven</w:t>
      </w:r>
      <w:r>
        <w:t xml:space="preserve"> </w:t>
      </w:r>
      <w:r>
        <w:t xml:space="preserve">depends on that regeneration.</w:t>
      </w:r>
    </w:p>
    <w:bookmarkEnd w:id="217"/>
    <w:bookmarkStart w:id="218" w:name="a18.4-the-guard"/>
    <w:p>
      <w:pPr>
        <w:pStyle w:val="Heading3"/>
      </w:pPr>
      <w:r>
        <w:t xml:space="preserve">A18.4 The guard</w:t>
      </w:r>
    </w:p>
    <w:p>
      <w:pPr>
        <w:pStyle w:val="FirstParagraph"/>
      </w:pPr>
      <w:r>
        <w:rPr>
          <w:rStyle w:val="VerbatimChar"/>
        </w:rPr>
        <w:t xml:space="preserve">tests/testthat/test-publication_date_basis.R</w:t>
      </w:r>
      <w:r>
        <w:t xml:space="preserve"> </w:t>
      </w:r>
      <w:r>
        <w:t xml:space="preserve">prevents the ambiguity returning.</w:t>
      </w:r>
      <w:r>
        <w:t xml:space="preserve"> </w:t>
      </w:r>
      <w:r>
        <w:t xml:space="preserve">It fails if the parser stops reading</w:t>
      </w:r>
      <w:r>
        <w:t xml:space="preserve"> </w:t>
      </w:r>
      <w:r>
        <w:rPr>
          <w:rStyle w:val="VerbatimChar"/>
        </w:rPr>
        <w:t xml:space="preserve">JournalIssue/PubDate</w:t>
      </w:r>
      <w:r>
        <w:t xml:space="preserve"> </w:t>
      </w:r>
      <w:r>
        <w:t xml:space="preserve">or starts assigning</w:t>
      </w:r>
      <w:r>
        <w:t xml:space="preserve"> </w:t>
      </w:r>
      <w:r>
        <w:t xml:space="preserve">the date from</w:t>
      </w:r>
      <w:r>
        <w:t xml:space="preserve"> </w:t>
      </w:r>
      <w:r>
        <w:rPr>
          <w:rStyle w:val="VerbatimChar"/>
        </w:rPr>
        <w:t xml:space="preserve">ArticleDate</w:t>
      </w:r>
      <w:r>
        <w:t xml:space="preserve">, if the month-only default changes, if the Methods</w:t>
      </w:r>
      <w:r>
        <w:t xml:space="preserve"> </w:t>
      </w:r>
      <w:r>
        <w:t xml:space="preserve">stop defining which date is meant, and if any of the four contested intervals</w:t>
      </w:r>
      <w:r>
        <w:t xml:space="preserve"> </w:t>
      </w:r>
      <w:r>
        <w:t xml:space="preserve">stops matching the issue-date arithmetic. That last check is the sharpest: the</w:t>
      </w:r>
      <w:r>
        <w:t xml:space="preserve"> </w:t>
      </w:r>
      <w:r>
        <w:t xml:space="preserve">two bases give answers 1.5 to 4.9 months apart for those abstracts, so the</w:t>
      </w:r>
      <w:r>
        <w:t xml:space="preserve"> </w:t>
      </w:r>
      <w:r>
        <w:t xml:space="preserve">recorded interval identifies its own provenance.</w:t>
      </w:r>
    </w:p>
    <w:bookmarkEnd w:id="218"/>
    <w:bookmarkEnd w:id="219"/>
    <w:bookmarkStart w:id="226" w:name="a19.-the-pre-congress-exclusion-settled"/>
    <w:p>
      <w:pPr>
        <w:pStyle w:val="Heading2"/>
      </w:pPr>
      <w:r>
        <w:t xml:space="preserve">A19. The Pre-Congress Exclusion, Settled</w:t>
      </w:r>
    </w:p>
    <w:p>
      <w:pPr>
        <w:pStyle w:val="FirstParagraph"/>
      </w:pPr>
      <w:r>
        <w:rPr>
          <w:b/>
          <w:bCs/>
        </w:rPr>
        <w:t xml:space="preserve">PI decision, 2026-09-05: a reviewer’s</w:t>
      </w:r>
      <w:r>
        <w:rPr>
          <w:b/>
          <w:bCs/>
        </w:rPr>
        <w:t xml:space="preserve"> </w:t>
      </w:r>
      <w:r>
        <w:rPr>
          <w:rStyle w:val="VerbatimChar"/>
          <w:b/>
          <w:bCs/>
        </w:rPr>
        <w:t xml:space="preserve">match</w:t>
      </w:r>
      <w:r>
        <w:rPr>
          <w:b/>
          <w:bCs/>
        </w:rPr>
        <w:t xml:space="preserve"> </w:t>
      </w:r>
      <w:r>
        <w:rPr>
          <w:b/>
          <w:bCs/>
        </w:rPr>
        <w:t xml:space="preserve">does not override the</w:t>
      </w:r>
      <w:r>
        <w:rPr>
          <w:b/>
          <w:bCs/>
        </w:rPr>
        <w:t xml:space="preserve"> </w:t>
      </w:r>
      <w:r>
        <w:rPr>
          <w:b/>
          <w:bCs/>
        </w:rPr>
        <w:t xml:space="preserve">pre-congress exclusion.</w:t>
      </w:r>
      <w:r>
        <w:t xml:space="preserve"> </w:t>
      </w:r>
      <w:r>
        <w:t xml:space="preserve">This is the rule the study now uses, and it changed</w:t>
      </w:r>
      <w:r>
        <w:t xml:space="preserve"> </w:t>
      </w:r>
      <w:r>
        <w:t xml:space="preserve">the numerator.</w:t>
      </w:r>
    </w:p>
    <w:bookmarkStart w:id="220" w:name="a19.1-the-rule"/>
    <w:p>
      <w:pPr>
        <w:pStyle w:val="Heading3"/>
      </w:pPr>
      <w:r>
        <w:t xml:space="preserve">A19.1 The rule</w:t>
      </w:r>
    </w:p>
    <w:p>
      <w:pPr>
        <w:pStyle w:val="FirstParagraph"/>
      </w:pPr>
      <w:r>
        <w:t xml:space="preserve">A publication that appeared before the congress cannot be a</w:t>
      </w:r>
      <w:r>
        <w:t xml:space="preserve"> </w:t>
      </w:r>
      <w:r>
        <w:t xml:space="preserve">conference-to-publication conversion. The comparison uses the print issue date</w:t>
      </w:r>
      <w:r>
        <w:t xml:space="preserve"> </w:t>
      </w:r>
      <w:r>
        <w:t xml:space="preserve">(A18) of the publication actually credited to the abstract, and the test is the</w:t>
      </w:r>
      <w:r>
        <w:t xml:space="preserve"> </w:t>
      </w:r>
      <w:r>
        <w:rPr>
          <w:b/>
          <w:bCs/>
        </w:rPr>
        <w:t xml:space="preserve">first</w:t>
      </w:r>
      <w:r>
        <w:t xml:space="preserve"> </w:t>
      </w:r>
      <w:r>
        <w:t xml:space="preserve">branch of the outcome cascade in</w:t>
      </w:r>
      <w:r>
        <w:t xml:space="preserve"> </w:t>
      </w:r>
      <w:r>
        <w:rPr>
          <w:rStyle w:val="VerbatimChar"/>
        </w:rPr>
        <w:t xml:space="preserve">assign_final_published()</w:t>
      </w:r>
      <w:r>
        <w:t xml:space="preserve">, ahead of</w:t>
      </w:r>
      <w:r>
        <w:t xml:space="preserve"> </w:t>
      </w:r>
      <w:r>
        <w:t xml:space="preserve">both</w:t>
      </w:r>
      <w:r>
        <w:t xml:space="preserve"> </w:t>
      </w:r>
      <w:r>
        <w:rPr>
          <w:rStyle w:val="VerbatimChar"/>
        </w:rPr>
        <w:t xml:space="preserve">classification == "definite"</w:t>
      </w:r>
      <w:r>
        <w:t xml:space="preserve"> </w:t>
      </w:r>
      <w:r>
        <w:t xml:space="preserve">and the reviewer verdict.</w:t>
      </w:r>
    </w:p>
    <w:p>
      <w:pPr>
        <w:pStyle w:val="BodyText"/>
      </w:pPr>
      <w:r>
        <w:t xml:space="preserve">An abstract failing the test stays in the cohort and is counted unpublished. It</w:t>
      </w:r>
      <w:r>
        <w:t xml:space="preserve"> </w:t>
      </w:r>
      <w:r>
        <w:t xml:space="preserve">does not leave the study, so the denominator is untouched.</w:t>
      </w:r>
    </w:p>
    <w:p>
      <w:pPr>
        <w:pStyle w:val="BodyText"/>
      </w:pPr>
      <w:r>
        <w:t xml:space="preserve">A missing interval is not treated as pre-congress. An abstract whose credited</w:t>
      </w:r>
      <w:r>
        <w:t xml:space="preserve"> </w:t>
      </w:r>
      <w:r>
        <w:t xml:space="preserve">publication has no resolvable date is undated, not early, and is decided on the</w:t>
      </w:r>
      <w:r>
        <w:t xml:space="preserve"> </w:t>
      </w:r>
      <w:r>
        <w:t xml:space="preserve">evidence that exists.</w:t>
      </w:r>
    </w:p>
    <w:bookmarkEnd w:id="220"/>
    <w:bookmarkStart w:id="221" w:name="X4a6b22448b23e87369738be43e33552dc5d9b7c"/>
    <w:p>
      <w:pPr>
        <w:pStyle w:val="Heading3"/>
      </w:pPr>
      <w:r>
        <w:t xml:space="preserve">A19.2 Why the classification could not be used as the test</w:t>
      </w:r>
    </w:p>
    <w:p>
      <w:pPr>
        <w:pStyle w:val="FirstParagraph"/>
      </w:pPr>
      <w:r>
        <w:t xml:space="preserve">The obvious implementation is to trust</w:t>
      </w:r>
      <w:r>
        <w:t xml:space="preserve"> </w:t>
      </w:r>
      <w:r>
        <w:rPr>
          <w:rStyle w:val="VerbatimChar"/>
        </w:rPr>
        <w:t xml:space="preserve">classification == "excluded"</w:t>
      </w:r>
      <w:r>
        <w:t xml:space="preserve">, which the</w:t>
      </w:r>
      <w:r>
        <w:t xml:space="preserve"> </w:t>
      </w:r>
      <w:r>
        <w:t xml:space="preserve">scorer already sets when the best candidate predates the congress. That would</w:t>
      </w:r>
      <w:r>
        <w:t xml:space="preserve"> </w:t>
      </w:r>
      <w:r>
        <w:t xml:space="preserve">have been wrong three times: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abstract</w:t>
            </w:r>
          </w:p>
        </w:tc>
        <w:tc>
          <w:tcPr/>
          <w:p>
            <w:pPr>
              <w:pStyle w:val="Compact"/>
            </w:pPr>
            <w:r>
              <w:t xml:space="preserve">classification</w:t>
            </w:r>
          </w:p>
        </w:tc>
        <w:tc>
          <w:tcPr/>
          <w:p>
            <w:pPr>
              <w:pStyle w:val="Compact"/>
            </w:pPr>
            <w:r>
              <w:t xml:space="preserve">why the classification misses it</w:t>
            </w:r>
          </w:p>
        </w:tc>
      </w:tr>
      <w:tr>
        <w:tc>
          <w:tcPr/>
          <w:p>
            <w:pPr>
              <w:pStyle w:val="Compact"/>
            </w:pPr>
            <w:r>
              <w:t xml:space="preserve">AAGL2018_002</w:t>
            </w:r>
          </w:p>
        </w:tc>
        <w:tc>
          <w:tcPr/>
          <w:p>
            <w:pPr>
              <w:pStyle w:val="Compact"/>
            </w:pPr>
            <w:r>
              <w:rPr>
                <w:rStyle w:val="VerbatimChar"/>
              </w:rPr>
              <w:t xml:space="preserve">no_match</w:t>
            </w:r>
          </w:p>
        </w:tc>
        <w:tc>
          <w:tcPr/>
          <w:p>
            <w:pPr>
              <w:pStyle w:val="Compact"/>
            </w:pPr>
            <w:r>
              <w:t xml:space="preserve">reviewer supplied PMID 29454147; the penalty was computed against best candidate 39220672</w:t>
            </w:r>
          </w:p>
        </w:tc>
      </w:tr>
      <w:tr>
        <w:tc>
          <w:tcPr/>
          <w:p>
            <w:pPr>
              <w:pStyle w:val="Compact"/>
            </w:pPr>
            <w:r>
              <w:t xml:space="preserve">AAGL2018_019</w:t>
            </w:r>
          </w:p>
        </w:tc>
        <w:tc>
          <w:tcPr/>
          <w:p>
            <w:pPr>
              <w:pStyle w:val="Compact"/>
            </w:pPr>
            <w:r>
              <w:rPr>
                <w:rStyle w:val="VerbatimChar"/>
              </w:rPr>
              <w:t xml:space="preserve">no_match</w:t>
            </w:r>
          </w:p>
        </w:tc>
        <w:tc>
          <w:tcPr/>
          <w:p>
            <w:pPr>
              <w:pStyle w:val="Compact"/>
            </w:pPr>
            <w:r>
              <w:t xml:space="preserve">same, PMID 29408695 against best candidate 34136570</w:t>
            </w:r>
          </w:p>
        </w:tc>
      </w:tr>
      <w:tr>
        <w:tc>
          <w:tcPr/>
          <w:p>
            <w:pPr>
              <w:pStyle w:val="Compact"/>
            </w:pPr>
            <w:r>
              <w:t xml:space="preserve">AAGL2015_010</w:t>
            </w:r>
          </w:p>
        </w:tc>
        <w:tc>
          <w:tcPr/>
          <w:p>
            <w:pPr>
              <w:pStyle w:val="Compact"/>
            </w:pPr>
            <w:r>
              <w:rPr>
                <w:rStyle w:val="VerbatimChar"/>
              </w:rPr>
              <w:t xml:space="preserve">definite</w:t>
            </w:r>
          </w:p>
        </w:tc>
        <w:tc>
          <w:tcPr/>
          <w:p>
            <w:pPr>
              <w:pStyle w:val="Compact"/>
            </w:pPr>
            <w:r>
              <w:t xml:space="preserve">credited paper predates the congress by two weeks, but scored</w:t>
            </w:r>
            <w:r>
              <w:t xml:space="preserve"> </w:t>
            </w:r>
            <w:r>
              <w:rPr>
                <w:rStyle w:val="VerbatimChar"/>
              </w:rPr>
              <w:t xml:space="preserve">definite</w:t>
            </w:r>
            <w:r>
              <w:t xml:space="preserve"> </w:t>
            </w:r>
            <w:r>
              <w:t xml:space="preserve">and branch 1 won outright</w:t>
            </w:r>
          </w:p>
        </w:tc>
      </w:tr>
    </w:tbl>
    <w:p>
      <w:pPr>
        <w:pStyle w:val="BodyText"/>
      </w:pPr>
      <w:r>
        <w:t xml:space="preserve">The first two are the sharper problem.</w:t>
      </w:r>
      <w:r>
        <w:t xml:space="preserve"> </w:t>
      </w:r>
      <w:r>
        <w:rPr>
          <w:rStyle w:val="VerbatimChar"/>
        </w:rPr>
        <w:t xml:space="preserve">R/05_adjudicate.R</w:t>
      </w:r>
      <w:r>
        <w:t xml:space="preserve"> </w:t>
      </w:r>
      <w:r>
        <w:t xml:space="preserve">joins publication</w:t>
      </w:r>
      <w:r>
        <w:t xml:space="preserve"> </w:t>
      </w:r>
      <w:r>
        <w:t xml:space="preserve">metadata on</w:t>
      </w:r>
      <w:r>
        <w:t xml:space="preserve"> </w:t>
      </w:r>
      <w:r>
        <w:rPr>
          <w:rStyle w:val="VerbatimChar"/>
        </w:rPr>
        <w:t xml:space="preserve">best_pmid</w:t>
      </w:r>
      <w:r>
        <w:t xml:space="preserve"> </w:t>
      </w:r>
      <w:r>
        <w:t xml:space="preserve">and runs before the reviewer decisions are read, so</w:t>
      </w:r>
      <w:r>
        <w:t xml:space="preserve"> </w:t>
      </w:r>
      <w:r>
        <w:t xml:space="preserve">where a reviewer supplied a different PMID the interval described the wrong</w:t>
      </w:r>
      <w:r>
        <w:t xml:space="preserve"> </w:t>
      </w:r>
      <w:r>
        <w:t xml:space="preserve">paper, and for these two it was missing entirely.</w:t>
      </w:r>
      <w:r>
        <w:t xml:space="preserve"> </w:t>
      </w:r>
      <w:r>
        <w:rPr>
          <w:rStyle w:val="VerbatimChar"/>
        </w:rPr>
        <w:t xml:space="preserve">R/06_analyze_results.R</w:t>
      </w:r>
      <w:r>
        <w:t xml:space="preserve"> </w:t>
      </w:r>
      <w:r>
        <w:t xml:space="preserve">re-joins on</w:t>
      </w:r>
      <w:r>
        <w:t xml:space="preserve"> </w:t>
      </w:r>
      <w:r>
        <w:rPr>
          <w:rStyle w:val="VerbatimChar"/>
        </w:rPr>
        <w:t xml:space="preserve">final_pmid</w:t>
      </w:r>
      <w:r>
        <w:t xml:space="preserve">, and only after that is the interval the one the rule</w:t>
      </w:r>
      <w:r>
        <w:t xml:space="preserve"> </w:t>
      </w:r>
      <w:r>
        <w:t xml:space="preserve">is about, at 10.3 months before the congress for both.</w:t>
      </w:r>
    </w:p>
    <w:p>
      <w:pPr>
        <w:pStyle w:val="BodyText"/>
      </w:pPr>
      <w:r>
        <w:t xml:space="preserve">The rule is therefore applied twice: once inside</w:t>
      </w:r>
      <w:r>
        <w:t xml:space="preserve"> </w:t>
      </w:r>
      <w:r>
        <w:rPr>
          <w:rStyle w:val="VerbatimChar"/>
        </w:rPr>
        <w:t xml:space="preserve">assign_final_published()</w:t>
      </w:r>
      <w:r>
        <w:t xml:space="preserve">, so</w:t>
      </w:r>
      <w:r>
        <w:t xml:space="preserve"> </w:t>
      </w:r>
      <w:r>
        <w:t xml:space="preserve">every caller gets it, and once more in 06 via</w:t>
      </w:r>
      <w:r>
        <w:t xml:space="preserve"> </w:t>
      </w:r>
      <w:r>
        <w:rPr>
          <w:rStyle w:val="VerbatimChar"/>
        </w:rPr>
        <w:t xml:space="preserve">apply_pre_congress_exclusion()</w:t>
      </w:r>
      <w:r>
        <w:t xml:space="preserve"> </w:t>
      </w:r>
      <w:r>
        <w:t xml:space="preserve">after the refresh. The second application is</w:t>
      </w:r>
      <w:r>
        <w:t xml:space="preserve"> </w:t>
      </w:r>
      <w:r>
        <w:t xml:space="preserve">what catches those two, and 06 reports how many it removed.</w:t>
      </w:r>
    </w:p>
    <w:bookmarkEnd w:id="221"/>
    <w:bookmarkStart w:id="222" w:name="a19.3-a-drift-this-exposed"/>
    <w:p>
      <w:pPr>
        <w:pStyle w:val="Heading3"/>
      </w:pPr>
      <w:r>
        <w:t xml:space="preserve">A19.3 A drift this exposed</w:t>
      </w:r>
    </w:p>
    <w:p>
      <w:pPr>
        <w:pStyle w:val="FirstParagraph"/>
      </w:pPr>
      <w:r>
        <w:rPr>
          <w:rStyle w:val="VerbatimChar"/>
        </w:rPr>
        <w:t xml:space="preserve">R/07_make_tables.R</w:t>
      </w:r>
      <w:r>
        <w:t xml:space="preserve"> </w:t>
      </w:r>
      <w:r>
        <w:t xml:space="preserve">and</w:t>
      </w:r>
      <w:r>
        <w:t xml:space="preserve"> </w:t>
      </w:r>
      <w:r>
        <w:rPr>
          <w:rStyle w:val="VerbatimChar"/>
        </w:rPr>
        <w:t xml:space="preserve">R/08_make_figures.R</w:t>
      </w:r>
      <w:r>
        <w:t xml:space="preserve"> </w:t>
      </w:r>
      <w:r>
        <w:t xml:space="preserve">recompute the outcome from</w:t>
      </w:r>
      <w:r>
        <w:t xml:space="preserve"> </w:t>
      </w:r>
      <w:r>
        <w:rPr>
          <w:rStyle w:val="VerbatimChar"/>
        </w:rPr>
        <w:t xml:space="preserve">abstracts_with_matches.csv</w:t>
      </w:r>
      <w:r>
        <w:t xml:space="preserve"> </w:t>
      </w:r>
      <w:r>
        <w:t xml:space="preserve">through the same cascade, with comments saying this</w:t>
      </w:r>
      <w:r>
        <w:t xml:space="preserve"> </w:t>
      </w:r>
      <w:r>
        <w:t xml:space="preserve">exists so they cannot drift from the analysis. They can: 06 refreshes the</w:t>
      </w:r>
      <w:r>
        <w:t xml:space="preserve"> </w:t>
      </w:r>
      <w:r>
        <w:t xml:space="preserve">interval before applying the exclusion and they do not, so after this change the</w:t>
      </w:r>
      <w:r>
        <w:t xml:space="preserve"> </w:t>
      </w:r>
      <w:r>
        <w:t xml:space="preserve">same abstract would have been unpublished in the analysis and published in the</w:t>
      </w:r>
      <w:r>
        <w:t xml:space="preserve"> </w:t>
      </w:r>
      <w:r>
        <w:t xml:space="preserve">tables. Both now adopt the settled outcome from</w:t>
      </w:r>
      <w:r>
        <w:t xml:space="preserve"> </w:t>
      </w:r>
      <w:r>
        <w:rPr>
          <w:rStyle w:val="VerbatimChar"/>
        </w:rPr>
        <w:t xml:space="preserve">output/final_analytical_dataset.csv</w:t>
      </w:r>
      <w:r>
        <w:t xml:space="preserve"> </w:t>
      </w:r>
      <w:r>
        <w:t xml:space="preserve">through</w:t>
      </w:r>
      <w:r>
        <w:t xml:space="preserve"> </w:t>
      </w:r>
      <w:r>
        <w:rPr>
          <w:rStyle w:val="VerbatimChar"/>
        </w:rPr>
        <w:t xml:space="preserve">adopt_analysis_outcome()</w:t>
      </w:r>
      <w:r>
        <w:t xml:space="preserve">. They</w:t>
      </w:r>
      <w:r>
        <w:t xml:space="preserve"> </w:t>
      </w:r>
      <w:r>
        <w:t xml:space="preserve">run after 06 in</w:t>
      </w:r>
      <w:r>
        <w:t xml:space="preserve"> </w:t>
      </w:r>
      <w:r>
        <w:rPr>
          <w:rStyle w:val="VerbatimChar"/>
        </w:rPr>
        <w:t xml:space="preserve">00_run_all.R</w:t>
      </w:r>
      <w:r>
        <w:t xml:space="preserve">, so it is available.</w:t>
      </w:r>
    </w:p>
    <w:bookmarkEnd w:id="222"/>
    <w:bookmarkStart w:id="223" w:name="a19.4-what-moved"/>
    <w:p>
      <w:pPr>
        <w:pStyle w:val="Heading3"/>
      </w:pPr>
      <w:r>
        <w:t xml:space="preserve">A19.4 What moved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Published</w:t>
            </w:r>
          </w:p>
        </w:tc>
        <w:tc>
          <w:tcPr/>
          <w:p>
            <w:pPr>
              <w:pStyle w:val="Compact"/>
              <w:jc w:val="right"/>
            </w:pPr>
            <w:r>
              <w:t xml:space="preserve">178</w:t>
            </w:r>
          </w:p>
        </w:tc>
        <w:tc>
          <w:tcPr/>
          <w:p>
            <w:pPr>
              <w:pStyle w:val="Compact"/>
              <w:jc w:val="right"/>
            </w:pPr>
            <w:r>
              <w:rPr>
                <w:b/>
                <w:bCs/>
              </w:rPr>
              <w:t xml:space="preserve">171</w:t>
            </w:r>
          </w:p>
        </w:tc>
      </w:tr>
      <w:tr>
        <w:tc>
          <w:tcPr/>
          <w:p>
            <w:pPr>
              <w:pStyle w:val="Compact"/>
            </w:pPr>
            <w:r>
              <w:t xml:space="preserve">Not published</w:t>
            </w:r>
          </w:p>
        </w:tc>
        <w:tc>
          <w:tcPr/>
          <w:p>
            <w:pPr>
              <w:pStyle w:val="Compact"/>
              <w:jc w:val="right"/>
            </w:pPr>
            <w:r>
              <w:t xml:space="preserve">873</w:t>
            </w:r>
          </w:p>
        </w:tc>
        <w:tc>
          <w:tcPr/>
          <w:p>
            <w:pPr>
              <w:pStyle w:val="Compact"/>
              <w:jc w:val="right"/>
            </w:pPr>
            <w:r>
              <w:t xml:space="preserve">880</w:t>
            </w:r>
          </w:p>
        </w:tc>
      </w:tr>
      <w:tr>
        <w:tc>
          <w:tcPr/>
          <w:p>
            <w:pPr>
              <w:pStyle w:val="Compact"/>
            </w:pPr>
            <w:r>
              <w:t xml:space="preserve">Denominator</w:t>
            </w:r>
          </w:p>
        </w:tc>
        <w:tc>
          <w:tcPr/>
          <w:p>
            <w:pPr>
              <w:pStyle w:val="Compact"/>
              <w:jc w:val="right"/>
            </w:pPr>
            <w:r>
              <w:t xml:space="preserve">1,051</w:t>
            </w:r>
          </w:p>
        </w:tc>
        <w:tc>
          <w:tcPr/>
          <w:p>
            <w:pPr>
              <w:pStyle w:val="Compact"/>
              <w:jc w:val="right"/>
            </w:pPr>
            <w:r>
              <w:rPr>
                <w:b/>
                <w:bCs/>
              </w:rPr>
              <w:t xml:space="preserve">1,051</w:t>
            </w:r>
          </w:p>
        </w:tc>
      </w:tr>
      <w:tr>
        <w:tc>
          <w:tcPr/>
          <w:p>
            <w:pPr>
              <w:pStyle w:val="Compact"/>
            </w:pPr>
            <w:r>
              <w:t xml:space="preserve">Publication rate</w:t>
            </w:r>
          </w:p>
        </w:tc>
        <w:tc>
          <w:tcPr/>
          <w:p>
            <w:pPr>
              <w:pStyle w:val="Compact"/>
              <w:jc w:val="right"/>
            </w:pPr>
            <w:r>
              <w:t xml:space="preserve">16.9%</w:t>
            </w:r>
          </w:p>
        </w:tc>
        <w:tc>
          <w:tcPr/>
          <w:p>
            <w:pPr>
              <w:pStyle w:val="Compact"/>
              <w:jc w:val="right"/>
            </w:pPr>
            <w:r>
              <w:rPr>
                <w:b/>
                <w:bCs/>
              </w:rPr>
              <w:t xml:space="preserve">16.3%</w:t>
            </w:r>
          </w:p>
        </w:tc>
      </w:tr>
      <w:tr>
        <w:tc>
          <w:tcPr/>
          <w:p>
            <w:pPr>
              <w:pStyle w:val="Compact"/>
            </w:pPr>
            <w:r>
              <w:t xml:space="preserve">Wilson 95% CI</w:t>
            </w:r>
          </w:p>
        </w:tc>
        <w:tc>
          <w:tcPr/>
          <w:p>
            <w:pPr>
              <w:pStyle w:val="Compact"/>
              <w:jc w:val="right"/>
            </w:pPr>
            <w:r>
              <w:t xml:space="preserve">14.8-19.3</w:t>
            </w:r>
          </w:p>
        </w:tc>
        <w:tc>
          <w:tcPr/>
          <w:p>
            <w:pPr>
              <w:pStyle w:val="Compact"/>
              <w:jc w:val="right"/>
            </w:pPr>
            <w:r>
              <w:t xml:space="preserve">14.2-18.6</w:t>
            </w:r>
          </w:p>
        </w:tc>
      </w:tr>
      <w:tr>
        <w:tc>
          <w:tcPr/>
          <w:p>
            <w:pPr>
              <w:pStyle w:val="Compact"/>
            </w:pPr>
            <w:r>
              <w:t xml:space="preserve">Median time to publication</w:t>
            </w:r>
          </w:p>
        </w:tc>
        <w:tc>
          <w:tcPr/>
          <w:p>
            <w:pPr>
              <w:pStyle w:val="Compact"/>
              <w:jc w:val="right"/>
            </w:pPr>
            <w:r>
              <w:t xml:space="preserve">13.7 mo</w:t>
            </w:r>
          </w:p>
        </w:tc>
        <w:tc>
          <w:tcPr/>
          <w:p>
            <w:pPr>
              <w:pStyle w:val="Compact"/>
              <w:jc w:val="right"/>
            </w:pPr>
            <w:r>
              <w:rPr>
                <w:b/>
                <w:bCs/>
              </w:rPr>
              <w:t xml:space="preserve">13.7 mo</w:t>
            </w:r>
          </w:p>
        </w:tc>
      </w:tr>
      <w:tr>
        <w:tc>
          <w:tcPr/>
          <w:p>
            <w:pPr>
              <w:pStyle w:val="Compact"/>
            </w:pPr>
            <w:r>
              <w:t xml:space="preserve">Published with usable interval</w:t>
            </w:r>
          </w:p>
        </w:tc>
        <w:tc>
          <w:tcPr/>
          <w:p>
            <w:pPr>
              <w:pStyle w:val="Compact"/>
              <w:jc w:val="right"/>
            </w:pPr>
            <w:r>
              <w:t xml:space="preserve">171</w:t>
            </w:r>
          </w:p>
        </w:tc>
        <w:tc>
          <w:tcPr/>
          <w:p>
            <w:pPr>
              <w:pStyle w:val="Compact"/>
              <w:jc w:val="right"/>
            </w:pPr>
            <w:r>
              <w:t xml:space="preserve">171</w:t>
            </w:r>
          </w:p>
        </w:tc>
      </w:tr>
      <w:tr>
        <w:tc>
          <w:tcPr/>
          <w:p>
            <w:pPr>
              <w:pStyle w:val="Compact"/>
            </w:pPr>
            <w:r>
              <w:t xml:space="preserve">Published dated before their congress</w:t>
            </w:r>
          </w:p>
        </w:tc>
        <w:tc>
          <w:tcPr/>
          <w:p>
            <w:pPr>
              <w:pStyle w:val="Compact"/>
              <w:jc w:val="right"/>
            </w:pPr>
            <w:r>
              <w:t xml:space="preserve">7</w:t>
            </w:r>
          </w:p>
        </w:tc>
        <w:tc>
          <w:tcPr/>
          <w:p>
            <w:pPr>
              <w:pStyle w:val="Compact"/>
              <w:jc w:val="right"/>
            </w:pPr>
            <w:r>
              <w:rPr>
                <w:b/>
                <w:bCs/>
              </w:rPr>
              <w:t xml:space="preserve">0</w:t>
            </w:r>
          </w:p>
        </w:tc>
      </w:tr>
      <w:tr>
        <w:tc>
          <w:tcPr/>
          <w:p>
            <w:pPr>
              <w:pStyle w:val="Compact"/>
            </w:pPr>
            <w:r>
              <w:t xml:space="preserve">Cox N / events</w:t>
            </w:r>
          </w:p>
        </w:tc>
        <w:tc>
          <w:tcPr/>
          <w:p>
            <w:pPr>
              <w:pStyle w:val="Compact"/>
              <w:jc w:val="right"/>
            </w:pPr>
            <w:r>
              <w:t xml:space="preserve">1,020 / 171</w:t>
            </w:r>
          </w:p>
        </w:tc>
        <w:tc>
          <w:tcPr/>
          <w:p>
            <w:pPr>
              <w:pStyle w:val="Compact"/>
              <w:jc w:val="right"/>
            </w:pPr>
            <w:r>
              <w:t xml:space="preserve">1,027 / 171</w:t>
            </w:r>
          </w:p>
        </w:tc>
      </w:tr>
      <w:tr>
        <w:tc>
          <w:tcPr/>
          <w:p>
            <w:pPr>
              <w:pStyle w:val="Compact"/>
            </w:pPr>
            <w:r>
              <w:t xml:space="preserve">Logistic N</w:t>
            </w:r>
          </w:p>
        </w:tc>
        <w:tc>
          <w:tcPr/>
          <w:p>
            <w:pPr>
              <w:pStyle w:val="Compact"/>
              <w:jc w:val="right"/>
            </w:pPr>
            <w:r>
              <w:t xml:space="preserve">1,027</w:t>
            </w:r>
          </w:p>
        </w:tc>
        <w:tc>
          <w:tcPr/>
          <w:p>
            <w:pPr>
              <w:pStyle w:val="Compact"/>
              <w:jc w:val="right"/>
            </w:pPr>
            <w:r>
              <w:t xml:space="preserve">1,027</w:t>
            </w:r>
          </w:p>
        </w:tc>
      </w:tr>
      <w:tr>
        <w:tc>
          <w:tcPr/>
          <w:p>
            <w:pPr>
              <w:pStyle w:val="Compact"/>
            </w:pPr>
            <w:r>
              <w:t xml:space="preserve">PH global p</w:t>
            </w:r>
          </w:p>
        </w:tc>
        <w:tc>
          <w:tcPr/>
          <w:p>
            <w:pPr>
              <w:pStyle w:val="Compact"/>
              <w:jc w:val="right"/>
            </w:pPr>
            <w:r>
              <w:t xml:space="preserve">0.041</w:t>
            </w:r>
          </w:p>
        </w:tc>
        <w:tc>
          <w:tcPr/>
          <w:p>
            <w:pPr>
              <w:pStyle w:val="Compact"/>
              <w:jc w:val="right"/>
            </w:pPr>
            <w:r>
              <w:t xml:space="preserve">0.041</w:t>
            </w:r>
          </w:p>
        </w:tc>
      </w:tr>
    </w:tbl>
    <w:p>
      <w:pPr>
        <w:pStyle w:val="BodyText"/>
      </w:pPr>
      <w:r>
        <w:t xml:space="preserve">The denominator does not move, and neither does the median time to publication:</w:t>
      </w:r>
      <w:r>
        <w:t xml:space="preserve"> </w:t>
      </w:r>
      <w:r>
        <w:t xml:space="preserve">these abstracts had negative intervals and were already outside the</w:t>
      </w:r>
      <w:r>
        <w:t xml:space="preserve"> </w:t>
      </w:r>
      <w:r>
        <w:t xml:space="preserve">time-to-event analysis. The Cox model gains seven observations, because an</w:t>
      </w:r>
      <w:r>
        <w:t xml:space="preserve"> </w:t>
      </w:r>
      <w:r>
        <w:t xml:space="preserve">abstract counted unpublished contributes censored follow-up whereas one counted</w:t>
      </w:r>
      <w:r>
        <w:t xml:space="preserve"> </w:t>
      </w:r>
      <w:r>
        <w:t xml:space="preserve">published with a negative interval is discarded by the</w:t>
      </w:r>
      <w:r>
        <w:t xml:space="preserve"> </w:t>
      </w:r>
      <w:r>
        <w:rPr>
          <w:rStyle w:val="VerbatimChar"/>
        </w:rPr>
        <w:t xml:space="preserve">time &gt; 0</w:t>
      </w:r>
      <w:r>
        <w:t xml:space="preserve"> </w:t>
      </w:r>
      <w:r>
        <w:t xml:space="preserve">filter.</w:t>
      </w:r>
    </w:p>
    <w:p>
      <w:pPr>
        <w:pStyle w:val="BodyText"/>
      </w:pPr>
      <w:r>
        <w:rPr>
          <w:rStyle w:val="VerbatimChar"/>
        </w:rPr>
        <w:t xml:space="preserve">n_pre_congress</w:t>
      </w:r>
      <w:r>
        <w:t xml:space="preserve"> </w:t>
      </w:r>
      <w:r>
        <w:t xml:space="preserve">falling from 7 to 0 is the rule verifying itself. The estimand</w:t>
      </w:r>
      <w:r>
        <w:t xml:space="preserve"> </w:t>
      </w:r>
      <w:r>
        <w:t xml:space="preserve">is now internally coherent:</w:t>
      </w:r>
      <w:r>
        <w:t xml:space="preserve"> </w:t>
      </w:r>
      <w:r>
        <w:t xml:space="preserve">“published”</w:t>
      </w:r>
      <w:r>
        <w:t xml:space="preserve"> </w:t>
      </w:r>
      <w:r>
        <w:t xml:space="preserve">means</w:t>
      </w:r>
      <w:r>
        <w:t xml:space="preserve"> </w:t>
      </w:r>
      <w:r>
        <w:t xml:space="preserve">“published after the congress”</w:t>
      </w:r>
      <w:r>
        <w:t xml:space="preserve">, by</w:t>
      </w:r>
      <w:r>
        <w:t xml:space="preserve"> </w:t>
      </w:r>
      <w:r>
        <w:t xml:space="preserve">construction rather than by convention.</w:t>
      </w:r>
    </w:p>
    <w:bookmarkEnd w:id="223"/>
    <w:bookmarkStart w:id="224" w:name="a19.5-the-evidence-file"/>
    <w:p>
      <w:pPr>
        <w:pStyle w:val="Heading3"/>
      </w:pPr>
      <w:r>
        <w:t xml:space="preserve">A19.5 The evidence file</w:t>
      </w:r>
    </w:p>
    <w:p>
      <w:pPr>
        <w:pStyle w:val="FirstParagraph"/>
      </w:pPr>
      <w:r>
        <w:rPr>
          <w:rStyle w:val="VerbatimChar"/>
        </w:rPr>
        <w:t xml:space="preserve">output/excluded_pre_congress_publications.csv</w:t>
      </w:r>
      <w:r>
        <w:t xml:space="preserve"> </w:t>
      </w:r>
      <w:r>
        <w:t xml:space="preserve">had no producer. It was built by</w:t>
      </w:r>
      <w:r>
        <w:t xml:space="preserve"> </w:t>
      </w:r>
      <w:r>
        <w:t xml:space="preserve">hand from electronic publication dates while the analysis measured from print</w:t>
      </w:r>
      <w:r>
        <w:t xml:space="preserve"> </w:t>
      </w:r>
      <w:r>
        <w:t xml:space="preserve">issue dates, so it described a different set from the one the rule acts on.</w:t>
      </w:r>
      <w:r>
        <w:t xml:space="preserve"> </w:t>
      </w:r>
      <w:r>
        <w:rPr>
          <w:rStyle w:val="VerbatimChar"/>
        </w:rPr>
        <w:t xml:space="preserve">scripts/pre_congress_exclusions.R</w:t>
      </w:r>
      <w:r>
        <w:t xml:space="preserve"> </w:t>
      </w:r>
      <w:r>
        <w:t xml:space="preserve">now regenerates it from the analytical</w:t>
      </w:r>
      <w:r>
        <w:t xml:space="preserve"> </w:t>
      </w:r>
      <w:r>
        <w:t xml:space="preserve">dataset on the decided basis:</w:t>
      </w:r>
      <w:r>
        <w:t xml:space="preserve"> </w:t>
      </w:r>
      <w:r>
        <w:rPr>
          <w:b/>
          <w:bCs/>
        </w:rPr>
        <w:t xml:space="preserve">42 abstracts</w:t>
      </w:r>
      <w:r>
        <w:t xml:space="preserve">, against 39 in the hand-built</w:t>
      </w:r>
      <w:r>
        <w:t xml:space="preserve"> </w:t>
      </w:r>
      <w:r>
        <w:t xml:space="preserve">file, and it fails loudly if any of them is still counted as published.</w:t>
      </w:r>
    </w:p>
    <w:bookmarkEnd w:id="224"/>
    <w:bookmarkStart w:id="225" w:name="a19.6-one-reading-weakened"/>
    <w:p>
      <w:pPr>
        <w:pStyle w:val="Heading3"/>
      </w:pPr>
      <w:r>
        <w:t xml:space="preserve">A19.6 One reading weakened</w:t>
      </w:r>
    </w:p>
    <w:p>
      <w:pPr>
        <w:pStyle w:val="FirstParagraph"/>
      </w:pPr>
      <w:r>
        <w:rPr>
          <w:rStyle w:val="VerbatimChar"/>
        </w:rPr>
        <w:t xml:space="preserve">is_academic</w:t>
      </w:r>
      <w:r>
        <w:t xml:space="preserve"> </w:t>
      </w:r>
      <w:r>
        <w:t xml:space="preserve">bootstrap retention fell from 62.0% to</w:t>
      </w:r>
      <w:r>
        <w:t xml:space="preserve"> </w:t>
      </w:r>
      <w:r>
        <w:rPr>
          <w:b/>
          <w:bCs/>
        </w:rPr>
        <w:t xml:space="preserve">50.4%</w:t>
      </w:r>
      <w:r>
        <w:t xml:space="preserve">. It was already</w:t>
      </w:r>
      <w:r>
        <w:t xml:space="preserve"> </w:t>
      </w:r>
      <w:r>
        <w:t xml:space="preserve">described as not sampling-robust; it is now retained in only about half of</w:t>
      </w:r>
      <w:r>
        <w:t xml:space="preserve"> </w:t>
      </w:r>
      <w:r>
        <w:t xml:space="preserve">resamples and should be read as suggestive at most. Its leave-one-congress-out</w:t>
      </w:r>
      <w:r>
        <w:t xml:space="preserve"> </w:t>
      </w:r>
      <w:r>
        <w:t xml:space="preserve">behaviour and its direction are unchanged.</w:t>
      </w:r>
    </w:p>
    <w:bookmarkEnd w:id="225"/>
    <w:bookmarkEnd w:id="226"/>
    <w:bookmarkStart w:id="233" w:name="Xae9da30f204daab4eeeda9aa234bf6044fcd824"/>
    <w:p>
      <w:pPr>
        <w:pStyle w:val="Heading2"/>
      </w:pPr>
      <w:r>
        <w:t xml:space="preserve">A20. A Human</w:t>
      </w:r>
      <w:r>
        <w:t xml:space="preserve"> </w:t>
      </w:r>
      <w:r>
        <w:rPr>
          <w:rStyle w:val="VerbatimChar"/>
        </w:rPr>
        <w:t xml:space="preserve">no_match</w:t>
      </w:r>
      <w:r>
        <w:t xml:space="preserve"> </w:t>
      </w:r>
      <w:r>
        <w:t xml:space="preserve">Supersedes the Algorithm</w:t>
      </w:r>
    </w:p>
    <w:p>
      <w:pPr>
        <w:pStyle w:val="FirstParagraph"/>
      </w:pPr>
      <w:r>
        <w:rPr>
          <w:b/>
          <w:bCs/>
        </w:rPr>
        <w:t xml:space="preserve">PI decision, 2026-09-05.</w:t>
      </w:r>
      <w:r>
        <w:t xml:space="preserve"> </w:t>
      </w:r>
      <w:r>
        <w:t xml:space="preserve">The second of the two outcome decisions taken that</w:t>
      </w:r>
      <w:r>
        <w:t xml:space="preserve"> </w:t>
      </w:r>
      <w:r>
        <w:t xml:space="preserve">day, and the smaller of them: the numerator moves from 171 to 170.</w:t>
      </w:r>
    </w:p>
    <w:bookmarkStart w:id="227" w:name="a20.1-the-rule"/>
    <w:p>
      <w:pPr>
        <w:pStyle w:val="Heading3"/>
      </w:pPr>
      <w:r>
        <w:t xml:space="preserve">A20.1 The rule</w:t>
      </w:r>
    </w:p>
    <w:p>
      <w:pPr>
        <w:pStyle w:val="FirstParagraph"/>
      </w:pPr>
      <w:r>
        <w:t xml:space="preserve">A reviewer who examined a candidate publication and recorded</w:t>
      </w:r>
      <w:r>
        <w:t xml:space="preserve"> </w:t>
      </w:r>
      <w:r>
        <w:rPr>
          <w:rStyle w:val="VerbatimChar"/>
        </w:rPr>
        <w:t xml:space="preserve">no_match</w:t>
      </w:r>
      <w:r>
        <w:t xml:space="preserve"> </w:t>
      </w:r>
      <w:r>
        <w:t xml:space="preserve">outranks a</w:t>
      </w:r>
      <w:r>
        <w:t xml:space="preserve"> </w:t>
      </w:r>
      <w:r>
        <w:rPr>
          <w:rStyle w:val="VerbatimChar"/>
        </w:rPr>
        <w:t xml:space="preserve">definite</w:t>
      </w:r>
      <w:r>
        <w:t xml:space="preserve"> </w:t>
      </w:r>
      <w:r>
        <w:t xml:space="preserve">classification. The branch is placed above</w:t>
      </w:r>
      <w:r>
        <w:t xml:space="preserve"> </w:t>
      </w:r>
      <w:r>
        <w:rPr>
          <w:rStyle w:val="VerbatimChar"/>
        </w:rPr>
        <w:t xml:space="preserve">classification == "definite"</w:t>
      </w:r>
      <w:r>
        <w:t xml:space="preserve"> </w:t>
      </w:r>
      <w:r>
        <w:t xml:space="preserve">in</w:t>
      </w:r>
      <w:r>
        <w:t xml:space="preserve"> </w:t>
      </w:r>
      <w:r>
        <w:rPr>
          <w:rStyle w:val="VerbatimChar"/>
        </w:rPr>
        <w:t xml:space="preserve">assign_final_published()</w:t>
      </w:r>
      <w:r>
        <w:t xml:space="preserve">, which is where the</w:t>
      </w:r>
      <w:r>
        <w:t xml:space="preserve"> </w:t>
      </w:r>
      <w:r>
        <w:t xml:space="preserve">override previously failed.</w:t>
      </w:r>
    </w:p>
    <w:p>
      <w:pPr>
        <w:pStyle w:val="BodyText"/>
      </w:pPr>
      <w:r>
        <w:t xml:space="preserve">This is not a new principle.</w:t>
      </w:r>
      <w:r>
        <w:t xml:space="preserve"> </w:t>
      </w:r>
      <w:r>
        <w:rPr>
          <w:rStyle w:val="VerbatimChar"/>
        </w:rPr>
        <w:t xml:space="preserve">dedup_decisions_for_analysis()</w:t>
      </w:r>
      <w:r>
        <w:t xml:space="preserve"> </w:t>
      </w:r>
      <w:r>
        <w:t xml:space="preserve">already discards</w:t>
      </w:r>
      <w:r>
        <w:t xml:space="preserve"> </w:t>
      </w:r>
      <w:r>
        <w:t xml:space="preserve">AUTO rows for any abstract a human has touched, on the grounds that a person’s</w:t>
      </w:r>
      <w:r>
        <w:t xml:space="preserve"> </w:t>
      </w:r>
      <w:r>
        <w:t xml:space="preserve">judgment supersedes a prefill. The decision extends that one level: a person’s</w:t>
      </w:r>
      <w:r>
        <w:t xml:space="preserve"> </w:t>
      </w:r>
      <w:r>
        <w:t xml:space="preserve">judgment also supersedes the score.</w:t>
      </w:r>
    </w:p>
    <w:bookmarkEnd w:id="227"/>
    <w:bookmarkStart w:id="228" w:name="a20.2-why-it-applies-to-humans-only"/>
    <w:p>
      <w:pPr>
        <w:pStyle w:val="Heading3"/>
      </w:pPr>
      <w:r>
        <w:t xml:space="preserve">A20.2 Why it applies to humans only</w:t>
      </w:r>
    </w:p>
    <w:p>
      <w:pPr>
        <w:pStyle w:val="FirstParagraph"/>
      </w:pPr>
      <w:r>
        <w:t xml:space="preserve">The framing that reached this decision was</w:t>
      </w:r>
      <w:r>
        <w:t xml:space="preserve"> </w:t>
      </w:r>
      <w:r>
        <w:t xml:space="preserve">“four abstracts counted published</w:t>
      </w:r>
      <w:r>
        <w:t xml:space="preserve"> </w:t>
      </w:r>
      <w:r>
        <w:t xml:space="preserve">against a human no_match”</w:t>
      </w:r>
      <w:r>
        <w:t xml:space="preserve">. Only one of the four is that.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abstract</w:t>
            </w:r>
          </w:p>
        </w:tc>
        <w:tc>
          <w:tcPr/>
          <w:p>
            <w:pPr>
              <w:pStyle w:val="Compact"/>
            </w:pPr>
            <w:r>
              <w:t xml:space="preserve">reviewer</w:t>
            </w:r>
          </w:p>
        </w:tc>
        <w:tc>
          <w:tcPr/>
          <w:p>
            <w:pPr>
              <w:pStyle w:val="Compact"/>
            </w:pPr>
            <w:r>
              <w:t xml:space="preserve">decision trail</w:t>
            </w:r>
          </w:p>
        </w:tc>
      </w:tr>
      <w:tr>
        <w:tc>
          <w:tcPr/>
          <w:p>
            <w:pPr>
              <w:pStyle w:val="Compact"/>
            </w:pPr>
            <w:r>
              <w:t xml:space="preserve">AAGL2013_050</w:t>
            </w:r>
          </w:p>
        </w:tc>
        <w:tc>
          <w:tcPr/>
          <w:p>
            <w:pPr>
              <w:pStyle w:val="Compact"/>
            </w:pPr>
            <w:r>
              <w:t xml:space="preserve">AUTO</w:t>
            </w:r>
          </w:p>
        </w:tc>
        <w:tc>
          <w:tcPr/>
          <w:p>
            <w:pPr>
              <w:pStyle w:val="Compact"/>
            </w:pPr>
            <w:r>
              <w:rPr>
                <w:rStyle w:val="VerbatimChar"/>
              </w:rPr>
              <w:t xml:space="preserve">classification=reject, score=5.50</w:t>
            </w:r>
          </w:p>
        </w:tc>
      </w:tr>
      <w:tr>
        <w:tc>
          <w:tcPr/>
          <w:p>
            <w:pPr>
              <w:pStyle w:val="Compact"/>
            </w:pPr>
            <w:r>
              <w:t xml:space="preserve">AAGL2014_053</w:t>
            </w:r>
          </w:p>
        </w:tc>
        <w:tc>
          <w:tcPr/>
          <w:p>
            <w:pPr>
              <w:pStyle w:val="Compact"/>
            </w:pPr>
            <w:r>
              <w:t xml:space="preserve">AUTO</w:t>
            </w:r>
          </w:p>
        </w:tc>
        <w:tc>
          <w:tcPr/>
          <w:p>
            <w:pPr>
              <w:pStyle w:val="Compact"/>
            </w:pPr>
            <w:r>
              <w:rPr>
                <w:rStyle w:val="VerbatimChar"/>
              </w:rPr>
              <w:t xml:space="preserve">classification=reject, score=3.80</w:t>
            </w:r>
          </w:p>
        </w:tc>
      </w:tr>
      <w:tr>
        <w:tc>
          <w:tcPr/>
          <w:p>
            <w:pPr>
              <w:pStyle w:val="Compact"/>
            </w:pPr>
            <w:r>
              <w:t xml:space="preserve">AAGL2015_029</w:t>
            </w:r>
          </w:p>
        </w:tc>
        <w:tc>
          <w:tcPr/>
          <w:p>
            <w:pPr>
              <w:pStyle w:val="Compact"/>
            </w:pPr>
            <w:r>
              <w:t xml:space="preserve">AUTO</w:t>
            </w:r>
          </w:p>
        </w:tc>
        <w:tc>
          <w:tcPr/>
          <w:p>
            <w:pPr>
              <w:pStyle w:val="Compact"/>
            </w:pPr>
            <w:r>
              <w:rPr>
                <w:rStyle w:val="VerbatimChar"/>
              </w:rPr>
              <w:t xml:space="preserve">classification=reject, score=6.00</w:t>
            </w:r>
          </w:p>
        </w:tc>
      </w:tr>
      <w:tr>
        <w:tc>
          <w:tcPr/>
          <w:p>
            <w:pPr>
              <w:pStyle w:val="Compact"/>
            </w:pPr>
            <w:r>
              <w:rPr>
                <w:b/>
                <w:bCs/>
              </w:rPr>
              <w:t xml:space="preserve">AAGL2021_030</w:t>
            </w:r>
          </w:p>
        </w:tc>
        <w:tc>
          <w:tcPr/>
          <w:p>
            <w:pPr>
              <w:pStyle w:val="Compact"/>
            </w:pPr>
            <w:r>
              <w:t xml:space="preserve">R01, R02</w:t>
            </w:r>
          </w:p>
        </w:tc>
        <w:tc>
          <w:tcPr/>
          <w:p>
            <w:pPr>
              <w:pStyle w:val="Compact"/>
            </w:pPr>
            <w:r>
              <w:t xml:space="preserve">R01</w:t>
            </w:r>
            <w:r>
              <w:t xml:space="preserve"> </w:t>
            </w:r>
            <w:r>
              <w:rPr>
                <w:rStyle w:val="VerbatimChar"/>
              </w:rPr>
              <w:t xml:space="preserve">no_match</w:t>
            </w:r>
            <w:r>
              <w:t xml:space="preserve">; R02</w:t>
            </w:r>
            <w:r>
              <w:t xml:space="preserve"> </w:t>
            </w:r>
            <w:r>
              <w:rPr>
                <w:rStyle w:val="VerbatimChar"/>
              </w:rPr>
              <w:t xml:space="preserve">match</w:t>
            </w:r>
            <w:r>
              <w:t xml:space="preserve">; R02</w:t>
            </w:r>
            <w:r>
              <w:t xml:space="preserve"> </w:t>
            </w:r>
            <w:r>
              <w:rPr>
                <w:rStyle w:val="VerbatimChar"/>
              </w:rPr>
              <w:t xml:space="preserve">no_match</w:t>
            </w:r>
            <w:r>
              <w:t xml:space="preserve"> </w:t>
            </w:r>
            <w:r>
              <w:t xml:space="preserve">five days later</w:t>
            </w:r>
          </w:p>
        </w:tc>
      </w:tr>
    </w:tbl>
    <w:p>
      <w:pPr>
        <w:pStyle w:val="BodyText"/>
      </w:pPr>
      <w:r>
        <w:t xml:space="preserve">The first three were never seen by a person. Their AUTO notes record</w:t>
      </w:r>
      <w:r>
        <w:t xml:space="preserve"> </w:t>
      </w:r>
      <w:r>
        <w:rPr>
          <w:rStyle w:val="VerbatimChar"/>
        </w:rPr>
        <w:t xml:space="preserve">classification=reject</w:t>
      </w:r>
      <w:r>
        <w:t xml:space="preserve">, a vocabulary this pipeline no longer uses, against a</w:t>
      </w:r>
      <w:r>
        <w:t xml:space="preserve"> </w:t>
      </w:r>
      <w:r>
        <w:t xml:space="preserve">current classification of</w:t>
      </w:r>
      <w:r>
        <w:t xml:space="preserve"> </w:t>
      </w:r>
      <w:r>
        <w:rPr>
          <w:rStyle w:val="VerbatimChar"/>
        </w:rPr>
        <w:t xml:space="preserve">definite</w:t>
      </w:r>
      <w:r>
        <w:t xml:space="preserve">. They are fossils of an earlier scoring</w:t>
      </w:r>
      <w:r>
        <w:t xml:space="preserve"> </w:t>
      </w:r>
      <w:r>
        <w:t xml:space="preserve">run, and an AUTO</w:t>
      </w:r>
      <w:r>
        <w:t xml:space="preserve"> </w:t>
      </w:r>
      <w:r>
        <w:rPr>
          <w:rStyle w:val="VerbatimChar"/>
        </w:rPr>
        <w:t xml:space="preserve">no_match</w:t>
      </w:r>
      <w:r>
        <w:t xml:space="preserve"> </w:t>
      </w:r>
      <w:r>
        <w:t xml:space="preserve">contradicting a</w:t>
      </w:r>
      <w:r>
        <w:t xml:space="preserve"> </w:t>
      </w:r>
      <w:r>
        <w:rPr>
          <w:rStyle w:val="VerbatimChar"/>
        </w:rPr>
        <w:t xml:space="preserve">definite</w:t>
      </w:r>
      <w:r>
        <w:t xml:space="preserve"> </w:t>
      </w:r>
      <w:r>
        <w:t xml:space="preserve">score is the algorithm</w:t>
      </w:r>
      <w:r>
        <w:t xml:space="preserve"> </w:t>
      </w:r>
      <w:r>
        <w:t xml:space="preserve">disagreeing with itself rather than evidence about the abstract. Letting them</w:t>
      </w:r>
      <w:r>
        <w:t xml:space="preserve"> </w:t>
      </w:r>
      <w:r>
        <w:t xml:space="preserve">override the classification would have given a superseded run authority over</w:t>
      </w:r>
      <w:r>
        <w:t xml:space="preserve"> </w:t>
      </w:r>
      <w:r>
        <w:t xml:space="preserve">the current one.</w:t>
      </w:r>
    </w:p>
    <w:p>
      <w:pPr>
        <w:pStyle w:val="BodyText"/>
      </w:pPr>
      <w:r>
        <w:t xml:space="preserve">AAGL2021_030 is the real case. Two reviewers, and the later of R02’s two</w:t>
      </w:r>
      <w:r>
        <w:t xml:space="preserve"> </w:t>
      </w:r>
      <w:r>
        <w:t xml:space="preserve">decisions is</w:t>
      </w:r>
      <w:r>
        <w:t xml:space="preserve"> </w:t>
      </w:r>
      <w:r>
        <w:rPr>
          <w:rStyle w:val="VerbatimChar"/>
        </w:rPr>
        <w:t xml:space="preserve">no_match</w:t>
      </w:r>
      <w:r>
        <w:t xml:space="preserve">, so the surviving deduplicated decision is a considered</w:t>
      </w:r>
      <w:r>
        <w:t xml:space="preserve"> </w:t>
      </w:r>
      <w:r>
        <w:t xml:space="preserve">human rejection. It was counted published anyway.</w:t>
      </w:r>
    </w:p>
    <w:bookmarkEnd w:id="228"/>
    <w:bookmarkStart w:id="229" w:name="a20.3-what-moved"/>
    <w:p>
      <w:pPr>
        <w:pStyle w:val="Heading3"/>
      </w:pPr>
      <w:r>
        <w:t xml:space="preserve">A20.3 What moved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Published</w:t>
            </w:r>
          </w:p>
        </w:tc>
        <w:tc>
          <w:tcPr/>
          <w:p>
            <w:pPr>
              <w:pStyle w:val="Compact"/>
              <w:jc w:val="right"/>
            </w:pPr>
            <w:r>
              <w:t xml:space="preserve">171</w:t>
            </w:r>
          </w:p>
        </w:tc>
        <w:tc>
          <w:tcPr/>
          <w:p>
            <w:pPr>
              <w:pStyle w:val="Compact"/>
              <w:jc w:val="right"/>
            </w:pPr>
            <w:r>
              <w:rPr>
                <w:b/>
                <w:bCs/>
              </w:rPr>
              <w:t xml:space="preserve">170</w:t>
            </w:r>
          </w:p>
        </w:tc>
      </w:tr>
      <w:tr>
        <w:tc>
          <w:tcPr/>
          <w:p>
            <w:pPr>
              <w:pStyle w:val="Compact"/>
            </w:pPr>
            <w:r>
              <w:t xml:space="preserve">Publication rate</w:t>
            </w:r>
          </w:p>
        </w:tc>
        <w:tc>
          <w:tcPr/>
          <w:p>
            <w:pPr>
              <w:pStyle w:val="Compact"/>
              <w:jc w:val="right"/>
            </w:pPr>
            <w:r>
              <w:t xml:space="preserve">16.3%</w:t>
            </w:r>
          </w:p>
        </w:tc>
        <w:tc>
          <w:tcPr/>
          <w:p>
            <w:pPr>
              <w:pStyle w:val="Compact"/>
              <w:jc w:val="right"/>
            </w:pPr>
            <w:r>
              <w:rPr>
                <w:b/>
                <w:bCs/>
              </w:rPr>
              <w:t xml:space="preserve">16.2%</w:t>
            </w:r>
            <w:r>
              <w:t xml:space="preserve"> </w:t>
            </w:r>
            <w:r>
              <w:t xml:space="preserve">(95% CI 14.1-18.5)</w:t>
            </w:r>
          </w:p>
        </w:tc>
      </w:tr>
      <w:tr>
        <w:tc>
          <w:tcPr/>
          <w:p>
            <w:pPr>
              <w:pStyle w:val="Compact"/>
            </w:pPr>
            <w:r>
              <w:t xml:space="preserve">Denominator</w:t>
            </w:r>
          </w:p>
        </w:tc>
        <w:tc>
          <w:tcPr/>
          <w:p>
            <w:pPr>
              <w:pStyle w:val="Compact"/>
              <w:jc w:val="right"/>
            </w:pPr>
            <w:r>
              <w:t xml:space="preserve">1,051</w:t>
            </w:r>
          </w:p>
        </w:tc>
        <w:tc>
          <w:tcPr/>
          <w:p>
            <w:pPr>
              <w:pStyle w:val="Compact"/>
              <w:jc w:val="right"/>
            </w:pPr>
            <w:r>
              <w:t xml:space="preserve">1,051</w:t>
            </w:r>
          </w:p>
        </w:tc>
      </w:tr>
      <w:tr>
        <w:tc>
          <w:tcPr/>
          <w:p>
            <w:pPr>
              <w:pStyle w:val="Compact"/>
            </w:pPr>
            <w:r>
              <w:t xml:space="preserve">Median time to publication</w:t>
            </w:r>
          </w:p>
        </w:tc>
        <w:tc>
          <w:tcPr/>
          <w:p>
            <w:pPr>
              <w:pStyle w:val="Compact"/>
              <w:jc w:val="right"/>
            </w:pPr>
            <w:r>
              <w:t xml:space="preserve">13.7 mo</w:t>
            </w:r>
          </w:p>
        </w:tc>
        <w:tc>
          <w:tcPr/>
          <w:p>
            <w:pPr>
              <w:pStyle w:val="Compact"/>
              <w:jc w:val="right"/>
            </w:pPr>
            <w:r>
              <w:rPr>
                <w:b/>
                <w:bCs/>
              </w:rPr>
              <w:t xml:space="preserve">13.6 mo</w:t>
            </w:r>
          </w:p>
        </w:tc>
      </w:tr>
      <w:tr>
        <w:tc>
          <w:tcPr/>
          <w:p>
            <w:pPr>
              <w:pStyle w:val="Compact"/>
            </w:pPr>
            <w:r>
              <w:t xml:space="preserve">IQR</w:t>
            </w:r>
          </w:p>
        </w:tc>
        <w:tc>
          <w:tcPr/>
          <w:p>
            <w:pPr>
              <w:pStyle w:val="Compact"/>
              <w:jc w:val="right"/>
            </w:pPr>
            <w:r>
              <w:t xml:space="preserve">5.7-22.6</w:t>
            </w:r>
          </w:p>
        </w:tc>
        <w:tc>
          <w:tcPr/>
          <w:p>
            <w:pPr>
              <w:pStyle w:val="Compact"/>
              <w:jc w:val="right"/>
            </w:pPr>
            <w:r>
              <w:t xml:space="preserve">5.7-22.4</w:t>
            </w:r>
          </w:p>
        </w:tc>
      </w:tr>
      <w:tr>
        <w:tc>
          <w:tcPr/>
          <w:p>
            <w:pPr>
              <w:pStyle w:val="Compact"/>
            </w:pPr>
            <w:r>
              <w:t xml:space="preserve">Cox events</w:t>
            </w:r>
          </w:p>
        </w:tc>
        <w:tc>
          <w:tcPr/>
          <w:p>
            <w:pPr>
              <w:pStyle w:val="Compact"/>
              <w:jc w:val="right"/>
            </w:pPr>
            <w:r>
              <w:t xml:space="preserve">171</w:t>
            </w:r>
          </w:p>
        </w:tc>
        <w:tc>
          <w:tcPr/>
          <w:p>
            <w:pPr>
              <w:pStyle w:val="Compact"/>
              <w:jc w:val="right"/>
            </w:pPr>
            <w:r>
              <w:t xml:space="preserve">170</w:t>
            </w:r>
          </w:p>
        </w:tc>
      </w:tr>
      <w:tr>
        <w:tc>
          <w:tcPr/>
          <w:p>
            <w:pPr>
              <w:pStyle w:val="Compact"/>
            </w:pPr>
            <w:r>
              <w:t xml:space="preserve">PH global p</w:t>
            </w:r>
          </w:p>
        </w:tc>
        <w:tc>
          <w:tcPr/>
          <w:p>
            <w:pPr>
              <w:pStyle w:val="Compact"/>
              <w:jc w:val="right"/>
            </w:pPr>
            <w:r>
              <w:t xml:space="preserve">0.041</w:t>
            </w:r>
          </w:p>
        </w:tc>
        <w:tc>
          <w:tcPr/>
          <w:p>
            <w:pPr>
              <w:pStyle w:val="Compact"/>
              <w:jc w:val="right"/>
            </w:pPr>
            <w:r>
              <w:t xml:space="preserve">0.043</w:t>
            </w:r>
          </w:p>
        </w:tc>
      </w:tr>
    </w:tbl>
    <w:p>
      <w:pPr>
        <w:pStyle w:val="BodyText"/>
      </w:pPr>
      <w:r>
        <w:t xml:space="preserve">Unlike the pre-congress decision, this one moves the median. AAGL2021_030 had an</w:t>
      </w:r>
      <w:r>
        <w:t xml:space="preserve"> </w:t>
      </w:r>
      <w:r>
        <w:t xml:space="preserve">interval of 34.6 months, well above the median, so removing it shortens the</w:t>
      </w:r>
      <w:r>
        <w:t xml:space="preserve"> </w:t>
      </w:r>
      <w:r>
        <w:t xml:space="preserve">distribution slightly. The Cox model keeps its 1,027 observations and loses one</w:t>
      </w:r>
      <w:r>
        <w:t xml:space="preserve"> </w:t>
      </w:r>
      <w:r>
        <w:t xml:space="preserve">event.</w:t>
      </w:r>
    </w:p>
    <w:bookmarkEnd w:id="229"/>
    <w:bookmarkStart w:id="230" w:name="a20.4-a-schema-trap"/>
    <w:p>
      <w:pPr>
        <w:pStyle w:val="Heading3"/>
      </w:pPr>
      <w:r>
        <w:t xml:space="preserve">A20.4 A schema trap</w:t>
      </w:r>
    </w:p>
    <w:p>
      <w:pPr>
        <w:pStyle w:val="FirstParagraph"/>
      </w:pPr>
      <w:r>
        <w:t xml:space="preserve">The cascade needs</w:t>
      </w:r>
      <w:r>
        <w:t xml:space="preserve"> </w:t>
      </w:r>
      <w:r>
        <w:rPr>
          <w:rStyle w:val="VerbatimChar"/>
        </w:rPr>
        <w:t xml:space="preserve">reviewer</w:t>
      </w:r>
      <w:r>
        <w:t xml:space="preserve"> </w:t>
      </w:r>
      <w:r>
        <w:t xml:space="preserve">to tell a human decision from a prefill, so</w:t>
      </w:r>
      <w:r>
        <w:t xml:space="preserve"> </w:t>
      </w:r>
      <w:r>
        <w:rPr>
          <w:rStyle w:val="VerbatimChar"/>
        </w:rPr>
        <w:t xml:space="preserve">assign_final_published()</w:t>
      </w:r>
      <w:r>
        <w:t xml:space="preserve"> </w:t>
      </w:r>
      <w:r>
        <w:t xml:space="preserve">joins it. Left there, it widened</w:t>
      </w:r>
      <w:r>
        <w:t xml:space="preserve"> </w:t>
      </w:r>
      <w:r>
        <w:rPr>
          <w:rStyle w:val="VerbatimChar"/>
        </w:rPr>
        <w:t xml:space="preserve">final_analytical_dataset.csv</w:t>
      </w:r>
      <w:r>
        <w:t xml:space="preserve"> </w:t>
      </w:r>
      <w:r>
        <w:t xml:space="preserve">from 93 columns to 94 and tripped the</w:t>
      </w:r>
      <w:r>
        <w:t xml:space="preserve"> </w:t>
      </w:r>
      <w:r>
        <w:t xml:space="preserve">documentation-drift test. The column is now dropped again unless the caller</w:t>
      </w:r>
      <w:r>
        <w:t xml:space="preserve"> </w:t>
      </w:r>
      <w:r>
        <w:t xml:space="preserve">already had it, so the rule can distinguish reviewers without changing the</w:t>
      </w:r>
      <w:r>
        <w:t xml:space="preserve"> </w:t>
      </w:r>
      <w:r>
        <w:t xml:space="preserve">dataset’s shape.</w:t>
      </w:r>
    </w:p>
    <w:bookmarkEnd w:id="230"/>
    <w:bookmarkStart w:id="231" w:name="Xfe0bf36cbf2669aa78eee4c6e9947fdc572a41f"/>
    <w:p>
      <w:pPr>
        <w:pStyle w:val="Heading3"/>
      </w:pPr>
      <w:r>
        <w:t xml:space="preserve">A20.5 What the decision-log test now asserts</w:t>
      </w:r>
    </w:p>
    <w:p>
      <w:pPr>
        <w:pStyle w:val="FirstParagraph"/>
      </w:pPr>
      <w:r>
        <w:rPr>
          <w:rStyle w:val="VerbatimChar"/>
        </w:rPr>
        <w:t xml:space="preserve">test-cycle22_decision_log.R</w:t>
      </w:r>
      <w:r>
        <w:t xml:space="preserve"> </w:t>
      </w:r>
      <w:r>
        <w:t xml:space="preserve">required the outcome column to agree with the</w:t>
      </w:r>
      <w:r>
        <w:t xml:space="preserve"> </w:t>
      </w:r>
      <w:r>
        <w:t xml:space="preserve">surviving decision for every abstract. Two PI decisions now break that on</w:t>
      </w:r>
      <w:r>
        <w:t xml:space="preserve"> </w:t>
      </w:r>
      <w:r>
        <w:t xml:space="preserve">purpose: a pre-congress publication is never counted whatever the reviewer said,</w:t>
      </w:r>
      <w:r>
        <w:t xml:space="preserve"> </w:t>
      </w:r>
      <w:r>
        <w:t xml:space="preserve">and an AUTO</w:t>
      </w:r>
      <w:r>
        <w:t xml:space="preserve"> </w:t>
      </w:r>
      <w:r>
        <w:rPr>
          <w:rStyle w:val="VerbatimChar"/>
        </w:rPr>
        <w:t xml:space="preserve">no_match</w:t>
      </w:r>
      <w:r>
        <w:t xml:space="preserve"> </w:t>
      </w:r>
      <w:r>
        <w:t xml:space="preserve">does not override a classification. The test asserts the</w:t>
      </w:r>
      <w:r>
        <w:t xml:space="preserve"> </w:t>
      </w:r>
      <w:r>
        <w:t xml:space="preserve">narrower, truer contract: every divergence must be explained by one of those two</w:t>
      </w:r>
      <w:r>
        <w:t xml:space="preserve"> </w:t>
      </w:r>
      <w:r>
        <w:t xml:space="preserve">rules, and a human</w:t>
      </w:r>
      <w:r>
        <w:t xml:space="preserve"> </w:t>
      </w:r>
      <w:r>
        <w:rPr>
          <w:rStyle w:val="VerbatimChar"/>
        </w:rPr>
        <w:t xml:space="preserve">no_match</w:t>
      </w:r>
      <w:r>
        <w:t xml:space="preserve"> </w:t>
      </w:r>
      <w:r>
        <w:t xml:space="preserve">counted as published is still a failure.</w:t>
      </w:r>
    </w:p>
    <w:p>
      <w:pPr>
        <w:pStyle w:val="BodyText"/>
      </w:pPr>
      <w:r>
        <w:t xml:space="preserve">A companion test counts the stale AUTO rows and fails if the count rises above</w:t>
      </w:r>
      <w:r>
        <w:t xml:space="preserve"> </w:t>
      </w:r>
      <w:r>
        <w:t xml:space="preserve">the three known. If the prefill is ever regenerated they should disappear; if</w:t>
      </w:r>
      <w:r>
        <w:t xml:space="preserve"> </w:t>
      </w:r>
      <w:r>
        <w:t xml:space="preserve">more appear, something is writing superseded decisions again.</w:t>
      </w:r>
    </w:p>
    <w:bookmarkEnd w:id="231"/>
    <w:bookmarkStart w:id="232" w:name="a20.6-still-open"/>
    <w:p>
      <w:pPr>
        <w:pStyle w:val="Heading3"/>
      </w:pPr>
      <w:r>
        <w:t xml:space="preserve">A20.6 Still open</w:t>
      </w:r>
    </w:p>
    <w:p>
      <w:pPr>
        <w:pStyle w:val="FirstParagraph"/>
      </w:pPr>
      <w:r>
        <w:t xml:space="preserve">Whether the three stale AUTO prefills should be regenerated or deleted is not</w:t>
      </w:r>
      <w:r>
        <w:t xml:space="preserve"> </w:t>
      </w:r>
      <w:r>
        <w:t xml:space="preserve">decided here. They do not change any number today, because the classification</w:t>
      </w:r>
      <w:r>
        <w:t xml:space="preserve"> </w:t>
      </w:r>
      <w:r>
        <w:t xml:space="preserve">they contradict is what the analysis uses.</w:t>
      </w:r>
    </w:p>
    <w:bookmarkEnd w:id="232"/>
    <w:bookmarkEnd w:id="233"/>
    <w:bookmarkStart w:id="239" w:name="X540cf2bfa947f9574ef7ff0973da69840325985"/>
    <w:p>
      <w:pPr>
        <w:pStyle w:val="Heading2"/>
      </w:pPr>
      <w:r>
        <w:t xml:space="preserve">A21. Deriving Affiliation Covariates From Affiliations</w:t>
      </w:r>
    </w:p>
    <w:p>
      <w:pPr>
        <w:pStyle w:val="FirstParagraph"/>
      </w:pPr>
      <w:r>
        <w:rPr>
          <w:b/>
          <w:bCs/>
        </w:rPr>
        <w:t xml:space="preserve">PI decision, 2026-09-05.</w:t>
      </w:r>
      <w:r>
        <w:t xml:space="preserve"> </w:t>
      </w:r>
      <w:r>
        <w:rPr>
          <w:rStyle w:val="VerbatimChar"/>
        </w:rPr>
        <w:t xml:space="preserve">is_academic</w:t>
      </w:r>
      <w:r>
        <w:t xml:space="preserve"> </w:t>
      </w:r>
      <w:r>
        <w:t xml:space="preserve">and</w:t>
      </w:r>
      <w:r>
        <w:t xml:space="preserve"> </w:t>
      </w:r>
      <w:r>
        <w:rPr>
          <w:rStyle w:val="VerbatimChar"/>
        </w:rPr>
        <w:t xml:space="preserve">is_us_based</w:t>
      </w:r>
      <w:r>
        <w:t xml:space="preserve"> </w:t>
      </w:r>
      <w:r>
        <w:t xml:space="preserve">are now derived</w:t>
      </w:r>
      <w:r>
        <w:t xml:space="preserve"> </w:t>
      </w:r>
      <w:r>
        <w:t xml:space="preserve">from the author affiliation rather than from abstract body text. The</w:t>
      </w:r>
      <w:r>
        <w:t xml:space="preserve"> </w:t>
      </w:r>
      <w:r>
        <w:t xml:space="preserve">publication rate does not change. One reported finding disappears.</w:t>
      </w:r>
    </w:p>
    <w:bookmarkStart w:id="234" w:name="a21.1-what-they-were-measuring"/>
    <w:p>
      <w:pPr>
        <w:pStyle w:val="Heading3"/>
      </w:pPr>
      <w:r>
        <w:t xml:space="preserve">A21.1 What they were measuring</w:t>
      </w:r>
    </w:p>
    <w:p>
      <w:pPr>
        <w:pStyle w:val="FirstParagraph"/>
      </w:pPr>
      <w:r>
        <w:t xml:space="preserve">Neither variable had ever read an affiliation.</w:t>
      </w:r>
      <w:r>
        <w:t xml:space="preserve"> </w:t>
      </w:r>
      <w:r>
        <w:rPr>
          <w:rStyle w:val="VerbatimChar"/>
        </w:rPr>
        <w:t xml:space="preserve">affiliation_raw</w:t>
      </w:r>
      <w:r>
        <w:t xml:space="preserve"> </w:t>
      </w:r>
      <w:r>
        <w:t xml:space="preserve">was empty for</w:t>
      </w:r>
      <w:r>
        <w:t xml:space="preserve"> </w:t>
      </w:r>
      <w:r>
        <w:t xml:space="preserve">all 1,106 abstracts because of the parser defect in A20, so the affiliation</w:t>
      </w:r>
      <w:r>
        <w:t xml:space="preserve"> </w:t>
      </w:r>
      <w:r>
        <w:t xml:space="preserve">branch of each rule never fired and both fell through to abstract body text.</w:t>
      </w:r>
      <w:r>
        <w:t xml:space="preserve"> </w:t>
      </w:r>
      <w:r>
        <w:t xml:space="preserve">The academic pattern included</w:t>
      </w:r>
      <w:r>
        <w:t xml:space="preserve"> </w:t>
      </w:r>
      <w:r>
        <w:rPr>
          <w:rStyle w:val="VerbatimChar"/>
        </w:rPr>
        <w:t xml:space="preserve">residency</w:t>
      </w:r>
      <w:r>
        <w:t xml:space="preserve">,</w:t>
      </w:r>
      <w:r>
        <w:t xml:space="preserve"> </w:t>
      </w:r>
      <w:r>
        <w:rPr>
          <w:rStyle w:val="VerbatimChar"/>
        </w:rPr>
        <w:t xml:space="preserve">fellowship</w:t>
      </w:r>
      <w:r>
        <w:t xml:space="preserve"> </w:t>
      </w:r>
      <w:r>
        <w:t xml:space="preserve">and</w:t>
      </w:r>
      <w:r>
        <w:t xml:space="preserve"> </w:t>
      </w:r>
      <w:r>
        <w:rPr>
          <w:rStyle w:val="VerbatimChar"/>
        </w:rPr>
        <w:t xml:space="preserve">tertiary.*center</w:t>
      </w:r>
      <w:r>
        <w:t xml:space="preserve">,</w:t>
      </w:r>
      <w:r>
        <w:t xml:space="preserve"> </w:t>
      </w:r>
      <w:r>
        <w:t xml:space="preserve">which describe a study rather than an author’s institution. The US pattern</w:t>
      </w:r>
      <w:r>
        <w:t xml:space="preserve"> </w:t>
      </w:r>
      <w:r>
        <w:t xml:space="preserve">matched any state name anywhere in the abstract.</w:t>
      </w:r>
    </w:p>
    <w:p>
      <w:pPr>
        <w:pStyle w:val="BodyText"/>
      </w:pPr>
      <w:r>
        <w:t xml:space="preserve">Validated against real affiliations: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body text</w:t>
            </w:r>
          </w:p>
        </w:tc>
        <w:tc>
          <w:tcPr/>
          <w:p>
            <w:pPr>
              <w:pStyle w:val="Compact"/>
              <w:jc w:val="right"/>
            </w:pPr>
            <w:r>
              <w:t xml:space="preserve">affiliation</w:t>
            </w:r>
          </w:p>
        </w:tc>
        <w:tc>
          <w:tcPr/>
          <w:p>
            <w:pPr>
              <w:pStyle w:val="Compact"/>
              <w:jc w:val="right"/>
            </w:pPr>
            <w:r>
              <w:t xml:space="preserve">agreement</w:t>
            </w:r>
          </w:p>
        </w:tc>
      </w:tr>
      <w:tr>
        <w:tc>
          <w:tcPr/>
          <w:p>
            <w:pPr>
              <w:pStyle w:val="Compact"/>
            </w:pPr>
            <w:r>
              <w:t xml:space="preserve">academic</w:t>
            </w:r>
          </w:p>
        </w:tc>
        <w:tc>
          <w:tcPr/>
          <w:p>
            <w:pPr>
              <w:pStyle w:val="Compact"/>
              <w:jc w:val="right"/>
            </w:pPr>
            <w:r>
              <w:t xml:space="preserve">33.5%</w:t>
            </w:r>
          </w:p>
        </w:tc>
        <w:tc>
          <w:tcPr/>
          <w:p>
            <w:pPr>
              <w:pStyle w:val="Compact"/>
              <w:jc w:val="right"/>
            </w:pPr>
            <w:r>
              <w:t xml:space="preserve">63.6%</w:t>
            </w:r>
          </w:p>
        </w:tc>
        <w:tc>
          <w:tcPr/>
          <w:p>
            <w:pPr>
              <w:pStyle w:val="Compact"/>
              <w:jc w:val="right"/>
            </w:pPr>
            <w:r>
              <w:t xml:space="preserve">54.1%</w:t>
            </w:r>
          </w:p>
        </w:tc>
      </w:tr>
      <w:tr>
        <w:tc>
          <w:tcPr/>
          <w:p>
            <w:pPr>
              <w:pStyle w:val="Compact"/>
            </w:pPr>
            <w:r>
              <w:t xml:space="preserve">US-based</w:t>
            </w:r>
          </w:p>
        </w:tc>
        <w:tc>
          <w:tcPr/>
          <w:p>
            <w:pPr>
              <w:pStyle w:val="Compact"/>
              <w:jc w:val="right"/>
            </w:pPr>
            <w:r>
              <w:t xml:space="preserve">82.1%</w:t>
            </w:r>
          </w:p>
        </w:tc>
        <w:tc>
          <w:tcPr/>
          <w:p>
            <w:pPr>
              <w:pStyle w:val="Compact"/>
              <w:jc w:val="right"/>
            </w:pPr>
            <w:r>
              <w:t xml:space="preserve">57.6%</w:t>
            </w:r>
          </w:p>
        </w:tc>
        <w:tc>
          <w:tcPr/>
          <w:p>
            <w:pPr>
              <w:pStyle w:val="Compact"/>
              <w:jc w:val="right"/>
            </w:pPr>
            <w:r>
              <w:t xml:space="preserve">52.7%</w:t>
            </w:r>
          </w:p>
        </w:tc>
      </w:tr>
    </w:tbl>
    <w:p>
      <w:pPr>
        <w:pStyle w:val="BodyText"/>
      </w:pPr>
      <w:r>
        <w:t xml:space="preserve">Both proxies agree with the construct they claim to measure at close to chance.</w:t>
      </w:r>
      <w:r>
        <w:t xml:space="preserve"> </w:t>
      </w:r>
      <w:r>
        <w:t xml:space="preserve">The academic proxy understated academic affiliation by half; the US proxy</w:t>
      </w:r>
      <w:r>
        <w:t xml:space="preserve"> </w:t>
      </w:r>
      <w:r>
        <w:t xml:space="preserve">overstated US location by 24 percentage points.</w:t>
      </w:r>
    </w:p>
    <w:bookmarkEnd w:id="234"/>
    <w:bookmarkStart w:id="235" w:name="a21.2-abstract-level-extraction"/>
    <w:p>
      <w:pPr>
        <w:pStyle w:val="Heading3"/>
      </w:pPr>
      <w:r>
        <w:t xml:space="preserve">A21.2 Abstract-level extraction</w:t>
      </w:r>
    </w:p>
    <w:p>
      <w:pPr>
        <w:pStyle w:val="FirstParagraph"/>
      </w:pPr>
      <w:r>
        <w:t xml:space="preserve">The per-author affiliation table reaches 55% of the cohort, because linking an</w:t>
      </w:r>
      <w:r>
        <w:t xml:space="preserve"> </w:t>
      </w:r>
      <w:r>
        <w:t xml:space="preserve">author to an institution needs a</w:t>
      </w:r>
      <w:r>
        <w:t xml:space="preserve"> </w:t>
      </w:r>
      <w:r>
        <w:rPr>
          <w:rStyle w:val="VerbatimChar"/>
        </w:rPr>
        <w:t xml:space="preserve">refid</w:t>
      </w:r>
      <w:r>
        <w:t xml:space="preserve"> </w:t>
      </w:r>
      <w:r>
        <w:t xml:space="preserve">that the 2017-2018 ScienceDirect</w:t>
      </w:r>
      <w:r>
        <w:t xml:space="preserve"> </w:t>
      </w:r>
      <w:r>
        <w:t xml:space="preserve">format does not emit. Abstract-level covariates do not need that link:</w:t>
      </w:r>
      <w:r>
        <w:t xml:space="preserve"> </w:t>
      </w:r>
      <w:r>
        <w:t xml:space="preserve">“is any</w:t>
      </w:r>
      <w:r>
        <w:t xml:space="preserve"> </w:t>
      </w:r>
      <w:r>
        <w:t xml:space="preserve">author at an academic institution”</w:t>
      </w:r>
      <w:r>
        <w:t xml:space="preserve"> </w:t>
      </w:r>
      <w:r>
        <w:t xml:space="preserve">and</w:t>
      </w:r>
      <w:r>
        <w:t xml:space="preserve"> </w:t>
      </w:r>
      <w:r>
        <w:t xml:space="preserve">“how many institutions appear”</w:t>
      </w:r>
      <w:r>
        <w:t xml:space="preserve"> </w:t>
      </w:r>
      <w:r>
        <w:t xml:space="preserve">are</w:t>
      </w:r>
      <w:r>
        <w:t xml:space="preserve"> </w:t>
      </w:r>
      <w:r>
        <w:t xml:space="preserve">properties of the record.</w:t>
      </w:r>
      <w:r>
        <w:t xml:space="preserve"> </w:t>
      </w:r>
      <w:r>
        <w:rPr>
          <w:rStyle w:val="VerbatimChar"/>
        </w:rPr>
        <w:t xml:space="preserve">scripts/backfill_affiliations_from_cache.R</w:t>
      </w:r>
      <w:r>
        <w:t xml:space="preserve"> </w:t>
      </w:r>
      <w:r>
        <w:t xml:space="preserve">now also</w:t>
      </w:r>
      <w:r>
        <w:t xml:space="preserve"> </w:t>
      </w:r>
      <w:r>
        <w:t xml:space="preserve">writes</w:t>
      </w:r>
      <w:r>
        <w:t xml:space="preserve"> </w:t>
      </w:r>
      <w:r>
        <w:rPr>
          <w:rStyle w:val="VerbatimChar"/>
        </w:rPr>
        <w:t xml:space="preserve">data/processed/abstract_affiliations.csv</w:t>
      </w:r>
      <w:r>
        <w:t xml:space="preserve">, the union of institution</w:t>
      </w:r>
      <w:r>
        <w:t xml:space="preserve"> </w:t>
      </w:r>
      <w:r>
        <w:t xml:space="preserve">strings per abstract, reaching</w:t>
      </w:r>
      <w:r>
        <w:t xml:space="preserve"> </w:t>
      </w:r>
      <w:r>
        <w:rPr>
          <w:b/>
          <w:bCs/>
        </w:rPr>
        <w:t xml:space="preserve">1,092 of 1,106 (98.7%)</w:t>
      </w:r>
      <w:r>
        <w:t xml:space="preserve">, including 2017 and</w:t>
      </w:r>
      <w:r>
        <w:t xml:space="preserve"> </w:t>
      </w:r>
      <w:r>
        <w:t xml:space="preserve">2018 at 100%.</w:t>
      </w:r>
    </w:p>
    <w:p>
      <w:pPr>
        <w:pStyle w:val="BodyText"/>
      </w:pPr>
      <w:r>
        <w:t xml:space="preserve">Where no affiliation is on file the covariates are</w:t>
      </w:r>
      <w:r>
        <w:t xml:space="preserve"> </w:t>
      </w:r>
      <w:r>
        <w:rPr>
          <w:rStyle w:val="VerbatimChar"/>
        </w:rPr>
        <w:t xml:space="preserve">NA</w:t>
      </w:r>
      <w:r>
        <w:t xml:space="preserve">, not</w:t>
      </w:r>
      <w:r>
        <w:t xml:space="preserve"> </w:t>
      </w:r>
      <w:r>
        <w:rPr>
          <w:rStyle w:val="VerbatimChar"/>
        </w:rPr>
        <w:t xml:space="preserve">FALSE</w:t>
      </w:r>
      <w:r>
        <w:t xml:space="preserve">. Coding</w:t>
      </w:r>
      <w:r>
        <w:t xml:space="preserve"> </w:t>
      </w:r>
      <w:r>
        <w:t xml:space="preserve">absence as a negative was what filled the comparison group with unknowns and</w:t>
      </w:r>
      <w:r>
        <w:t xml:space="preserve"> </w:t>
      </w:r>
      <w:r>
        <w:t xml:space="preserve">produced the era gradient that made an earlier attempt at this change</w:t>
      </w:r>
      <w:r>
        <w:t xml:space="preserve"> </w:t>
      </w:r>
      <w:r>
        <w:t xml:space="preserve">unusable.</w:t>
      </w:r>
    </w:p>
    <w:bookmarkEnd w:id="235"/>
    <w:bookmarkStart w:id="236" w:name="a21.3-the-result"/>
    <w:p>
      <w:pPr>
        <w:pStyle w:val="Heading3"/>
      </w:pPr>
      <w:r>
        <w:t xml:space="preserve">A21.3 The result</w:t>
      </w:r>
    </w:p>
    <w:p>
      <w:pPr>
        <w:pStyle w:val="FirstParagraph"/>
      </w:pPr>
      <w:r>
        <w:t xml:space="preserve">Both are now stable across congress years, which the text proxies were not:</w:t>
      </w:r>
      <w:r>
        <w:t xml:space="preserve"> </w:t>
      </w:r>
      <w:r>
        <w:t xml:space="preserve">academic ranges 55.8% to 75.6% and US-based 50.0% to 64.4%, with no cliff at</w:t>
      </w:r>
      <w:r>
        <w:t xml:space="preserve"> </w:t>
      </w:r>
      <w:r>
        <w:t xml:space="preserve">the 2017-2018 boundary where the text ran out.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Cox term</w:t>
            </w:r>
          </w:p>
        </w:tc>
        <w:tc>
          <w:tcPr/>
          <w:p>
            <w:pPr>
              <w:pStyle w:val="Compact"/>
              <w:jc w:val="right"/>
            </w:pPr>
            <w:r>
              <w:t xml:space="preserve">before</w:t>
            </w:r>
          </w:p>
        </w:tc>
        <w:tc>
          <w:tcPr/>
          <w:p>
            <w:pPr>
              <w:pStyle w:val="Compact"/>
              <w:jc w:val="right"/>
            </w:pPr>
            <w:r>
              <w:t xml:space="preserve">after</w:t>
            </w:r>
          </w:p>
        </w:tc>
        <w:tc>
          <w:tcPr/>
          <w:p>
            <w:pPr>
              <w:pStyle w:val="Compact"/>
              <w:jc w:val="right"/>
            </w:pPr>
            <w:r>
              <w:t xml:space="preserve">p before</w:t>
            </w:r>
          </w:p>
        </w:tc>
        <w:tc>
          <w:tcPr/>
          <w:p>
            <w:pPr>
              <w:pStyle w:val="Compact"/>
              <w:jc w:val="right"/>
            </w:pPr>
            <w:r>
              <w:t xml:space="preserve">p after</w:t>
            </w:r>
          </w:p>
        </w:tc>
      </w:tr>
      <w:tr>
        <w:tc>
          <w:tcPr/>
          <w:p>
            <w:pPr>
              <w:pStyle w:val="Compact"/>
            </w:pPr>
            <w:r>
              <w:rPr>
                <w:rStyle w:val="VerbatimChar"/>
              </w:rPr>
              <w:t xml:space="preserve">is_rct</w:t>
            </w:r>
          </w:p>
        </w:tc>
        <w:tc>
          <w:tcPr/>
          <w:p>
            <w:pPr>
              <w:pStyle w:val="Compact"/>
              <w:jc w:val="right"/>
            </w:pPr>
            <w:r>
              <w:t xml:space="preserve">2.172</w:t>
            </w:r>
          </w:p>
        </w:tc>
        <w:tc>
          <w:tcPr/>
          <w:p>
            <w:pPr>
              <w:pStyle w:val="Compact"/>
              <w:jc w:val="right"/>
            </w:pPr>
            <w:r>
              <w:t xml:space="preserve">2.002</w:t>
            </w:r>
          </w:p>
        </w:tc>
        <w:tc>
          <w:tcPr/>
          <w:p>
            <w:pPr>
              <w:pStyle w:val="Compact"/>
              <w:jc w:val="right"/>
            </w:pPr>
            <w:r>
              <w:t xml:space="preserve">&lt;0.001</w:t>
            </w:r>
          </w:p>
        </w:tc>
        <w:tc>
          <w:tcPr/>
          <w:p>
            <w:pPr>
              <w:pStyle w:val="Compact"/>
              <w:jc w:val="right"/>
            </w:pPr>
            <w:r>
              <w:t xml:space="preserve">0.001</w:t>
            </w:r>
          </w:p>
        </w:tc>
      </w:tr>
      <w:tr>
        <w:tc>
          <w:tcPr/>
          <w:p>
            <w:pPr>
              <w:pStyle w:val="Compact"/>
            </w:pPr>
            <w:r>
              <w:rPr>
                <w:rStyle w:val="VerbatimChar"/>
                <w:b/>
                <w:bCs/>
              </w:rPr>
              <w:t xml:space="preserve">is_academic</w:t>
            </w:r>
          </w:p>
        </w:tc>
        <w:tc>
          <w:tcPr/>
          <w:p>
            <w:pPr>
              <w:pStyle w:val="Compact"/>
              <w:jc w:val="right"/>
            </w:pPr>
            <w:r>
              <w:rPr>
                <w:b/>
                <w:bCs/>
              </w:rPr>
              <w:t xml:space="preserve">0.649</w:t>
            </w:r>
          </w:p>
        </w:tc>
        <w:tc>
          <w:tcPr/>
          <w:p>
            <w:pPr>
              <w:pStyle w:val="Compact"/>
              <w:jc w:val="right"/>
            </w:pPr>
            <w:r>
              <w:rPr>
                <w:b/>
                <w:bCs/>
              </w:rPr>
              <w:t xml:space="preserve">1.097</w:t>
            </w:r>
          </w:p>
        </w:tc>
        <w:tc>
          <w:tcPr/>
          <w:p>
            <w:pPr>
              <w:pStyle w:val="Compact"/>
              <w:jc w:val="right"/>
            </w:pPr>
            <w:r>
              <w:rPr>
                <w:b/>
                <w:bCs/>
              </w:rPr>
              <w:t xml:space="preserve">0.013</w:t>
            </w:r>
          </w:p>
        </w:tc>
        <w:tc>
          <w:tcPr/>
          <w:p>
            <w:pPr>
              <w:pStyle w:val="Compact"/>
              <w:jc w:val="right"/>
            </w:pPr>
            <w:r>
              <w:rPr>
                <w:b/>
                <w:bCs/>
              </w:rPr>
              <w:t xml:space="preserve">0.587</w:t>
            </w:r>
          </w:p>
        </w:tc>
      </w:tr>
      <w:tr>
        <w:tc>
          <w:tcPr/>
          <w:p>
            <w:pPr>
              <w:pStyle w:val="Compact"/>
            </w:pPr>
            <w:r>
              <w:rPr>
                <w:rStyle w:val="VerbatimChar"/>
              </w:rPr>
              <w:t xml:space="preserve">is_us_based</w:t>
            </w:r>
          </w:p>
        </w:tc>
        <w:tc>
          <w:tcPr/>
          <w:p>
            <w:pPr>
              <w:pStyle w:val="Compact"/>
              <w:jc w:val="right"/>
            </w:pPr>
            <w:r>
              <w:t xml:space="preserve">1.354</w:t>
            </w:r>
          </w:p>
        </w:tc>
        <w:tc>
          <w:tcPr/>
          <w:p>
            <w:pPr>
              <w:pStyle w:val="Compact"/>
              <w:jc w:val="right"/>
            </w:pPr>
            <w:r>
              <w:t xml:space="preserve">0.787</w:t>
            </w:r>
          </w:p>
        </w:tc>
        <w:tc>
          <w:tcPr/>
          <w:p>
            <w:pPr>
              <w:pStyle w:val="Compact"/>
              <w:jc w:val="right"/>
            </w:pPr>
            <w:r>
              <w:t xml:space="preserve">0.205</w:t>
            </w:r>
          </w:p>
        </w:tc>
        <w:tc>
          <w:tcPr/>
          <w:p>
            <w:pPr>
              <w:pStyle w:val="Compact"/>
              <w:jc w:val="right"/>
            </w:pPr>
            <w:r>
              <w:t xml:space="preserve">0.136</w:t>
            </w:r>
          </w:p>
        </w:tc>
      </w:tr>
      <w:tr>
        <w:tc>
          <w:tcPr/>
          <w:p>
            <w:pPr>
              <w:pStyle w:val="Compact"/>
            </w:pPr>
            <w:r>
              <w:rPr>
                <w:rStyle w:val="VerbatimChar"/>
              </w:rPr>
              <w:t xml:space="preserve">n_authors</w:t>
            </w:r>
          </w:p>
        </w:tc>
        <w:tc>
          <w:tcPr/>
          <w:p>
            <w:pPr>
              <w:pStyle w:val="Compact"/>
              <w:jc w:val="right"/>
            </w:pPr>
            <w:r>
              <w:t xml:space="preserve">1.252</w:t>
            </w:r>
          </w:p>
        </w:tc>
        <w:tc>
          <w:tcPr/>
          <w:p>
            <w:pPr>
              <w:pStyle w:val="Compact"/>
              <w:jc w:val="right"/>
            </w:pPr>
            <w:r>
              <w:t xml:space="preserve">1.218</w:t>
            </w:r>
          </w:p>
        </w:tc>
        <w:tc>
          <w:tcPr/>
          <w:p>
            <w:pPr>
              <w:pStyle w:val="Compact"/>
              <w:jc w:val="right"/>
            </w:pPr>
            <w:r>
              <w:t xml:space="preserve">0.002</w:t>
            </w:r>
          </w:p>
        </w:tc>
        <w:tc>
          <w:tcPr/>
          <w:p>
            <w:pPr>
              <w:pStyle w:val="Compact"/>
              <w:jc w:val="right"/>
            </w:pPr>
            <w:r>
              <w:t xml:space="preserve">0.006</w:t>
            </w:r>
          </w:p>
        </w:tc>
      </w:tr>
      <w:tr>
        <w:tc>
          <w:tcPr/>
          <w:p>
            <w:pPr>
              <w:pStyle w:val="Compact"/>
            </w:pPr>
            <w:r>
              <w:rPr>
                <w:rStyle w:val="VerbatimChar"/>
              </w:rPr>
              <w:t xml:space="preserve">gender_unified</w:t>
            </w:r>
          </w:p>
        </w:tc>
        <w:tc>
          <w:tcPr/>
          <w:p>
            <w:pPr>
              <w:pStyle w:val="Compact"/>
              <w:jc w:val="right"/>
            </w:pPr>
            <w:r>
              <w:t xml:space="preserve">0.780</w:t>
            </w:r>
          </w:p>
        </w:tc>
        <w:tc>
          <w:tcPr/>
          <w:p>
            <w:pPr>
              <w:pStyle w:val="Compact"/>
              <w:jc w:val="right"/>
            </w:pPr>
            <w:r>
              <w:t xml:space="preserve">0.746</w:t>
            </w:r>
          </w:p>
        </w:tc>
        <w:tc>
          <w:tcPr/>
          <w:p>
            <w:pPr>
              <w:pStyle w:val="Compact"/>
              <w:jc w:val="right"/>
            </w:pPr>
            <w:r>
              <w:t xml:space="preserve">0.114</w:t>
            </w:r>
          </w:p>
        </w:tc>
        <w:tc>
          <w:tcPr/>
          <w:p>
            <w:pPr>
              <w:pStyle w:val="Compact"/>
              <w:jc w:val="right"/>
            </w:pPr>
            <w:r>
              <w:t xml:space="preserve">0.066</w:t>
            </w:r>
          </w:p>
        </w:tc>
      </w:tr>
      <w:tr>
        <w:tc>
          <w:tcPr/>
          <w:p>
            <w:pPr>
              <w:pStyle w:val="Compact"/>
            </w:pPr>
            <w:r>
              <w:rPr>
                <w:rStyle w:val="VerbatimChar"/>
              </w:rPr>
              <w:t xml:space="preserve">is_multicenter</w:t>
            </w:r>
          </w:p>
        </w:tc>
        <w:tc>
          <w:tcPr/>
          <w:p>
            <w:pPr>
              <w:pStyle w:val="Compact"/>
              <w:jc w:val="right"/>
            </w:pPr>
            <w:r>
              <w:t xml:space="preserve">1.402</w:t>
            </w:r>
          </w:p>
        </w:tc>
        <w:tc>
          <w:tcPr/>
          <w:p>
            <w:pPr>
              <w:pStyle w:val="Compact"/>
              <w:jc w:val="right"/>
            </w:pPr>
            <w:r>
              <w:t xml:space="preserve">1.361</w:t>
            </w:r>
          </w:p>
        </w:tc>
        <w:tc>
          <w:tcPr/>
          <w:p>
            <w:pPr>
              <w:pStyle w:val="Compact"/>
              <w:jc w:val="right"/>
            </w:pPr>
            <w:r>
              <w:t xml:space="preserve">0.219</w:t>
            </w:r>
          </w:p>
        </w:tc>
        <w:tc>
          <w:tcPr/>
          <w:p>
            <w:pPr>
              <w:pStyle w:val="Compact"/>
              <w:jc w:val="right"/>
            </w:pPr>
            <w:r>
              <w:t xml:space="preserve">0.265</w:t>
            </w:r>
          </w:p>
        </w:tc>
      </w:tr>
    </w:tbl>
    <w:p>
      <w:pPr>
        <w:pStyle w:val="BodyText"/>
      </w:pPr>
      <w:r>
        <w:rPr>
          <w:b/>
          <w:bCs/>
        </w:rPr>
        <w:t xml:space="preserve">The academic finding does not survive measurement.</w:t>
      </w:r>
      <w:r>
        <w:t xml:space="preserve"> </w:t>
      </w:r>
      <w:r>
        <w:t xml:space="preserve">It reverses direction</w:t>
      </w:r>
      <w:r>
        <w:t xml:space="preserve"> </w:t>
      </w:r>
      <w:r>
        <w:t xml:space="preserve">and becomes null, and its bootstrap retention falls from 47.4% to 5.6%, the</w:t>
      </w:r>
      <w:r>
        <w:t xml:space="preserve"> </w:t>
      </w:r>
      <w:r>
        <w:t xml:space="preserve">lowest of any term. Reported for three refits as</w:t>
      </w:r>
      <w:r>
        <w:t xml:space="preserve"> </w:t>
      </w:r>
      <w:r>
        <w:t xml:space="preserve">“academic affiliation is</w:t>
      </w:r>
      <w:r>
        <w:t xml:space="preserve"> </w:t>
      </w:r>
      <w:r>
        <w:t xml:space="preserve">associated with slower publication”</w:t>
      </w:r>
      <w:r>
        <w:t xml:space="preserve">, it was an artefact of a proxy that agreed</w:t>
      </w:r>
      <w:r>
        <w:t xml:space="preserve"> </w:t>
      </w:r>
      <w:r>
        <w:t xml:space="preserve">with the construct 54% of the time. It should be reported as no evidence of an</w:t>
      </w:r>
      <w:r>
        <w:t xml:space="preserve"> </w:t>
      </w:r>
      <w:r>
        <w:t xml:space="preserve">association.</w:t>
      </w:r>
    </w:p>
    <w:p>
      <w:pPr>
        <w:pStyle w:val="BodyText"/>
      </w:pPr>
      <w:r>
        <w:rPr>
          <w:rStyle w:val="VerbatimChar"/>
        </w:rPr>
        <w:t xml:space="preserve">is_rct</w:t>
      </w:r>
      <w:r>
        <w:t xml:space="preserve"> </w:t>
      </w:r>
      <w:r>
        <w:t xml:space="preserve">and</w:t>
      </w:r>
      <w:r>
        <w:t xml:space="preserve"> </w:t>
      </w:r>
      <w:r>
        <w:rPr>
          <w:rStyle w:val="VerbatimChar"/>
        </w:rPr>
        <w:t xml:space="preserve">n_authors</w:t>
      </w:r>
      <w:r>
        <w:t xml:space="preserve"> </w:t>
      </w:r>
      <w:r>
        <w:t xml:space="preserve">survive, at 93.2% and 88.6% bootstrap retention. They</w:t>
      </w:r>
      <w:r>
        <w:t xml:space="preserve"> </w:t>
      </w:r>
      <w:r>
        <w:t xml:space="preserve">were never affiliation-derived and they do not move.</w:t>
      </w:r>
    </w:p>
    <w:bookmarkEnd w:id="236"/>
    <w:bookmarkStart w:id="237" w:name="X4590b6dd92ead22b7ab6d675fab63ab7b74b5f8"/>
    <w:p>
      <w:pPr>
        <w:pStyle w:val="Heading3"/>
      </w:pPr>
      <w:r>
        <w:t xml:space="preserve">A21.4 A second proportional-hazards violator</w:t>
      </w:r>
    </w:p>
    <w:p>
      <w:pPr>
        <w:pStyle w:val="FirstParagraph"/>
      </w:pPr>
      <w:r>
        <w:t xml:space="preserve">The global Schoenfeld test moves from p = 0.043 to</w:t>
      </w:r>
      <w:r>
        <w:t xml:space="preserve"> </w:t>
      </w:r>
      <w:r>
        <w:rPr>
          <w:b/>
          <w:bCs/>
        </w:rPr>
        <w:t xml:space="preserve">p = 0.010</w:t>
      </w:r>
      <w:r>
        <w:t xml:space="preserve">, and the</w:t>
      </w:r>
      <w:r>
        <w:t xml:space="preserve"> </w:t>
      </w:r>
      <w:r>
        <w:t xml:space="preserve">violation is no longer confined to one term:</w:t>
      </w:r>
      <w:r>
        <w:t xml:space="preserve"> </w:t>
      </w:r>
      <w:r>
        <w:rPr>
          <w:rStyle w:val="VerbatimChar"/>
        </w:rPr>
        <w:t xml:space="preserve">is_us_based</w:t>
      </w:r>
      <w:r>
        <w:t xml:space="preserve"> </w:t>
      </w:r>
      <w:r>
        <w:t xml:space="preserve">now violates at</w:t>
      </w:r>
      <w:r>
        <w:t xml:space="preserve"> </w:t>
      </w:r>
      <w:r>
        <w:t xml:space="preserve">p = 0.005 alongside</w:t>
      </w:r>
      <w:r>
        <w:t xml:space="preserve"> </w:t>
      </w:r>
      <w:r>
        <w:rPr>
          <w:rStyle w:val="VerbatimChar"/>
        </w:rPr>
        <w:t xml:space="preserve">n_authors</w:t>
      </w:r>
      <w:r>
        <w:t xml:space="preserve"> </w:t>
      </w:r>
      <w:r>
        <w:t xml:space="preserve">at p = 0.003.</w:t>
      </w:r>
    </w:p>
    <w:p>
      <w:pPr>
        <w:pStyle w:val="BodyText"/>
      </w:pPr>
      <w:r>
        <w:t xml:space="preserve">The remediation handled this without modification, which is what the generic</w:t>
      </w:r>
      <w:r>
        <w:t xml:space="preserve"> </w:t>
      </w:r>
      <w:r>
        <w:t xml:space="preserve">implementation was written for. It reads the violating set from</w:t>
      </w:r>
      <w:r>
        <w:t xml:space="preserve"> </w:t>
      </w:r>
      <w:r>
        <w:rPr>
          <w:rStyle w:val="VerbatimChar"/>
        </w:rPr>
        <w:t xml:space="preserve">cox.zph</w:t>
      </w:r>
      <w:r>
        <w:t xml:space="preserve"> </w:t>
      </w:r>
      <w:r>
        <w:t xml:space="preserve">and</w:t>
      </w:r>
      <w:r>
        <w:t xml:space="preserve"> </w:t>
      </w:r>
      <w:r>
        <w:t xml:space="preserve">chooses by type:</w:t>
      </w:r>
      <w:r>
        <w:t xml:space="preserve"> </w:t>
      </w:r>
      <w:r>
        <w:rPr>
          <w:rStyle w:val="VerbatimChar"/>
        </w:rPr>
        <w:t xml:space="preserve">n_authors</w:t>
      </w:r>
      <w:r>
        <w:t xml:space="preserve"> </w:t>
      </w:r>
      <w:r>
        <w:t xml:space="preserve">is numeric and takes a log-time interaction,</w:t>
      </w:r>
      <w:r>
        <w:t xml:space="preserve"> </w:t>
      </w:r>
      <w:r>
        <w:rPr>
          <w:rStyle w:val="VerbatimChar"/>
        </w:rPr>
        <w:t xml:space="preserve">is_us_based</w:t>
      </w:r>
      <w:r>
        <w:t xml:space="preserve"> </w:t>
      </w:r>
      <w:r>
        <w:t xml:space="preserve">is logical and moves into</w:t>
      </w:r>
      <w:r>
        <w:t xml:space="preserve"> </w:t>
      </w:r>
      <w:r>
        <w:rPr>
          <w:rStyle w:val="VerbatimChar"/>
        </w:rPr>
        <w:t xml:space="preserve">strata()</w:t>
      </w:r>
      <w:r>
        <w:t xml:space="preserve">. Stratifying on both</w:t>
      </w:r>
      <w:r>
        <w:t xml:space="preserve"> </w:t>
      </w:r>
      <w:r>
        <w:t xml:space="preserve">restores the global test to p = 0.607.</w:t>
      </w:r>
    </w:p>
    <w:p>
      <w:pPr>
        <w:pStyle w:val="BodyText"/>
      </w:pPr>
      <w:r>
        <w:t xml:space="preserve">The diagnostics script did need fixing. It assumed a single numeric violator</w:t>
      </w:r>
      <w:r>
        <w:t xml:space="preserve"> </w:t>
      </w:r>
      <w:r>
        <w:t xml:space="preserve">and took</w:t>
      </w:r>
      <w:r>
        <w:t xml:space="preserve"> </w:t>
      </w:r>
      <w:r>
        <w:rPr>
          <w:rStyle w:val="VerbatimChar"/>
        </w:rPr>
        <w:t xml:space="preserve">violators[1]</w:t>
      </w:r>
      <w:r>
        <w:t xml:space="preserve">, which with two violators selected the categorical one</w:t>
      </w:r>
      <w:r>
        <w:t xml:space="preserve"> </w:t>
      </w:r>
      <w:r>
        <w:t xml:space="preserve">and silently produced no AIC or ceiling metrics at all. It now selects the</w:t>
      </w:r>
      <w:r>
        <w:t xml:space="preserve"> </w:t>
      </w:r>
      <w:r>
        <w:t xml:space="preserve">first numeric violator for those metrics, reports how many terms violate, and</w:t>
      </w:r>
      <w:r>
        <w:t xml:space="preserve"> </w:t>
      </w:r>
      <w:r>
        <w:t xml:space="preserve">computes the</w:t>
      </w:r>
      <w:r>
        <w:t xml:space="preserve"> </w:t>
      </w:r>
      <w:r>
        <w:t xml:space="preserve">“without violator”</w:t>
      </w:r>
      <w:r>
        <w:t xml:space="preserve"> </w:t>
      </w:r>
      <w:r>
        <w:t xml:space="preserve">refit by dropping every violating term rather</w:t>
      </w:r>
      <w:r>
        <w:t xml:space="preserve"> </w:t>
      </w:r>
      <w:r>
        <w:t xml:space="preserve">than one.</w:t>
      </w:r>
    </w:p>
    <w:bookmarkEnd w:id="237"/>
    <w:bookmarkStart w:id="238" w:name="X42642850baf814f4018ce72226e7a9fa8056c27"/>
    <w:p>
      <w:pPr>
        <w:pStyle w:val="Heading3"/>
      </w:pPr>
      <w:r>
        <w:t xml:space="preserve">A21.5 What was audited and deliberately not changed</w:t>
      </w:r>
    </w:p>
    <w:p>
      <w:pPr>
        <w:pStyle w:val="FirstParagraph"/>
      </w:pPr>
      <w:r>
        <w:rPr>
          <w:rStyle w:val="VerbatimChar"/>
        </w:rPr>
        <w:t xml:space="preserve">n_affiliations</w:t>
      </w:r>
      <w:r>
        <w:t xml:space="preserve"> </w:t>
      </w:r>
      <w:r>
        <w:t xml:space="preserve">is now recorded from the source: mean 2.37 institutions per</w:t>
      </w:r>
      <w:r>
        <w:t xml:space="preserve"> </w:t>
      </w:r>
      <w:r>
        <w:t xml:space="preserve">abstract, 679 abstracts naming more than one.</w:t>
      </w:r>
    </w:p>
    <w:p>
      <w:pPr>
        <w:pStyle w:val="BodyText"/>
      </w:pPr>
      <w:r>
        <w:rPr>
          <w:rStyle w:val="VerbatimChar"/>
        </w:rPr>
        <w:t xml:space="preserve">is_multicenter</w:t>
      </w:r>
      <w:r>
        <w:t xml:space="preserve"> </w:t>
      </w:r>
      <w:r>
        <w:t xml:space="preserve">is unchanged at 65 abstracts, and the gap is deliberate. More</w:t>
      </w:r>
      <w:r>
        <w:t xml:space="preserve"> </w:t>
      </w:r>
      <w:r>
        <w:t xml:space="preserve">than one affiliation on a paper is not the same as a multicentre study: a</w:t>
      </w:r>
      <w:r>
        <w:t xml:space="preserve"> </w:t>
      </w:r>
      <w:r>
        <w:t xml:space="preserve">single-centre study routinely lists authors from several institutions, and a</w:t>
      </w:r>
      <w:r>
        <w:t xml:space="preserve"> </w:t>
      </w:r>
      <w:r>
        <w:t xml:space="preserve">collaborator’s home department is not a study site. Redefining</w:t>
      </w:r>
      <w:r>
        <w:t xml:space="preserve"> </w:t>
      </w:r>
      <w:r>
        <w:rPr>
          <w:rStyle w:val="VerbatimChar"/>
        </w:rPr>
        <w:t xml:space="preserve">is_multicenter</w:t>
      </w:r>
      <w:r>
        <w:t xml:space="preserve"> </w:t>
      </w:r>
      <w:r>
        <w:t xml:space="preserve">as</w:t>
      </w:r>
      <w:r>
        <w:t xml:space="preserve"> </w:t>
      </w:r>
      <w:r>
        <w:rPr>
          <w:rStyle w:val="VerbatimChar"/>
        </w:rPr>
        <w:t xml:space="preserve">n_affiliations &gt; 1</w:t>
      </w:r>
      <w:r>
        <w:t xml:space="preserve"> </w:t>
      </w:r>
      <w:r>
        <w:t xml:space="preserve">would take it from 65 to 679 and</w:t>
      </w:r>
      <w:r>
        <w:t xml:space="preserve"> </w:t>
      </w:r>
      <w:r>
        <w:t xml:space="preserve">change what the variable means, which is a decision about the estimand rather</w:t>
      </w:r>
      <w:r>
        <w:t xml:space="preserve"> </w:t>
      </w:r>
      <w:r>
        <w:t xml:space="preserve">than a measurement repair. It is left as text-derived and flagged.</w:t>
      </w:r>
    </w:p>
    <w:bookmarkEnd w:id="238"/>
    <w:bookmarkEnd w:id="239"/>
    <w:bookmarkStart w:id="244" w:name="a22.-is_multicenter-stays-a-text-claim"/>
    <w:p>
      <w:pPr>
        <w:pStyle w:val="Heading2"/>
      </w:pPr>
      <w:r>
        <w:t xml:space="preserve">A22.</w:t>
      </w:r>
      <w:r>
        <w:t xml:space="preserve"> </w:t>
      </w:r>
      <w:r>
        <w:rPr>
          <w:rStyle w:val="VerbatimChar"/>
        </w:rPr>
        <w:t xml:space="preserve">is_multicenter</w:t>
      </w:r>
      <w:r>
        <w:t xml:space="preserve"> </w:t>
      </w:r>
      <w:r>
        <w:t xml:space="preserve">Stays a Text Claim</w:t>
      </w:r>
    </w:p>
    <w:p>
      <w:pPr>
        <w:pStyle w:val="FirstParagraph"/>
      </w:pPr>
      <w:r>
        <w:rPr>
          <w:b/>
          <w:bCs/>
        </w:rPr>
        <w:t xml:space="preserve">PI decision, 2026-09-05: leave</w:t>
      </w:r>
      <w:r>
        <w:rPr>
          <w:b/>
          <w:bCs/>
        </w:rPr>
        <w:t xml:space="preserve"> </w:t>
      </w:r>
      <w:r>
        <w:rPr>
          <w:rStyle w:val="VerbatimChar"/>
          <w:b/>
          <w:bCs/>
        </w:rPr>
        <w:t xml:space="preserve">is_multicenter</w:t>
      </w:r>
      <w:r>
        <w:rPr>
          <w:b/>
          <w:bCs/>
        </w:rPr>
        <w:t xml:space="preserve"> </w:t>
      </w:r>
      <w:r>
        <w:rPr>
          <w:b/>
          <w:bCs/>
        </w:rPr>
        <w:t xml:space="preserve">as it is.</w:t>
      </w:r>
      <w:r>
        <w:t xml:space="preserve"> </w:t>
      </w:r>
      <w:r>
        <w:t xml:space="preserve">No code changed;</w:t>
      </w:r>
      <w:r>
        <w:t xml:space="preserve"> </w:t>
      </w:r>
      <w:r>
        <w:t xml:space="preserve">this records why, so the question is not reopened by the next person who</w:t>
      </w:r>
      <w:r>
        <w:t xml:space="preserve"> </w:t>
      </w:r>
      <w:r>
        <w:t xml:space="preserve">notices the gap.</w:t>
      </w:r>
    </w:p>
    <w:bookmarkStart w:id="240" w:name="a22.1-the-gap-that-prompted-the-question"/>
    <w:p>
      <w:pPr>
        <w:pStyle w:val="Heading3"/>
      </w:pPr>
      <w:r>
        <w:t xml:space="preserve">A22.1 The gap that prompted the question</w:t>
      </w:r>
    </w:p>
    <w:p>
      <w:pPr>
        <w:pStyle w:val="FirstParagraph"/>
      </w:pPr>
      <w:r>
        <w:t xml:space="preserve">A21 recovered author affiliations for 98.7% of the cohort, which made a</w:t>
      </w:r>
      <w:r>
        <w:t xml:space="preserve"> </w:t>
      </w:r>
      <w:r>
        <w:t xml:space="preserve">competing definition available for the first time. The two disagree in size: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jc w:val="right"/>
            </w:pPr>
            <w:r>
              <w:t xml:space="preserve">n</w:t>
            </w:r>
          </w:p>
        </w:tc>
      </w:tr>
      <w:tr>
        <w:tc>
          <w:tcPr/>
          <w:p>
            <w:pPr>
              <w:pStyle w:val="Compact"/>
            </w:pPr>
            <w:r>
              <w:rPr>
                <w:rStyle w:val="VerbatimChar"/>
              </w:rPr>
              <w:t xml:space="preserve">is_multicenter</w:t>
            </w:r>
            <w:r>
              <w:t xml:space="preserve"> </w:t>
            </w:r>
            <w:r>
              <w:t xml:space="preserve">(abstract says so)</w:t>
            </w:r>
          </w:p>
        </w:tc>
        <w:tc>
          <w:tcPr/>
          <w:p>
            <w:pPr>
              <w:pStyle w:val="Compact"/>
              <w:jc w:val="right"/>
            </w:pPr>
            <w:r>
              <w:t xml:space="preserve">65</w:t>
            </w:r>
          </w:p>
        </w:tc>
      </w:tr>
      <w:tr>
        <w:tc>
          <w:tcPr/>
          <w:p>
            <w:pPr>
              <w:pStyle w:val="Compact"/>
            </w:pPr>
            <w:r>
              <w:t xml:space="preserve">more than one affiliation named</w:t>
            </w:r>
          </w:p>
        </w:tc>
        <w:tc>
          <w:tcPr/>
          <w:p>
            <w:pPr>
              <w:pStyle w:val="Compact"/>
              <w:jc w:val="right"/>
            </w:pPr>
            <w:r>
              <w:t xml:space="preserve">679</w:t>
            </w:r>
          </w:p>
        </w:tc>
      </w:tr>
      <w:tr>
        <w:tc>
          <w:tcPr/>
          <w:p>
            <w:pPr>
              <w:pStyle w:val="Compact"/>
            </w:pPr>
            <w:r>
              <w:t xml:space="preserve">both</w:t>
            </w:r>
          </w:p>
        </w:tc>
        <w:tc>
          <w:tcPr/>
          <w:p>
            <w:pPr>
              <w:pStyle w:val="Compact"/>
              <w:jc w:val="right"/>
            </w:pPr>
            <w:r>
              <w:t xml:space="preserve">58</w:t>
            </w:r>
          </w:p>
        </w:tc>
      </w:tr>
      <w:tr>
        <w:tc>
          <w:tcPr/>
          <w:p>
            <w:pPr>
              <w:pStyle w:val="Compact"/>
            </w:pPr>
            <w:r>
              <w:t xml:space="preserve">says multicentre, one affiliation</w:t>
            </w:r>
          </w:p>
        </w:tc>
        <w:tc>
          <w:tcPr/>
          <w:p>
            <w:pPr>
              <w:pStyle w:val="Compact"/>
              <w:jc w:val="right"/>
            </w:pPr>
            <w:r>
              <w:t xml:space="preserve">7</w:t>
            </w:r>
          </w:p>
        </w:tc>
      </w:tr>
    </w:tbl>
    <w:p>
      <w:pPr>
        <w:pStyle w:val="BodyText"/>
      </w:pPr>
      <w:r>
        <w:t xml:space="preserve">Fifty-eight of the 65 also name several institutions, so the measures agree</w:t>
      </w:r>
      <w:r>
        <w:t xml:space="preserve"> </w:t>
      </w:r>
      <w:r>
        <w:t xml:space="preserve">wherever the text is explicit. The 621 that name several institutions without</w:t>
      </w:r>
      <w:r>
        <w:t xml:space="preserve"> </w:t>
      </w:r>
      <w:r>
        <w:t xml:space="preserve">using the word are where they part.</w:t>
      </w:r>
    </w:p>
    <w:bookmarkEnd w:id="240"/>
    <w:bookmarkStart w:id="241" w:name="X3c806eb206b47a3dfc0a0501ee3ac46aec5e2b1"/>
    <w:p>
      <w:pPr>
        <w:pStyle w:val="Heading3"/>
      </w:pPr>
      <w:r>
        <w:t xml:space="preserve">A22.2 Why the larger number is not the better one</w:t>
      </w:r>
    </w:p>
    <w:p>
      <w:pPr>
        <w:pStyle w:val="FirstParagraph"/>
      </w:pPr>
      <w:r>
        <w:t xml:space="preserve">They measure different things.</w:t>
      </w:r>
      <w:r>
        <w:t xml:space="preserve"> </w:t>
      </w:r>
      <w:r>
        <w:rPr>
          <w:rStyle w:val="VerbatimChar"/>
        </w:rPr>
        <w:t xml:space="preserve">is_multicenter</w:t>
      </w:r>
      <w:r>
        <w:t xml:space="preserve"> </w:t>
      </w:r>
      <w:r>
        <w:t xml:space="preserve">is a claim about</w:t>
      </w:r>
      <w:r>
        <w:t xml:space="preserve"> </w:t>
      </w:r>
      <w:r>
        <w:rPr>
          <w:b/>
          <w:bCs/>
        </w:rPr>
        <w:t xml:space="preserve">study</w:t>
      </w:r>
      <w:r>
        <w:rPr>
          <w:b/>
          <w:bCs/>
        </w:rPr>
        <w:t xml:space="preserve"> </w:t>
      </w:r>
      <w:r>
        <w:rPr>
          <w:b/>
          <w:bCs/>
        </w:rPr>
        <w:t xml:space="preserve">design</w:t>
      </w:r>
      <w:r>
        <w:t xml:space="preserve">: the work was conducted at more than one site. Affiliation count is a</w:t>
      </w:r>
      <w:r>
        <w:t xml:space="preserve"> </w:t>
      </w:r>
      <w:r>
        <w:t xml:space="preserve">fact about</w:t>
      </w:r>
      <w:r>
        <w:t xml:space="preserve"> </w:t>
      </w:r>
      <w:r>
        <w:rPr>
          <w:b/>
          <w:bCs/>
        </w:rPr>
        <w:t xml:space="preserve">authorship</w:t>
      </w:r>
      <w:r>
        <w:t xml:space="preserve">: the people on the paper work at more than one</w:t>
      </w:r>
      <w:r>
        <w:t xml:space="preserve"> </w:t>
      </w:r>
      <w:r>
        <w:t xml:space="preserve">institution. A single-centre study with a statistician from another university</w:t>
      </w:r>
      <w:r>
        <w:t xml:space="preserve"> </w:t>
      </w:r>
      <w:r>
        <w:t xml:space="preserve">satisfies the second and not the first, and that arrangement is routine.</w:t>
      </w:r>
    </w:p>
    <w:p>
      <w:pPr>
        <w:pStyle w:val="BodyText"/>
      </w:pPr>
      <w:r>
        <w:t xml:space="preserve">Redefining the variable would take it from 65 to 679 and convert it from a</w:t>
      </w:r>
      <w:r>
        <w:t xml:space="preserve"> </w:t>
      </w:r>
      <w:r>
        <w:t xml:space="preserve">design measure into a collaboration-breadth measure while keeping the name.</w:t>
      </w:r>
      <w:r>
        <w:t xml:space="preserve"> </w:t>
      </w:r>
      <w:r>
        <w:t xml:space="preserve">That is a change to what is being estimated, not a repair of how it is</w:t>
      </w:r>
      <w:r>
        <w:t xml:space="preserve"> </w:t>
      </w:r>
      <w:r>
        <w:t xml:space="preserve">measured, and it is the opposite of what A21 did: A21 kept the construct and</w:t>
      </w:r>
      <w:r>
        <w:t xml:space="preserve"> </w:t>
      </w:r>
      <w:r>
        <w:t xml:space="preserve">fixed the instrument.</w:t>
      </w:r>
    </w:p>
    <w:bookmarkEnd w:id="241"/>
    <w:bookmarkStart w:id="242" w:name="X6e83b59574f98a106370011b02de62feafb2def"/>
    <w:p>
      <w:pPr>
        <w:pStyle w:val="Heading3"/>
      </w:pPr>
      <w:r>
        <w:t xml:space="preserve">A22.3 What the decision costs, stated plainly</w:t>
      </w:r>
    </w:p>
    <w:p>
      <w:pPr>
        <w:pStyle w:val="FirstParagraph"/>
      </w:pPr>
      <w:r>
        <w:t xml:space="preserve">The retained definition reads the abstract body, which is the same class of</w:t>
      </w:r>
      <w:r>
        <w:t xml:space="preserve"> </w:t>
      </w:r>
      <w:r>
        <w:t xml:space="preserve">instrument that produced the</w:t>
      </w:r>
      <w:r>
        <w:t xml:space="preserve"> </w:t>
      </w:r>
      <w:r>
        <w:rPr>
          <w:rStyle w:val="VerbatimChar"/>
        </w:rPr>
        <w:t xml:space="preserve">is_academic</w:t>
      </w:r>
      <w:r>
        <w:t xml:space="preserve"> </w:t>
      </w:r>
      <w:r>
        <w:t xml:space="preserve">artefact. Two consequences follow</w:t>
      </w:r>
      <w:r>
        <w:t xml:space="preserve"> </w:t>
      </w:r>
      <w:r>
        <w:t xml:space="preserve">and both are limitations of the study rather than defects to be fixed:</w:t>
      </w:r>
    </w:p>
    <w:p>
      <w:pPr>
        <w:pStyle w:val="Compact"/>
        <w:numPr>
          <w:ilvl w:val="0"/>
          <w:numId w:val="1013"/>
        </w:numPr>
      </w:pPr>
      <w:r>
        <w:t xml:space="preserve">It</w:t>
      </w:r>
      <w:r>
        <w:t xml:space="preserve"> </w:t>
      </w:r>
      <w:r>
        <w:rPr>
          <w:b/>
          <w:bCs/>
        </w:rPr>
        <w:t xml:space="preserve">under-counts</w:t>
      </w:r>
      <w:r>
        <w:t xml:space="preserve">. A two-site study that never writes</w:t>
      </w:r>
      <w:r>
        <w:t xml:space="preserve"> </w:t>
      </w:r>
      <w:r>
        <w:t xml:space="preserve">“multicentre”</w:t>
      </w:r>
      <w:r>
        <w:t xml:space="preserve"> </w:t>
      </w:r>
      <w:r>
        <w:t xml:space="preserve">is</w:t>
      </w:r>
      <w:r>
        <w:t xml:space="preserve"> </w:t>
      </w:r>
      <w:r>
        <w:t xml:space="preserve">recorded FALSE. There is no way to know how many, because the design is not</w:t>
      </w:r>
      <w:r>
        <w:t xml:space="preserve"> </w:t>
      </w:r>
      <w:r>
        <w:t xml:space="preserve">stated in a structured field anywhere in the source.</w:t>
      </w:r>
    </w:p>
    <w:p>
      <w:pPr>
        <w:pStyle w:val="Compact"/>
        <w:numPr>
          <w:ilvl w:val="0"/>
          <w:numId w:val="1013"/>
        </w:numPr>
      </w:pPr>
      <w:r>
        <w:t xml:space="preserve">It is</w:t>
      </w:r>
      <w:r>
        <w:t xml:space="preserve"> </w:t>
      </w:r>
      <w:r>
        <w:rPr>
          <w:b/>
          <w:bCs/>
        </w:rPr>
        <w:t xml:space="preserve">unavailable where the text is</w:t>
      </w:r>
      <w:r>
        <w:t xml:space="preserve">. 2017 and 2018 have no recoverable</w:t>
      </w:r>
      <w:r>
        <w:t xml:space="preserve"> </w:t>
      </w:r>
      <w:r>
        <w:t xml:space="preserve">abstract text, so their abstracts cannot express the claim and are FALSE by</w:t>
      </w:r>
      <w:r>
        <w:t xml:space="preserve"> </w:t>
      </w:r>
      <w:r>
        <w:t xml:space="preserve">absence, exactly the pattern A21 removed from</w:t>
      </w:r>
      <w:r>
        <w:t xml:space="preserve"> </w:t>
      </w:r>
      <w:r>
        <w:rPr>
          <w:rStyle w:val="VerbatimChar"/>
        </w:rPr>
        <w:t xml:space="preserve">is_academic</w:t>
      </w:r>
      <w:r>
        <w:t xml:space="preserve">.</w:t>
      </w:r>
    </w:p>
    <w:p>
      <w:pPr>
        <w:pStyle w:val="FirstParagraph"/>
      </w:pPr>
      <w:r>
        <w:t xml:space="preserve">The second is the more serious and is not remedied here. The variable is not</w:t>
      </w:r>
      <w:r>
        <w:t xml:space="preserve"> </w:t>
      </w:r>
      <w:r>
        <w:t xml:space="preserve">significant in either model (HR 1.361, p = 0.265), so no reported conclusion</w:t>
      </w:r>
      <w:r>
        <w:t xml:space="preserve"> </w:t>
      </w:r>
      <w:r>
        <w:t xml:space="preserve">rests on it; if one ever did, this limitation would need addressing first.</w:t>
      </w:r>
    </w:p>
    <w:bookmarkEnd w:id="242"/>
    <w:bookmarkStart w:id="243" w:name="a22.4-what-was-not-adopted"/>
    <w:p>
      <w:pPr>
        <w:pStyle w:val="Heading3"/>
      </w:pPr>
      <w:r>
        <w:t xml:space="preserve">A22.4 What was not adopted</w:t>
      </w:r>
    </w:p>
    <w:p>
      <w:pPr>
        <w:pStyle w:val="FirstParagraph"/>
      </w:pPr>
      <w:r>
        <w:rPr>
          <w:rStyle w:val="VerbatimChar"/>
        </w:rPr>
        <w:t xml:space="preserve">n_affiliations</w:t>
      </w:r>
      <w:r>
        <w:t xml:space="preserve"> </w:t>
      </w:r>
      <w:r>
        <w:t xml:space="preserve">is computed in</w:t>
      </w:r>
      <w:r>
        <w:t xml:space="preserve"> </w:t>
      </w:r>
      <w:r>
        <w:rPr>
          <w:rStyle w:val="VerbatimChar"/>
        </w:rPr>
        <w:t xml:space="preserve">data/processed/abstracts_cleaned.csv</w:t>
      </w:r>
      <w:r>
        <w:t xml:space="preserve"> </w:t>
      </w:r>
      <w:r>
        <w:t xml:space="preserve">and is</w:t>
      </w:r>
      <w:r>
        <w:t xml:space="preserve"> </w:t>
      </w:r>
      <w:r>
        <w:rPr>
          <w:b/>
          <w:bCs/>
        </w:rPr>
        <w:t xml:space="preserve">not</w:t>
      </w:r>
      <w:r>
        <w:t xml:space="preserve"> </w:t>
      </w:r>
      <w:r>
        <w:t xml:space="preserve">carried into the analytical dataset, which remains 93 columns. Under</w:t>
      </w:r>
      <w:r>
        <w:t xml:space="preserve"> </w:t>
      </w:r>
      <w:r>
        <w:t xml:space="preserve">this decision nothing needs it. It is retained at that stage as the evidence</w:t>
      </w:r>
      <w:r>
        <w:t xml:space="preserve"> </w:t>
      </w:r>
      <w:r>
        <w:t xml:space="preserve">behind the table above, and propagating it would be a schema change to serve a</w:t>
      </w:r>
      <w:r>
        <w:t xml:space="preserve"> </w:t>
      </w:r>
      <w:r>
        <w:t xml:space="preserve">definition that was not adopted.</w:t>
      </w:r>
    </w:p>
    <w:bookmarkEnd w:id="243"/>
    <w:bookmarkEnd w:id="244"/>
    <w:bookmarkStart w:id="250" w:name="X483ace9db0f67a34e1c9743f2fb173f9d3bf059"/>
    <w:p>
      <w:pPr>
        <w:pStyle w:val="Heading2"/>
      </w:pPr>
      <w:r>
        <w:t xml:space="preserve">A23. Cohort Truncation: What Can and Cannot Be Established</w:t>
      </w:r>
    </w:p>
    <w:p>
      <w:pPr>
        <w:pStyle w:val="FirstParagraph"/>
      </w:pPr>
      <w:r>
        <w:t xml:space="preserve">A14 recorded that the pipeline holds 1,154 of 7,711 supplement items and that</w:t>
      </w:r>
      <w:r>
        <w:t xml:space="preserve"> </w:t>
      </w:r>
      <w:r>
        <w:t xml:space="preserve">re-ingestion would require redoing the search and the adjudication. This</w:t>
      </w:r>
      <w:r>
        <w:t xml:space="preserve"> </w:t>
      </w:r>
      <w:r>
        <w:t xml:space="preserve">appendix goes further: it establishes what the truncation does to the estimate,</w:t>
      </w:r>
      <w:r>
        <w:t xml:space="preserve"> </w:t>
      </w:r>
      <w:r>
        <w:t xml:space="preserve">and which sources were tried and rejected for closing it.</w:t>
      </w:r>
    </w:p>
    <w:p>
      <w:pPr>
        <w:pStyle w:val="BodyText"/>
      </w:pPr>
      <w:r>
        <w:t xml:space="preserve">Nothing here changes a reported number. The cohort remains 1,106 abstracts.</w:t>
      </w:r>
    </w:p>
    <w:bookmarkStart w:id="245" w:name="X9edc2b8eaa0ebcdd72d4b4bcbb38790dd14e1bb"/>
    <w:p>
      <w:pPr>
        <w:pStyle w:val="Heading3"/>
      </w:pPr>
      <w:r>
        <w:t xml:space="preserve">A23.1 The captured set is not a random sample</w:t>
      </w:r>
    </w:p>
    <w:p>
      <w:pPr>
        <w:pStyle w:val="FirstParagraph"/>
      </w:pPr>
      <w:r>
        <w:rPr>
          <w:rStyle w:val="VerbatimChar"/>
        </w:rPr>
        <w:t xml:space="preserve">R/01b_parse_web.R</w:t>
      </w:r>
      <w:r>
        <w:t xml:space="preserve"> </w:t>
      </w:r>
      <w:r>
        <w:t xml:space="preserve">fetches one issue-listing page per congress. Offset</w:t>
      </w:r>
      <w:r>
        <w:t xml:space="preserve"> </w:t>
      </w:r>
      <w:r>
        <w:t xml:space="preserve">pagination is attempted only when a page returns exactly 100 items, and</w:t>
      </w:r>
      <w:r>
        <w:t xml:space="preserve"> </w:t>
      </w:r>
      <w:r>
        <w:t xml:space="preserve">ScienceDirect returns the same page for every offset, so the loop breaks on the</w:t>
      </w:r>
      <w:r>
        <w:t xml:space="preserve"> </w:t>
      </w:r>
      <w:r>
        <w:t xml:space="preserve">first iteration. Each congress is capped at roughly 100 presentations.</w:t>
      </w:r>
    </w:p>
    <w:p>
      <w:pPr>
        <w:pStyle w:val="BodyText"/>
      </w:pPr>
      <w:r>
        <w:t xml:space="preserve">The consequence is structural rather than statistical. The cohort is the</w:t>
      </w:r>
      <w:r>
        <w:t xml:space="preserve"> </w:t>
      </w:r>
      <w:r>
        <w:rPr>
          <w:b/>
          <w:bCs/>
        </w:rPr>
        <w:t xml:space="preserve">first N pages of each supplement in printed order</w:t>
      </w:r>
      <w:r>
        <w:t xml:space="preserve">, not a sample drawn from</w:t>
      </w:r>
      <w:r>
        <w:t xml:space="preserve"> </w:t>
      </w:r>
      <w:r>
        <w:t xml:space="preserve">it. Captured page ranges end at S26 to S60 against supplements running to S136</w:t>
      </w:r>
      <w:r>
        <w:t xml:space="preserve"> </w:t>
      </w:r>
      <w:r>
        <w:t xml:space="preserve">to S286.</w:t>
      </w:r>
    </w:p>
    <w:bookmarkEnd w:id="245"/>
    <w:bookmarkStart w:id="246" w:name="X6bc036b7a2b98db73ce0ef3852a1625b19e77b9"/>
    <w:p>
      <w:pPr>
        <w:pStyle w:val="Heading3"/>
      </w:pPr>
      <w:r>
        <w:t xml:space="preserve">A23.2 The bias has a measurable direction</w:t>
      </w:r>
    </w:p>
    <w:p>
      <w:pPr>
        <w:pStyle w:val="FirstParagraph"/>
      </w:pPr>
      <w:r>
        <w:rPr>
          <w:rStyle w:val="VerbatimChar"/>
        </w:rPr>
        <w:t xml:space="preserve">scripts/cohort_truncation_bias.R</w:t>
      </w:r>
      <w:r>
        <w:t xml:space="preserve"> </w:t>
      </w:r>
      <w:r>
        <w:t xml:space="preserve">tests whether publication varies with</w:t>
      </w:r>
      <w:r>
        <w:t xml:space="preserve"> </w:t>
      </w:r>
      <w:r>
        <w:t xml:space="preserve">position inside the window that was captured.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position quintile</w:t>
            </w:r>
          </w:p>
        </w:tc>
        <w:tc>
          <w:tcPr/>
          <w:p>
            <w:pPr>
              <w:pStyle w:val="Compact"/>
              <w:jc w:val="right"/>
            </w:pPr>
            <w:r>
              <w:t xml:space="preserve">n</w:t>
            </w:r>
          </w:p>
        </w:tc>
        <w:tc>
          <w:tcPr/>
          <w:p>
            <w:pPr>
              <w:pStyle w:val="Compact"/>
              <w:jc w:val="right"/>
            </w:pPr>
            <w:r>
              <w:t xml:space="preserve">published</w:t>
            </w:r>
          </w:p>
        </w:tc>
        <w:tc>
          <w:tcPr/>
          <w:p>
            <w:pPr>
              <w:pStyle w:val="Compact"/>
              <w:jc w:val="right"/>
            </w:pPr>
            <w:r>
              <w:t xml:space="preserve">rate</w:t>
            </w:r>
          </w:p>
        </w:tc>
        <w:tc>
          <w:tcPr/>
          <w:p>
            <w:pPr>
              <w:pStyle w:val="Compact"/>
              <w:jc w:val="right"/>
            </w:pPr>
            <w:r>
              <w:t xml:space="preserve">% RCT</w:t>
            </w:r>
          </w:p>
        </w:tc>
      </w:tr>
      <w:tr>
        <w:tc>
          <w:tcPr/>
          <w:p>
            <w:pPr>
              <w:pStyle w:val="Compact"/>
              <w:jc w:val="right"/>
            </w:pPr>
            <w:r>
              <w:t xml:space="preserve">1 (earliest pages)</w:t>
            </w:r>
          </w:p>
        </w:tc>
        <w:tc>
          <w:tcPr/>
          <w:p>
            <w:pPr>
              <w:pStyle w:val="Compact"/>
              <w:jc w:val="right"/>
            </w:pPr>
            <w:r>
              <w:t xml:space="preserve">211</w:t>
            </w:r>
          </w:p>
        </w:tc>
        <w:tc>
          <w:tcPr/>
          <w:p>
            <w:pPr>
              <w:pStyle w:val="Compact"/>
              <w:jc w:val="right"/>
            </w:pPr>
            <w:r>
              <w:t xml:space="preserve">40</w:t>
            </w:r>
          </w:p>
        </w:tc>
        <w:tc>
          <w:tcPr/>
          <w:p>
            <w:pPr>
              <w:pStyle w:val="Compact"/>
              <w:jc w:val="right"/>
            </w:pPr>
            <w:r>
              <w:t xml:space="preserve">19.0%</w:t>
            </w:r>
          </w:p>
        </w:tc>
        <w:tc>
          <w:tcPr/>
          <w:p>
            <w:pPr>
              <w:pStyle w:val="Compact"/>
              <w:jc w:val="right"/>
            </w:pPr>
            <w:r>
              <w:t xml:space="preserve">9.5</w:t>
            </w:r>
          </w:p>
        </w:tc>
      </w:tr>
      <w:tr>
        <w:tc>
          <w:tcPr/>
          <w:p>
            <w:pPr>
              <w:pStyle w:val="Compact"/>
              <w:jc w:val="right"/>
            </w:pPr>
            <w:r>
              <w:t xml:space="preserve">2</w:t>
            </w:r>
          </w:p>
        </w:tc>
        <w:tc>
          <w:tcPr/>
          <w:p>
            <w:pPr>
              <w:pStyle w:val="Compact"/>
              <w:jc w:val="right"/>
            </w:pPr>
            <w:r>
              <w:t xml:space="preserve">210</w:t>
            </w:r>
          </w:p>
        </w:tc>
        <w:tc>
          <w:tcPr/>
          <w:p>
            <w:pPr>
              <w:pStyle w:val="Compact"/>
              <w:jc w:val="right"/>
            </w:pPr>
            <w:r>
              <w:t xml:space="preserve">34</w:t>
            </w:r>
          </w:p>
        </w:tc>
        <w:tc>
          <w:tcPr/>
          <w:p>
            <w:pPr>
              <w:pStyle w:val="Compact"/>
              <w:jc w:val="right"/>
            </w:pPr>
            <w:r>
              <w:t xml:space="preserve">16.2%</w:t>
            </w:r>
          </w:p>
        </w:tc>
        <w:tc>
          <w:tcPr/>
          <w:p>
            <w:pPr>
              <w:pStyle w:val="Compact"/>
              <w:jc w:val="right"/>
            </w:pPr>
            <w:r>
              <w:t xml:space="preserve">6.2</w:t>
            </w:r>
          </w:p>
        </w:tc>
      </w:tr>
      <w:tr>
        <w:tc>
          <w:tcPr/>
          <w:p>
            <w:pPr>
              <w:pStyle w:val="Compact"/>
              <w:jc w:val="right"/>
            </w:pPr>
            <w:r>
              <w:t xml:space="preserve">3</w:t>
            </w:r>
          </w:p>
        </w:tc>
        <w:tc>
          <w:tcPr/>
          <w:p>
            <w:pPr>
              <w:pStyle w:val="Compact"/>
              <w:jc w:val="right"/>
            </w:pPr>
            <w:r>
              <w:t xml:space="preserve">210</w:t>
            </w:r>
          </w:p>
        </w:tc>
        <w:tc>
          <w:tcPr/>
          <w:p>
            <w:pPr>
              <w:pStyle w:val="Compact"/>
              <w:jc w:val="right"/>
            </w:pPr>
            <w:r>
              <w:t xml:space="preserve">41</w:t>
            </w:r>
          </w:p>
        </w:tc>
        <w:tc>
          <w:tcPr/>
          <w:p>
            <w:pPr>
              <w:pStyle w:val="Compact"/>
              <w:jc w:val="right"/>
            </w:pPr>
            <w:r>
              <w:t xml:space="preserve">19.5%</w:t>
            </w:r>
          </w:p>
        </w:tc>
        <w:tc>
          <w:tcPr/>
          <w:p>
            <w:pPr>
              <w:pStyle w:val="Compact"/>
              <w:jc w:val="right"/>
            </w:pPr>
            <w:r>
              <w:t xml:space="preserve">9.0</w:t>
            </w:r>
          </w:p>
        </w:tc>
      </w:tr>
      <w:tr>
        <w:tc>
          <w:tcPr/>
          <w:p>
            <w:pPr>
              <w:pStyle w:val="Compact"/>
              <w:jc w:val="right"/>
            </w:pPr>
            <w:r>
              <w:t xml:space="preserve">4</w:t>
            </w:r>
          </w:p>
        </w:tc>
        <w:tc>
          <w:tcPr/>
          <w:p>
            <w:pPr>
              <w:pStyle w:val="Compact"/>
              <w:jc w:val="right"/>
            </w:pPr>
            <w:r>
              <w:t xml:space="preserve">210</w:t>
            </w:r>
          </w:p>
        </w:tc>
        <w:tc>
          <w:tcPr/>
          <w:p>
            <w:pPr>
              <w:pStyle w:val="Compact"/>
              <w:jc w:val="right"/>
            </w:pPr>
            <w:r>
              <w:t xml:space="preserve">23</w:t>
            </w:r>
          </w:p>
        </w:tc>
        <w:tc>
          <w:tcPr/>
          <w:p>
            <w:pPr>
              <w:pStyle w:val="Compact"/>
              <w:jc w:val="right"/>
            </w:pPr>
            <w:r>
              <w:t xml:space="preserve">11.0%</w:t>
            </w:r>
          </w:p>
        </w:tc>
        <w:tc>
          <w:tcPr/>
          <w:p>
            <w:pPr>
              <w:pStyle w:val="Compact"/>
              <w:jc w:val="right"/>
            </w:pPr>
            <w:r>
              <w:t xml:space="preserve">7.6</w:t>
            </w:r>
          </w:p>
        </w:tc>
      </w:tr>
      <w:tr>
        <w:tc>
          <w:tcPr/>
          <w:p>
            <w:pPr>
              <w:pStyle w:val="Compact"/>
              <w:jc w:val="right"/>
            </w:pPr>
            <w:r>
              <w:t xml:space="preserve">5 (latest captured)</w:t>
            </w:r>
          </w:p>
        </w:tc>
        <w:tc>
          <w:tcPr/>
          <w:p>
            <w:pPr>
              <w:pStyle w:val="Compact"/>
              <w:jc w:val="right"/>
            </w:pPr>
            <w:r>
              <w:t xml:space="preserve">210</w:t>
            </w:r>
          </w:p>
        </w:tc>
        <w:tc>
          <w:tcPr/>
          <w:p>
            <w:pPr>
              <w:pStyle w:val="Compact"/>
              <w:jc w:val="right"/>
            </w:pPr>
            <w:r>
              <w:t xml:space="preserve">32</w:t>
            </w:r>
          </w:p>
        </w:tc>
        <w:tc>
          <w:tcPr/>
          <w:p>
            <w:pPr>
              <w:pStyle w:val="Compact"/>
              <w:jc w:val="right"/>
            </w:pPr>
            <w:r>
              <w:t xml:space="preserve">15.2%</w:t>
            </w:r>
          </w:p>
        </w:tc>
        <w:tc>
          <w:tcPr/>
          <w:p>
            <w:pPr>
              <w:pStyle w:val="Compact"/>
              <w:jc w:val="right"/>
            </w:pPr>
            <w:r>
              <w:t xml:space="preserve">13.3</w:t>
            </w:r>
          </w:p>
        </w:tc>
      </w:tr>
    </w:tbl>
    <w:p>
      <w:pPr>
        <w:pStyle w:val="BodyText"/>
      </w:pPr>
      <w:r>
        <w:t xml:space="preserve">Adjusted for congress year, the odds of publication fall across the window:</w:t>
      </w:r>
      <w:r>
        <w:t xml:space="preserve"> </w:t>
      </w:r>
      <w:r>
        <w:t xml:space="preserve">odds ratio</w:t>
      </w:r>
      <w:r>
        <w:t xml:space="preserve"> </w:t>
      </w:r>
      <w:r>
        <w:rPr>
          <w:b/>
          <w:bCs/>
        </w:rPr>
        <w:t xml:space="preserve">0.607</w:t>
      </w:r>
      <w:r>
        <w:t xml:space="preserve">, p = 0.080. That is not significant, and it is not nothing.</w:t>
      </w:r>
      <w:r>
        <w:t xml:space="preserve"> </w:t>
      </w:r>
      <w:r>
        <w:t xml:space="preserve">Read as a direction, later pages publish less, which would make</w:t>
      </w:r>
      <w:r>
        <w:t xml:space="preserve"> </w:t>
      </w:r>
      <w:r>
        <w:rPr>
          <w:b/>
          <w:bCs/>
        </w:rPr>
        <w:t xml:space="preserve">16.2% an</w:t>
      </w:r>
      <w:r>
        <w:rPr>
          <w:b/>
          <w:bCs/>
        </w:rPr>
        <w:t xml:space="preserve"> </w:t>
      </w:r>
      <w:r>
        <w:rPr>
          <w:b/>
          <w:bCs/>
        </w:rPr>
        <w:t xml:space="preserve">over-estimate</w:t>
      </w:r>
      <w:r>
        <w:t xml:space="preserve"> </w:t>
      </w:r>
      <w:r>
        <w:t xml:space="preserve">of the rate across a complete supplement.</w:t>
      </w:r>
    </w:p>
    <w:p>
      <w:pPr>
        <w:pStyle w:val="BodyText"/>
      </w:pPr>
      <w:r>
        <w:t xml:space="preserve">Two cautions on reading it further. The test spans only the first ~15% of each</w:t>
      </w:r>
      <w:r>
        <w:t xml:space="preserve"> </w:t>
      </w:r>
      <w:r>
        <w:t xml:space="preserve">supplement and says nothing about pages beyond it, where the trend could</w:t>
      </w:r>
      <w:r>
        <w:t xml:space="preserve"> </w:t>
      </w:r>
      <w:r>
        <w:t xml:space="preserve">flatten, continue or reverse. And RCTs, the strongest predictor of publication</w:t>
      </w:r>
      <w:r>
        <w:t xml:space="preserve"> </w:t>
      </w:r>
      <w:r>
        <w:t xml:space="preserve">in the model, are</w:t>
      </w:r>
      <w:r>
        <w:t xml:space="preserve"> </w:t>
      </w:r>
      <w:r>
        <w:rPr>
          <w:i/>
          <w:iCs/>
        </w:rPr>
        <w:t xml:space="preserve">more</w:t>
      </w:r>
      <w:r>
        <w:t xml:space="preserve"> </w:t>
      </w:r>
      <w:r>
        <w:t xml:space="preserve">frequent in the last captured quintile (13.3% against</w:t>
      </w:r>
      <w:r>
        <w:t xml:space="preserve"> </w:t>
      </w:r>
      <w:r>
        <w:t xml:space="preserve">9.5% in the first), which cuts the other way. The honest summary is a weak</w:t>
      </w:r>
      <w:r>
        <w:t xml:space="preserve"> </w:t>
      </w:r>
      <w:r>
        <w:t xml:space="preserve">signal toward over-estimation with an unmeasurable magnitude.</w:t>
      </w:r>
    </w:p>
    <w:bookmarkEnd w:id="246"/>
    <w:bookmarkStart w:id="247" w:name="Xb774aff3041e1a75c5e3b24ab0d39401d35c78d"/>
    <w:p>
      <w:pPr>
        <w:pStyle w:val="Heading3"/>
      </w:pPr>
      <w:r>
        <w:t xml:space="preserve">A23.3 Why the truncation cannot currently be closed</w:t>
      </w:r>
    </w:p>
    <w:p>
      <w:pPr>
        <w:pStyle w:val="FirstParagraph"/>
      </w:pPr>
      <w:r>
        <w:t xml:space="preserve">Three routes were tried.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status</w:t>
            </w:r>
          </w:p>
        </w:tc>
      </w:tr>
      <w:tr>
        <w:tc>
          <w:tcPr/>
          <w:p>
            <w:pPr>
              <w:pStyle w:val="Compact"/>
            </w:pPr>
            <w:r>
              <w:t xml:space="preserve">ScienceDirect issue listing</w:t>
            </w:r>
          </w:p>
        </w:tc>
        <w:tc>
          <w:tcPr/>
          <w:p>
            <w:pPr>
              <w:pStyle w:val="Compact"/>
            </w:pPr>
            <w:r>
              <w:rPr>
                <w:b/>
                <w:bCs/>
              </w:rPr>
              <w:t xml:space="preserve">HTTP 403</w:t>
            </w:r>
            <w:r>
              <w:t xml:space="preserve"> </w:t>
            </w:r>
            <w:r>
              <w:t xml:space="preserve">to this machine. The origin of the cohort is no longer reachable.</w:t>
            </w:r>
          </w:p>
        </w:tc>
      </w:tr>
      <w:tr>
        <w:tc>
          <w:tcPr/>
          <w:p>
            <w:pPr>
              <w:pStyle w:val="Compact"/>
            </w:pPr>
            <w:r>
              <w:t xml:space="preserve">Supplement PDFs</w:t>
            </w:r>
          </w:p>
        </w:tc>
        <w:tc>
          <w:tcPr/>
          <w:p>
            <w:pPr>
              <w:pStyle w:val="Compact"/>
            </w:pPr>
            <w:r>
              <w:t xml:space="preserve">Not held.</w:t>
            </w:r>
            <w:r>
              <w:t xml:space="preserve"> </w:t>
            </w:r>
            <w:r>
              <w:rPr>
                <w:rStyle w:val="VerbatimChar"/>
              </w:rPr>
              <w:t xml:space="preserve">R/01_parse_pdf.R</w:t>
            </w:r>
            <w:r>
              <w:t xml:space="preserve"> </w:t>
            </w:r>
            <w:r>
              <w:t xml:space="preserve">expects one file for 2023 only, and</w:t>
            </w:r>
            <w:r>
              <w:t xml:space="preserve"> </w:t>
            </w:r>
            <w:r>
              <w:rPr>
                <w:rStyle w:val="VerbatimChar"/>
              </w:rPr>
              <w:t xml:space="preserve">data/raw/</w:t>
            </w:r>
            <w:r>
              <w:t xml:space="preserve"> </w:t>
            </w:r>
            <w:r>
              <w:t xml:space="preserve">is empty. Obtaining twelve supplements needs institutional access.</w:t>
            </w:r>
          </w:p>
        </w:tc>
      </w:tr>
      <w:tr>
        <w:tc>
          <w:tcPr/>
          <w:p>
            <w:pPr>
              <w:pStyle w:val="Compact"/>
            </w:pPr>
            <w:r>
              <w:t xml:space="preserve">Crossref deposit</w:t>
            </w:r>
          </w:p>
        </w:tc>
        <w:tc>
          <w:tcPr/>
          <w:p>
            <w:pPr>
              <w:pStyle w:val="Compact"/>
            </w:pPr>
            <w:r>
              <w:rPr>
                <w:b/>
                <w:bCs/>
              </w:rPr>
              <w:t xml:space="preserve">Complete and public</w:t>
            </w:r>
            <w:r>
              <w:t xml:space="preserve">, and already cached for all twelve congresses. It carries DOI, page, title and authors, which is enough to drive the matching pipeline. It carries</w:t>
            </w:r>
            <w:r>
              <w:t xml:space="preserve"> </w:t>
            </w:r>
            <w:r>
              <w:rPr>
                <w:b/>
                <w:bCs/>
              </w:rPr>
              <w:t xml:space="preserve">no session type</w:t>
            </w:r>
            <w:r>
              <w:t xml:space="preserve">.</w:t>
            </w:r>
          </w:p>
        </w:tc>
      </w:tr>
    </w:tbl>
    <w:p>
      <w:pPr>
        <w:pStyle w:val="BodyText"/>
      </w:pPr>
      <w:r>
        <w:t xml:space="preserve">The Crossref record was checked field by field. It exposes</w:t>
      </w:r>
      <w:r>
        <w:t xml:space="preserve"> </w:t>
      </w:r>
      <w:r>
        <w:rPr>
          <w:rStyle w:val="VerbatimChar"/>
        </w:rPr>
        <w:t xml:space="preserve">type</w:t>
      </w:r>
      <w:r>
        <w:t xml:space="preserve"> </w:t>
      </w:r>
      <w:r>
        <w:t xml:space="preserve">(</w:t>
      </w:r>
      <w:r>
        <w:rPr>
          <w:rStyle w:val="VerbatimChar"/>
        </w:rPr>
        <w:t xml:space="preserve">journal-article</w:t>
      </w:r>
      <w:r>
        <w:t xml:space="preserve"> </w:t>
      </w:r>
      <w:r>
        <w:t xml:space="preserve">for every item), an empty</w:t>
      </w:r>
      <w:r>
        <w:t xml:space="preserve"> </w:t>
      </w:r>
      <w:r>
        <w:rPr>
          <w:rStyle w:val="VerbatimChar"/>
        </w:rPr>
        <w:t xml:space="preserve">subject</w:t>
      </w:r>
      <w:r>
        <w:t xml:space="preserve">,</w:t>
      </w:r>
      <w:r>
        <w:t xml:space="preserve"> </w:t>
      </w:r>
      <w:r>
        <w:rPr>
          <w:rStyle w:val="VerbatimChar"/>
        </w:rPr>
        <w:t xml:space="preserve">special_numbering</w:t>
      </w:r>
      <w:r>
        <w:t xml:space="preserve">,</w:t>
      </w:r>
      <w:r>
        <w:t xml:space="preserve"> </w:t>
      </w:r>
      <w:r>
        <w:rPr>
          <w:rStyle w:val="VerbatimChar"/>
        </w:rPr>
        <w:t xml:space="preserve">container-title</w:t>
      </w:r>
      <w:r>
        <w:t xml:space="preserve"> </w:t>
      </w:r>
      <w:r>
        <w:t xml:space="preserve">and the author list. Nothing distinguishes an oral</w:t>
      </w:r>
      <w:r>
        <w:t xml:space="preserve"> </w:t>
      </w:r>
      <w:r>
        <w:t xml:space="preserve">presentation from a video or a poster.</w:t>
      </w:r>
    </w:p>
    <w:p>
      <w:pPr>
        <w:pStyle w:val="BodyText"/>
      </w:pPr>
      <w:r>
        <w:t xml:space="preserve">That is the blocking fact. The study population is oral presentations; videos</w:t>
      </w:r>
      <w:r>
        <w:t xml:space="preserve"> </w:t>
      </w:r>
      <w:r>
        <w:t xml:space="preserve">are excluded by design and posters were never in scope. A random sample of</w:t>
      </w:r>
      <w:r>
        <w:t xml:space="preserve"> </w:t>
      </w:r>
      <w:r>
        <w:t xml:space="preserve">uncaptured Crossref items would mix all three, and there is no reachable source</w:t>
      </w:r>
      <w:r>
        <w:t xml:space="preserve"> </w:t>
      </w:r>
      <w:r>
        <w:t xml:space="preserve">that labels them.</w:t>
      </w:r>
    </w:p>
    <w:p>
      <w:pPr>
        <w:pStyle w:val="BodyText"/>
      </w:pPr>
      <w:r>
        <w:t xml:space="preserve">Indirect inference does not rescue it. In the two congresses where the capture</w:t>
      </w:r>
      <w:r>
        <w:t xml:space="preserve"> </w:t>
      </w:r>
      <w:r>
        <w:t xml:space="preserve">window crossed the boundary, orals end at S36 (2022) and S26 (2023), suggesting</w:t>
      </w:r>
      <w:r>
        <w:t xml:space="preserve"> </w:t>
      </w:r>
      <w:r>
        <w:t xml:space="preserve">a short oral block. But the items immediately past the 2015 and 2019 boundaries</w:t>
      </w:r>
      <w:r>
        <w:t xml:space="preserve"> </w:t>
      </w:r>
      <w:r>
        <w:t xml:space="preserve">are titled as randomised trials and comparative studies, which are oral-type</w:t>
      </w:r>
      <w:r>
        <w:t xml:space="preserve"> </w:t>
      </w:r>
      <w:r>
        <w:t xml:space="preserve">research abstracts, so the boundary is not consistently placed. Item density</w:t>
      </w:r>
      <w:r>
        <w:t xml:space="preserve"> </w:t>
      </w:r>
      <w:r>
        <w:t xml:space="preserve">per page does not separate the blocks either.</w:t>
      </w:r>
    </w:p>
    <w:bookmarkEnd w:id="247"/>
    <w:bookmarkStart w:id="248" w:name="X8f84d06327ab0f9f6b7ae823a7fd9ef174cf8b3"/>
    <w:p>
      <w:pPr>
        <w:pStyle w:val="Heading3"/>
      </w:pPr>
      <w:r>
        <w:t xml:space="preserve">A23.4 What would close it, and what it would cost</w:t>
      </w:r>
    </w:p>
    <w:p>
      <w:pPr>
        <w:pStyle w:val="FirstParagraph"/>
      </w:pPr>
      <w:r>
        <w:t xml:space="preserve">A probe study is the tractable design, and it is tractable only if the session</w:t>
      </w:r>
      <w:r>
        <w:t xml:space="preserve"> </w:t>
      </w:r>
      <w:r>
        <w:t xml:space="preserve">type problem is solved first.</w:t>
      </w:r>
    </w:p>
    <w:p>
      <w:pPr>
        <w:pStyle w:val="Compact"/>
        <w:numPr>
          <w:ilvl w:val="0"/>
          <w:numId w:val="1014"/>
        </w:numPr>
      </w:pPr>
      <w:r>
        <w:t xml:space="preserve">Obtain session structure for one or two congresses, from the supplement PDF</w:t>
      </w:r>
      <w:r>
        <w:t xml:space="preserve"> </w:t>
      </w:r>
      <w:r>
        <w:t xml:space="preserve">or an authenticated ScienceDirect session. Without this, nothing else is</w:t>
      </w:r>
      <w:r>
        <w:t xml:space="preserve"> </w:t>
      </w:r>
      <w:r>
        <w:t xml:space="preserve">worth starting.</w:t>
      </w:r>
    </w:p>
    <w:p>
      <w:pPr>
        <w:pStyle w:val="Compact"/>
        <w:numPr>
          <w:ilvl w:val="0"/>
          <w:numId w:val="1014"/>
        </w:numPr>
      </w:pPr>
      <w:r>
        <w:t xml:space="preserve">Draw a random sample of uncaptured</w:t>
      </w:r>
      <w:r>
        <w:t xml:space="preserve"> </w:t>
      </w:r>
      <w:r>
        <w:rPr>
          <w:b/>
          <w:bCs/>
        </w:rPr>
        <w:t xml:space="preserve">oral</w:t>
      </w:r>
      <w:r>
        <w:t xml:space="preserve"> </w:t>
      </w:r>
      <w:r>
        <w:t xml:space="preserve">items, on the order of 150 to</w:t>
      </w:r>
      <w:r>
        <w:t xml:space="preserve"> </w:t>
      </w:r>
      <w:r>
        <w:t xml:space="preserve">200, and pull title and authors from the existing Crossref cache.</w:t>
      </w:r>
    </w:p>
    <w:p>
      <w:pPr>
        <w:pStyle w:val="Compact"/>
        <w:numPr>
          <w:ilvl w:val="0"/>
          <w:numId w:val="1014"/>
        </w:numPr>
      </w:pPr>
      <w:r>
        <w:t xml:space="preserve">Run the existing search and scoring pipeline over the sample, and adjudicate</w:t>
      </w:r>
      <w:r>
        <w:t xml:space="preserve"> </w:t>
      </w:r>
      <w:r>
        <w:t xml:space="preserve">it to the same standard as the main cohort.</w:t>
      </w:r>
    </w:p>
    <w:p>
      <w:pPr>
        <w:pStyle w:val="Compact"/>
        <w:numPr>
          <w:ilvl w:val="0"/>
          <w:numId w:val="1014"/>
        </w:numPr>
      </w:pPr>
      <w:r>
        <w:t xml:space="preserve">Compare the sample’s publication rate against 16.2%. That estimates the bias</w:t>
      </w:r>
      <w:r>
        <w:t xml:space="preserve"> </w:t>
      </w:r>
      <w:r>
        <w:t xml:space="preserve">directly, without re-ingesting several thousand abstracts.</w:t>
      </w:r>
    </w:p>
    <w:p>
      <w:pPr>
        <w:pStyle w:val="FirstParagraph"/>
      </w:pPr>
      <w:r>
        <w:t xml:space="preserve">The cost is dominated by step 3: roughly 150 to 200 human adjudications, the</w:t>
      </w:r>
      <w:r>
        <w:t xml:space="preserve"> </w:t>
      </w:r>
      <w:r>
        <w:t xml:space="preserve">same work that produced the current cohort’s decisions, plus the search</w:t>
      </w:r>
      <w:r>
        <w:t xml:space="preserve"> </w:t>
      </w:r>
      <w:r>
        <w:t xml:space="preserve">runtime. Full re-ingestion of all 7,711 items is not proposed, because the</w:t>
      </w:r>
      <w:r>
        <w:t xml:space="preserve"> </w:t>
      </w:r>
      <w:r>
        <w:t xml:space="preserve">adjudication burden scales with the cohort and the videos and posters in that</w:t>
      </w:r>
      <w:r>
        <w:t xml:space="preserve"> </w:t>
      </w:r>
      <w:r>
        <w:t xml:space="preserve">total are out of scope regardless.</w:t>
      </w:r>
    </w:p>
    <w:bookmarkEnd w:id="248"/>
    <w:bookmarkStart w:id="249" w:name="a23.5-how-this-should-be-reported"/>
    <w:p>
      <w:pPr>
        <w:pStyle w:val="Heading3"/>
      </w:pPr>
      <w:r>
        <w:t xml:space="preserve">A23.5 How this should be reported</w:t>
      </w:r>
    </w:p>
    <w:p>
      <w:pPr>
        <w:pStyle w:val="FirstParagraph"/>
      </w:pPr>
      <w:r>
        <w:t xml:space="preserve">Until a probe study is run, the limitation should be stated as it is measured:</w:t>
      </w:r>
      <w:r>
        <w:t xml:space="preserve"> </w:t>
      </w:r>
      <w:r>
        <w:t xml:space="preserve">the cohort is the first portion of each supplement rather than a sample of it;</w:t>
      </w:r>
      <w:r>
        <w:t xml:space="preserve"> </w:t>
      </w:r>
      <w:r>
        <w:t xml:space="preserve">publication rate declines weakly across the captured window (OR 0.607,</w:t>
      </w:r>
      <w:r>
        <w:t xml:space="preserve"> </w:t>
      </w:r>
      <w:r>
        <w:t xml:space="preserve">p = 0.080); and the reported 16.2% is therefore best read as an estimate for</w:t>
      </w:r>
      <w:r>
        <w:t xml:space="preserve"> </w:t>
      </w:r>
      <w:r>
        <w:t xml:space="preserve">early-programme oral presentations, with a possible downward correction of</w:t>
      </w:r>
      <w:r>
        <w:t xml:space="preserve"> </w:t>
      </w:r>
      <w:r>
        <w:t xml:space="preserve">unknown size if applied to a complete congress.</w:t>
      </w:r>
    </w:p>
    <w:bookmarkEnd w:id="249"/>
    <w:bookmarkEnd w:id="250"/>
    <w:bookmarkStart w:id="251" w:name="Xdb5929b629a9464dffdfd96a9a87b5a9f368ef0"/>
    <w:p>
      <w:pPr>
        <w:pStyle w:val="Heading2"/>
      </w:pPr>
      <w:r>
        <w:t xml:space="preserve">A24. Three Corrections, Recorded Because They Cut Against the Story</w:t>
      </w:r>
    </w:p>
    <w:p>
      <w:pPr>
        <w:pStyle w:val="FirstParagraph"/>
      </w:pPr>
      <w:r>
        <w:t xml:space="preserve">This section exists because a claim was made that the pipeline is used to</w:t>
      </w:r>
      <w:r>
        <w:t xml:space="preserve"> </w:t>
      </w:r>
      <w:r>
        <w:t xml:space="preserve">falsify assumptions rather than to support the initial narrative. That claim is</w:t>
      </w:r>
      <w:r>
        <w:t xml:space="preserve"> </w:t>
      </w:r>
      <w:r>
        <w:t xml:space="preserve">only checkable if the falsifications are written down where the supporting</w:t>
      </w:r>
      <w:r>
        <w:t xml:space="preserve"> </w:t>
      </w:r>
      <w:r>
        <w:t xml:space="preserve">evidence is, so the three from 2026-09-06 are recorded here with the reasoning</w:t>
      </w:r>
      <w:r>
        <w:t xml:space="preserve"> </w:t>
      </w:r>
      <w:r>
        <w:t xml:space="preserve">that produced them, including the two that were mine.</w:t>
      </w:r>
    </w:p>
    <w:p>
      <w:pPr>
        <w:pStyle w:val="BodyText"/>
      </w:pPr>
      <w:r>
        <w:rPr>
          <w:b/>
          <w:bCs/>
        </w:rPr>
        <w:t xml:space="preserve">A reported discrepancy in the supplement denominator was not real.</w:t>
      </w:r>
      <w:r>
        <w:t xml:space="preserve"> </w:t>
      </w:r>
      <w:r>
        <w:t xml:space="preserve">The</w:t>
      </w:r>
      <w:r>
        <w:t xml:space="preserve"> </w:t>
      </w:r>
      <w:r>
        <w:t xml:space="preserve">README states the cohort as 1,154 of 7,711 supplement items. An independent</w:t>
      </w:r>
      <w:r>
        <w:t xml:space="preserve"> </w:t>
      </w:r>
      <w:r>
        <w:t xml:space="preserve">recount of the same Crossref cache returned 8,237 and this was raised as a</w:t>
      </w:r>
      <w:r>
        <w:t xml:space="preserve"> </w:t>
      </w:r>
      <w:r>
        <w:t xml:space="preserve">contradiction. It was not: 7,711 counts records whose</w:t>
      </w:r>
      <w:r>
        <w:t xml:space="preserve"> </w:t>
      </w:r>
      <w:r>
        <w:rPr>
          <w:rStyle w:val="VerbatimChar"/>
        </w:rPr>
        <w:t xml:space="preserve">page</w:t>
      </w:r>
      <w:r>
        <w:t xml:space="preserve"> </w:t>
      </w:r>
      <w:r>
        <w:t xml:space="preserve">begins with</w:t>
      </w:r>
      <w:r>
        <w:t xml:space="preserve"> </w:t>
      </w:r>
      <w:r>
        <w:rPr>
          <w:rStyle w:val="VerbatimChar"/>
        </w:rPr>
        <w:t xml:space="preserve">S</w:t>
      </w:r>
      <w:r>
        <w:t xml:space="preserve">,</w:t>
      </w:r>
      <w:r>
        <w:t xml:space="preserve"> </w:t>
      </w:r>
      <w:r>
        <w:t xml:space="preserve">which is what a supplement item is, and the November publication-date window</w:t>
      </w:r>
      <w:r>
        <w:t xml:space="preserve"> </w:t>
      </w:r>
      <w:r>
        <w:t xml:space="preserve">used to retrieve them also returns 526 regular articles published that month.</w:t>
      </w:r>
      <w:r>
        <w:t xml:space="preserve"> </w:t>
      </w:r>
      <w:r>
        <w:t xml:space="preserve">The published figure was correct throughout. What was wrong was its</w:t>
      </w:r>
      <w:r>
        <w:t xml:space="preserve"> </w:t>
      </w:r>
      <w:r>
        <w:t xml:space="preserve">reproducibility – the filter defining</w:t>
      </w:r>
      <w:r>
        <w:t xml:space="preserve"> </w:t>
      </w:r>
      <w:r>
        <w:t xml:space="preserve">“supplement item”</w:t>
      </w:r>
      <w:r>
        <w:t xml:space="preserve"> </w:t>
      </w:r>
      <w:r>
        <w:t xml:space="preserve">was recorded only in a</w:t>
      </w:r>
      <w:r>
        <w:t xml:space="preserve"> </w:t>
      </w:r>
      <w:r>
        <w:t xml:space="preserve">detection note in</w:t>
      </w:r>
      <w:r>
        <w:t xml:space="preserve"> </w:t>
      </w:r>
      <w:r>
        <w:rPr>
          <w:rStyle w:val="VerbatimChar"/>
        </w:rPr>
        <w:t xml:space="preserve">FAILURE_MODES.md</w:t>
      </w:r>
      <w:r>
        <w:t xml:space="preserve"> </w:t>
      </w:r>
      <w:r>
        <w:t xml:space="preserve">F1, three documents away from the number it</w:t>
      </w:r>
      <w:r>
        <w:t xml:space="preserve"> </w:t>
      </w:r>
      <w:r>
        <w:t xml:space="preserve">defines, so recomputing it without that note gives a different answer. The</w:t>
      </w:r>
      <w:r>
        <w:t xml:space="preserve"> </w:t>
      </w:r>
      <w:r>
        <w:t xml:space="preserve">filter is now stated beside the figure, and</w:t>
      </w:r>
      <w:r>
        <w:t xml:space="preserve"> </w:t>
      </w:r>
      <w:r>
        <w:rPr>
          <w:rStyle w:val="VerbatimChar"/>
        </w:rPr>
        <w:t xml:space="preserve">scripts/cohort_coverage_by_year.R</w:t>
      </w:r>
      <w:r>
        <w:t xml:space="preserve"> </w:t>
      </w:r>
      <w:r>
        <w:t xml:space="preserve">writes the per-year counts to a tracked</w:t>
      </w:r>
      <w:r>
        <w:t xml:space="preserve"> </w:t>
      </w:r>
      <w:r>
        <w:t xml:space="preserve">artifact rather than leaving them derivable only from a gitignored API cache.</w:t>
      </w:r>
    </w:p>
    <w:p>
      <w:pPr>
        <w:pStyle w:val="BodyText"/>
      </w:pPr>
      <w:r>
        <w:rPr>
          <w:b/>
          <w:bCs/>
        </w:rPr>
        <w:t xml:space="preserve">The hypothesis that recent-year publication rates were a detection artifact</w:t>
      </w:r>
      <w:r>
        <w:rPr>
          <w:b/>
          <w:bCs/>
        </w:rPr>
        <w:t xml:space="preserve"> </w:t>
      </w:r>
      <w:r>
        <w:rPr>
          <w:b/>
          <w:bCs/>
        </w:rPr>
        <w:t xml:space="preserve">did not survive testing.</w:t>
      </w:r>
      <w:r>
        <w:t xml:space="preserve"> </w:t>
      </w:r>
      <w:r>
        <w:t xml:space="preserve">Rates rise sharply in later congresses (5.6% in 2017</w:t>
      </w:r>
      <w:r>
        <w:t xml:space="preserve"> </w:t>
      </w:r>
      <w:r>
        <w:t xml:space="preserve">to 31.1% in 2022) despite later congresses having</w:t>
      </w:r>
      <w:r>
        <w:t xml:space="preserve"> </w:t>
      </w:r>
      <w:r>
        <w:rPr>
          <w:i/>
          <w:iCs/>
        </w:rPr>
        <w:t xml:space="preserve">less</w:t>
      </w:r>
      <w:r>
        <w:t xml:space="preserve"> </w:t>
      </w:r>
      <w:r>
        <w:t xml:space="preserve">time to publish, which</w:t>
      </w:r>
      <w:r>
        <w:t xml:space="preserve"> </w:t>
      </w:r>
      <w:r>
        <w:t xml:space="preserve">is the wrong direction for follow-up and suggested that recent papers were</w:t>
      </w:r>
      <w:r>
        <w:t xml:space="preserve"> </w:t>
      </w:r>
      <w:r>
        <w:t xml:space="preserve">simply easier to match. The data do not support it. Abstract text is absent for</w:t>
      </w:r>
      <w:r>
        <w:t xml:space="preserve"> </w:t>
      </w:r>
      <w:r>
        <w:t xml:space="preserve">100% of 2017 and 2018, and those two congresses sit at opposite extremes of the</w:t>
      </w:r>
      <w:r>
        <w:t xml:space="preserve"> </w:t>
      </w:r>
      <w:r>
        <w:t xml:space="preserve">rate distribution – 5.6% and 25.3% – which is the clearest available evidence</w:t>
      </w:r>
      <w:r>
        <w:t xml:space="preserve"> </w:t>
      </w:r>
      <w:r>
        <w:t xml:space="preserve">that text availability is not what drives matching. Text availability correlates</w:t>
      </w:r>
      <w:r>
        <w:t xml:space="preserve"> </w:t>
      </w:r>
      <w:r>
        <w:t xml:space="preserve">with rate at only r = +0.179; median candidate counts</w:t>
      </w:r>
      <w:r>
        <w:t xml:space="preserve"> </w:t>
      </w:r>
      <w:r>
        <w:rPr>
          <w:i/>
          <w:iCs/>
        </w:rPr>
        <w:t xml:space="preserve">fall</w:t>
      </w:r>
      <w:r>
        <w:t xml:space="preserve"> </w:t>
      </w:r>
      <w:r>
        <w:t xml:space="preserve">over time (49 to</w:t>
      </w:r>
      <w:r>
        <w:t xml:space="preserve"> </w:t>
      </w:r>
      <w:r>
        <w:t xml:space="preserve">29) rather than rising, so the search became more precise rather than more</w:t>
      </w:r>
      <w:r>
        <w:t xml:space="preserve"> </w:t>
      </w:r>
      <w:r>
        <w:t xml:space="preserve">permissive; and congress year itself is the strongest correlate at r = +0.636.</w:t>
      </w:r>
      <w:r>
        <w:t xml:space="preserve"> </w:t>
      </w:r>
      <w:r>
        <w:t xml:space="preserve">The hypothesis was abandoned rather than retained as a caveat.</w:t>
      </w:r>
    </w:p>
    <w:p>
      <w:pPr>
        <w:pStyle w:val="BodyText"/>
      </w:pPr>
      <w:r>
        <w:rPr>
          <w:b/>
          <w:bCs/>
        </w:rPr>
        <w:t xml:space="preserve">The ScienceDirect 403 was described as an anti-scraping block rather than an</w:t>
      </w:r>
      <w:r>
        <w:rPr>
          <w:b/>
          <w:bCs/>
        </w:rPr>
        <w:t xml:space="preserve"> </w:t>
      </w:r>
      <w:r>
        <w:rPr>
          <w:b/>
          <w:bCs/>
        </w:rPr>
        <w:t xml:space="preserve">access wall. It is both.</w:t>
      </w:r>
      <w:r>
        <w:t xml:space="preserve"> </w:t>
      </w:r>
      <w:r>
        <w:t xml:space="preserve">A23 recorded the cohort as uncompletable because</w:t>
      </w:r>
      <w:r>
        <w:t xml:space="preserve"> </w:t>
      </w:r>
      <w:r>
        <w:t xml:space="preserve">ScienceDirect returns HTTP 403, and that 403 came from scraping HTML with</w:t>
      </w:r>
      <w:r>
        <w:t xml:space="preserve"> </w:t>
      </w:r>
      <w:r>
        <w:rPr>
          <w:rStyle w:val="VerbatimChar"/>
        </w:rPr>
        <w:t xml:space="preserve">rvest</w:t>
      </w:r>
      <w:r>
        <w:t xml:space="preserve">, so the conclusion was too strong: the official API had never been</w:t>
      </w:r>
      <w:r>
        <w:t xml:space="preserve"> </w:t>
      </w:r>
      <w:r>
        <w:t xml:space="preserve">called, and there was no</w:t>
      </w:r>
      <w:r>
        <w:t xml:space="preserve"> </w:t>
      </w:r>
      <w:r>
        <w:rPr>
          <w:rStyle w:val="VerbatimChar"/>
        </w:rPr>
        <w:t xml:space="preserve">api.elsevier</w:t>
      </w:r>
      <w:r>
        <w:t xml:space="preserve">,</w:t>
      </w:r>
      <w:r>
        <w:t xml:space="preserve"> </w:t>
      </w:r>
      <w:r>
        <w:rPr>
          <w:rStyle w:val="VerbatimChar"/>
        </w:rPr>
        <w:t xml:space="preserve">elsapy</w:t>
      </w:r>
      <w:r>
        <w:t xml:space="preserve"> </w:t>
      </w:r>
      <w:r>
        <w:t xml:space="preserve">or</w:t>
      </w:r>
      <w:r>
        <w:t xml:space="preserve"> </w:t>
      </w:r>
      <w:r>
        <w:rPr>
          <w:rStyle w:val="VerbatimChar"/>
        </w:rPr>
        <w:t xml:space="preserve">rscopus</w:t>
      </w:r>
      <w:r>
        <w:t xml:space="preserve"> </w:t>
      </w:r>
      <w:r>
        <w:t xml:space="preserve">anywhere in the</w:t>
      </w:r>
      <w:r>
        <w:t xml:space="preserve"> </w:t>
      </w:r>
      <w:r>
        <w:t xml:space="preserve">repository. The correction in the other direction is equally real. Called with a</w:t>
      </w:r>
      <w:r>
        <w:t xml:space="preserve"> </w:t>
      </w:r>
      <w:r>
        <w:t xml:space="preserve">self-service key,</w:t>
      </w:r>
      <w:r>
        <w:t xml:space="preserve"> </w:t>
      </w:r>
      <w:r>
        <w:rPr>
          <w:rStyle w:val="VerbatimChar"/>
        </w:rPr>
        <w:t xml:space="preserve">search/sciencedirect</w:t>
      </w:r>
      <w:r>
        <w:t xml:space="preserve"> </w:t>
      </w:r>
      <w:r>
        <w:t xml:space="preserve">and</w:t>
      </w:r>
      <w:r>
        <w:t xml:space="preserve"> </w:t>
      </w:r>
      <w:r>
        <w:rPr>
          <w:rStyle w:val="VerbatimChar"/>
        </w:rPr>
        <w:t xml:space="preserve">metadata/article</w:t>
      </w:r>
      <w:r>
        <w:t xml:space="preserve"> </w:t>
      </w:r>
      <w:r>
        <w:t xml:space="preserve">return 401 and</w:t>
      </w:r>
      <w:r>
        <w:t xml:space="preserve"> </w:t>
      </w:r>
      <w:r>
        <w:t xml:space="preserve">full-text retrieval returns 403; the key authenticates and is Scopus-entitled</w:t>
      </w:r>
      <w:r>
        <w:t xml:space="preserve"> </w:t>
      </w:r>
      <w:r>
        <w:t xml:space="preserve">but carries no ScienceDirect entitlement. Scopus is separately useless here and</w:t>
      </w:r>
      <w:r>
        <w:t xml:space="preserve"> </w:t>
      </w:r>
      <w:r>
        <w:t xml:space="preserve">that finding is independent of any key: it does not index the congress</w:t>
      </w:r>
      <w:r>
        <w:t xml:space="preserve"> </w:t>
      </w:r>
      <w:r>
        <w:t xml:space="preserve">supplement at all, with both known 2022 supplement DOIs returning zero records.</w:t>
      </w:r>
      <w:r>
        <w:t xml:space="preserve"> </w:t>
      </w:r>
      <w:r>
        <w:rPr>
          <w:rStyle w:val="VerbatimChar"/>
        </w:rPr>
        <w:t xml:space="preserve">scripts/elsevier_api_probe.R</w:t>
      </w:r>
      <w:r>
        <w:t xml:space="preserve"> </w:t>
      </w:r>
      <w:r>
        <w:t xml:space="preserve">exists so this is re-run rather than re-argued,</w:t>
      </w:r>
      <w:r>
        <w:t xml:space="preserve"> </w:t>
      </w:r>
      <w:r>
        <w:t xml:space="preserve">since Elsevier entitlement is commonly IP-bound and the same key may succeed</w:t>
      </w:r>
      <w:r>
        <w:t xml:space="preserve"> </w:t>
      </w:r>
      <w:r>
        <w:t xml:space="preserve">inside an institutional network.</w:t>
      </w:r>
    </w:p>
    <w:p>
      <w:pPr>
        <w:pStyle w:val="BodyText"/>
      </w:pPr>
      <w:r>
        <w:t xml:space="preserve">The common thread is that each correction narrowed what the study may claim</w:t>
      </w:r>
      <w:r>
        <w:t xml:space="preserve"> </w:t>
      </w:r>
      <w:r>
        <w:t xml:space="preserve">rather than widening it, and that two of the three corrected assertions this</w:t>
      </w:r>
      <w:r>
        <w:t xml:space="preserve"> </w:t>
      </w:r>
      <w:r>
        <w:t xml:space="preserve">project had itself made.</w:t>
      </w:r>
    </w:p>
    <w:bookmarkEnd w:id="251"/>
    <w:bookmarkStart w:id="257" w:name="a25.-the-cohort-is-two-sampling-frames"/>
    <w:p>
      <w:pPr>
        <w:pStyle w:val="Heading2"/>
      </w:pPr>
      <w:r>
        <w:t xml:space="preserve">A25. The Cohort Is Two Sampling Frames</w:t>
      </w:r>
    </w:p>
    <w:p>
      <w:pPr>
        <w:pStyle w:val="FirstParagraph"/>
      </w:pPr>
      <w:r>
        <w:t xml:space="preserve">A14 established that ingestion stops mid-block. A23 measured what the truncation</w:t>
      </w:r>
      <w:r>
        <w:t xml:space="preserve"> </w:t>
      </w:r>
      <w:r>
        <w:t xml:space="preserve">does to the rate. Neither noticed that the truncation does not apply to every</w:t>
      </w:r>
      <w:r>
        <w:t xml:space="preserve"> </w:t>
      </w:r>
      <w:r>
        <w:t xml:space="preserve">congress, and that is the more consequential fact: ten congresses are</w:t>
      </w:r>
      <w:r>
        <w:t xml:space="preserve"> </w:t>
      </w:r>
      <w:r>
        <w:t xml:space="preserve">front-truncated samples and two are complete censuses of their oral block, and</w:t>
      </w:r>
      <w:r>
        <w:t xml:space="preserve"> </w:t>
      </w:r>
      <w:r>
        <w:t xml:space="preserve">the two groups report publication rates differing by more than a factor of two.</w:t>
      </w:r>
    </w:p>
    <w:bookmarkStart w:id="252" w:name="X6562747fac96ef339f09f281c11cd35db354be4"/>
    <w:p>
      <w:pPr>
        <w:pStyle w:val="Heading3"/>
      </w:pPr>
      <w:r>
        <w:t xml:space="preserve">A25.1 The evidence is a section heading, not an inference</w:t>
      </w:r>
    </w:p>
    <w:p>
      <w:pPr>
        <w:pStyle w:val="FirstParagraph"/>
      </w:pPr>
      <w:r>
        <w:rPr>
          <w:rStyle w:val="VerbatimChar"/>
        </w:rPr>
        <w:t xml:space="preserve">R/01d_tag_session_type.R</w:t>
      </w:r>
      <w:r>
        <w:t xml:space="preserve"> </w:t>
      </w:r>
      <w:r>
        <w:t xml:space="preserve">reads real</w:t>
      </w:r>
      <w:r>
        <w:t xml:space="preserve"> </w:t>
      </w:r>
      <w:r>
        <w:rPr>
          <w:rStyle w:val="VerbatimChar"/>
        </w:rPr>
        <w:t xml:space="preserve">&lt;h3 class="section-title"&gt;</w:t>
      </w:r>
      <w:r>
        <w:t xml:space="preserve"> </w:t>
      </w:r>
      <w:r>
        <w:t xml:space="preserve">nodes from the</w:t>
      </w:r>
      <w:r>
        <w:t xml:space="preserve"> </w:t>
      </w:r>
      <w:r>
        <w:t xml:space="preserve">issue listing and carries the current heading forward to each item beneath it.</w:t>
      </w:r>
      <w:r>
        <w:t xml:space="preserve"> </w:t>
      </w:r>
      <w:r>
        <w:t xml:space="preserve">Every captured record therefore has an observed session label; none is defaulted.</w:t>
      </w:r>
      <w:r>
        <w:t xml:space="preserve"> </w:t>
      </w:r>
      <w:r>
        <w:t xml:space="preserve">That is what makes the following table evidence rather than assumption.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congresses</w:t>
            </w:r>
          </w:p>
        </w:tc>
        <w:tc>
          <w:tcPr/>
          <w:p>
            <w:pPr>
              <w:pStyle w:val="Compact"/>
            </w:pPr>
            <w:r>
              <w:t xml:space="preserve">captured session labels</w:t>
            </w:r>
          </w:p>
        </w:tc>
        <w:tc>
          <w:tcPr/>
          <w:p>
            <w:pPr>
              <w:pStyle w:val="Compact"/>
            </w:pPr>
            <w:r>
              <w:t xml:space="preserve">what it means</w:t>
            </w:r>
          </w:p>
        </w:tc>
      </w:tr>
      <w:tr>
        <w:tc>
          <w:tcPr/>
          <w:p>
            <w:pPr>
              <w:pStyle w:val="Compact"/>
            </w:pPr>
            <w:r>
              <w:t xml:space="preserve">2012–2021</w:t>
            </w:r>
          </w:p>
        </w:tc>
        <w:tc>
          <w:tcPr/>
          <w:p>
            <w:pPr>
              <w:pStyle w:val="Compact"/>
            </w:pPr>
            <w:r>
              <w:t xml:space="preserve">Oral only, no Video row in any year</w:t>
            </w:r>
          </w:p>
        </w:tc>
        <w:tc>
          <w:tcPr/>
          <w:p>
            <w:pPr>
              <w:pStyle w:val="Compact"/>
            </w:pPr>
            <w:r>
              <w:t xml:space="preserve">ingestion stopped while still inside the oral block</w:t>
            </w:r>
          </w:p>
        </w:tc>
      </w:tr>
      <w:tr>
        <w:tc>
          <w:tcPr/>
          <w:p>
            <w:pPr>
              <w:pStyle w:val="Compact"/>
            </w:pPr>
            <w:r>
              <w:t xml:space="preserve">2022, 2023</w:t>
            </w:r>
          </w:p>
        </w:tc>
        <w:tc>
          <w:tcPr/>
          <w:p>
            <w:pPr>
              <w:pStyle w:val="Compact"/>
            </w:pPr>
            <w:r>
              <w:t xml:space="preserve">Oral then Video (10 and 38 video records)</w:t>
            </w:r>
          </w:p>
        </w:tc>
        <w:tc>
          <w:tcPr/>
          <w:p>
            <w:pPr>
              <w:pStyle w:val="Compact"/>
            </w:pPr>
            <w:r>
              <w:t xml:space="preserve">ingestion ran past the end of the oral block</w:t>
            </w:r>
          </w:p>
        </w:tc>
      </w:tr>
    </w:tbl>
    <w:p>
      <w:pPr>
        <w:pStyle w:val="BodyText"/>
      </w:pPr>
      <w:r>
        <w:t xml:space="preserve">A capture that reaches Video has necessarily exhausted the orals before it. So</w:t>
      </w:r>
      <w:r>
        <w:t xml:space="preserve"> </w:t>
      </w:r>
      <w:r>
        <w:t xml:space="preserve">2022 holds all 90 of its oral presentations and 2023 all 60, while the other ten</w:t>
      </w:r>
      <w:r>
        <w:t xml:space="preserve"> </w:t>
      </w:r>
      <w:r>
        <w:t xml:space="preserve">congresses hold the first ~95 of an unknown larger number.</w:t>
      </w:r>
    </w:p>
    <w:bookmarkEnd w:id="252"/>
    <w:bookmarkStart w:id="253" w:name="X36fba73d2f7af01aeeb017eed614a1cfd5ceb4a"/>
    <w:p>
      <w:pPr>
        <w:pStyle w:val="Heading3"/>
      </w:pPr>
      <w:r>
        <w:t xml:space="preserve">A25.2 The two frames do not report the same quantity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frame</w:t>
            </w:r>
          </w:p>
        </w:tc>
        <w:tc>
          <w:tcPr/>
          <w:p>
            <w:pPr>
              <w:pStyle w:val="Compact"/>
            </w:pPr>
            <w:r>
              <w:t xml:space="preserve">congresses</w:t>
            </w:r>
          </w:p>
        </w:tc>
        <w:tc>
          <w:tcPr/>
          <w:p>
            <w:pPr>
              <w:pStyle w:val="Compact"/>
            </w:pPr>
            <w:r>
              <w:t xml:space="preserve">evaluated</w:t>
            </w:r>
          </w:p>
        </w:tc>
        <w:tc>
          <w:tcPr/>
          <w:p>
            <w:pPr>
              <w:pStyle w:val="Compact"/>
            </w:pPr>
            <w:r>
              <w:t xml:space="preserve">published</w:t>
            </w:r>
          </w:p>
        </w:tc>
        <w:tc>
          <w:tcPr/>
          <w:p>
            <w:pPr>
              <w:pStyle w:val="Compact"/>
            </w:pPr>
            <w:r>
              <w:t xml:space="preserve">rate</w:t>
            </w:r>
          </w:p>
        </w:tc>
      </w:tr>
      <w:tr>
        <w:tc>
          <w:tcPr/>
          <w:p>
            <w:pPr>
              <w:pStyle w:val="Compact"/>
            </w:pPr>
            <w:r>
              <w:t xml:space="preserve">Census of orals</w:t>
            </w:r>
          </w:p>
        </w:tc>
        <w:tc>
          <w:tcPr/>
          <w:p>
            <w:pPr>
              <w:pStyle w:val="Compact"/>
            </w:pPr>
            <w:r>
              <w:t xml:space="preserve">2</w:t>
            </w:r>
          </w:p>
        </w:tc>
        <w:tc>
          <w:tcPr/>
          <w:p>
            <w:pPr>
              <w:pStyle w:val="Compact"/>
            </w:pPr>
            <w:r>
              <w:t xml:space="preserve">150</w:t>
            </w:r>
          </w:p>
        </w:tc>
        <w:tc>
          <w:tcPr/>
          <w:p>
            <w:pPr>
              <w:pStyle w:val="Compact"/>
            </w:pPr>
            <w:r>
              <w:t xml:space="preserve">46</w:t>
            </w:r>
          </w:p>
        </w:tc>
        <w:tc>
          <w:tcPr/>
          <w:p>
            <w:pPr>
              <w:pStyle w:val="Compact"/>
            </w:pPr>
            <w:r>
              <w:rPr>
                <w:b/>
                <w:bCs/>
              </w:rPr>
              <w:t xml:space="preserve">30.7%</w:t>
            </w:r>
          </w:p>
        </w:tc>
      </w:tr>
      <w:tr>
        <w:tc>
          <w:tcPr/>
          <w:p>
            <w:pPr>
              <w:pStyle w:val="Compact"/>
            </w:pPr>
            <w:r>
              <w:t xml:space="preserve">Front-truncated</w:t>
            </w:r>
          </w:p>
        </w:tc>
        <w:tc>
          <w:tcPr/>
          <w:p>
            <w:pPr>
              <w:pStyle w:val="Compact"/>
            </w:pPr>
            <w:r>
              <w:t xml:space="preserve">10</w:t>
            </w:r>
          </w:p>
        </w:tc>
        <w:tc>
          <w:tcPr/>
          <w:p>
            <w:pPr>
              <w:pStyle w:val="Compact"/>
            </w:pPr>
            <w:r>
              <w:t xml:space="preserve">901</w:t>
            </w:r>
          </w:p>
        </w:tc>
        <w:tc>
          <w:tcPr/>
          <w:p>
            <w:pPr>
              <w:pStyle w:val="Compact"/>
            </w:pPr>
            <w:r>
              <w:t xml:space="preserve">124</w:t>
            </w:r>
          </w:p>
        </w:tc>
        <w:tc>
          <w:tcPr/>
          <w:p>
            <w:pPr>
              <w:pStyle w:val="Compact"/>
            </w:pPr>
            <w:r>
              <w:rPr>
                <w:b/>
                <w:bCs/>
              </w:rPr>
              <w:t xml:space="preserve">13.8%</w:t>
            </w:r>
          </w:p>
        </w:tc>
      </w:tr>
      <w:tr>
        <w:tc>
          <w:tcPr/>
          <w:p>
            <w:pPr>
              <w:pStyle w:val="Compact"/>
            </w:pPr>
            <w:r>
              <w:t xml:space="preserve">Pooled</w:t>
            </w:r>
          </w:p>
        </w:tc>
        <w:tc>
          <w:tcPr/>
          <w:p>
            <w:pPr>
              <w:pStyle w:val="Compact"/>
            </w:pPr>
            <w:r>
              <w:t xml:space="preserve">12</w:t>
            </w:r>
          </w:p>
        </w:tc>
        <w:tc>
          <w:tcPr/>
          <w:p>
            <w:pPr>
              <w:pStyle w:val="Compact"/>
            </w:pPr>
            <w:r>
              <w:t xml:space="preserve">1,051</w:t>
            </w:r>
          </w:p>
        </w:tc>
        <w:tc>
          <w:tcPr/>
          <w:p>
            <w:pPr>
              <w:pStyle w:val="Compact"/>
            </w:pPr>
            <w:r>
              <w:t xml:space="preserve">170</w:t>
            </w:r>
          </w:p>
        </w:tc>
        <w:tc>
          <w:tcPr/>
          <w:p>
            <w:pPr>
              <w:pStyle w:val="Compact"/>
            </w:pPr>
            <w:r>
              <w:t xml:space="preserve">16.2%</w:t>
            </w:r>
          </w:p>
        </w:tc>
      </w:tr>
    </w:tbl>
    <w:p>
      <w:pPr>
        <w:pStyle w:val="BodyText"/>
      </w:pPr>
      <w:r>
        <w:t xml:space="preserve">The pooled 16.2% is a weighted average of a census of two small recent</w:t>
      </w:r>
      <w:r>
        <w:t xml:space="preserve"> </w:t>
      </w:r>
      <w:r>
        <w:t xml:space="preserve">congresses and a front-slice of ten larger older ones. It is not an estimate of</w:t>
      </w:r>
      <w:r>
        <w:t xml:space="preserve"> </w:t>
      </w:r>
      <w:r>
        <w:t xml:space="preserve">a well-defined population quantity, and the Methods statement describing the</w:t>
      </w:r>
      <w:r>
        <w:t xml:space="preserve"> </w:t>
      </w:r>
      <w:r>
        <w:t xml:space="preserve">cohort as</w:t>
      </w:r>
      <w:r>
        <w:t xml:space="preserve"> </w:t>
      </w:r>
      <w:r>
        <w:t xml:space="preserve">“all oral presentations”</w:t>
      </w:r>
      <w:r>
        <w:t xml:space="preserve"> </w:t>
      </w:r>
      <w:r>
        <w:t xml:space="preserve">is accurate for two congresses of twelve.</w:t>
      </w:r>
    </w:p>
    <w:bookmarkEnd w:id="253"/>
    <w:bookmarkStart w:id="254" w:name="Xc081314b309e33957ab7efc845591209ae2f30d"/>
    <w:p>
      <w:pPr>
        <w:pStyle w:val="Heading3"/>
      </w:pPr>
      <w:r>
        <w:t xml:space="preserve">A25.3 The direction of the truncation bias widens the gap</w:t>
      </w:r>
    </w:p>
    <w:p>
      <w:pPr>
        <w:pStyle w:val="FirstParagraph"/>
      </w:pPr>
      <w:r>
        <w:t xml:space="preserve">Publication rate declines across position quintiles within the captured window</w:t>
      </w:r>
      <w:r>
        <w:t xml:space="preserve"> </w:t>
      </w:r>
      <w:r>
        <w:t xml:space="preserve">(A23: OR 0.607, p = 0.080). Front positions therefore publish more, so the</w:t>
      </w:r>
      <w:r>
        <w:t xml:space="preserve"> </w:t>
      </w:r>
      <w:r>
        <w:t xml:space="preserve">truncated years’ 13.8% is if anything an over-estimate of what those congresses</w:t>
      </w:r>
      <w:r>
        <w:t xml:space="preserve"> </w:t>
      </w:r>
      <w:r>
        <w:t xml:space="preserve">would report on complete data. Completing those frames would push them down,</w:t>
      </w:r>
      <w:r>
        <w:t xml:space="preserve"> </w:t>
      </w:r>
      <w:r>
        <w:t xml:space="preserve">away from the census years’ 30.7% rather than towards it. The gap between the</w:t>
      </w:r>
      <w:r>
        <w:t xml:space="preserve"> </w:t>
      </w:r>
      <w:r>
        <w:t xml:space="preserve">frames is a lower bound.</w:t>
      </w:r>
    </w:p>
    <w:p>
      <w:pPr>
        <w:pStyle w:val="BodyText"/>
      </w:pPr>
      <w:r>
        <w:t xml:space="preserve">Two observations cut the other way and are recorded so the case is not</w:t>
      </w:r>
      <w:r>
        <w:t xml:space="preserve"> </w:t>
      </w:r>
      <w:r>
        <w:t xml:space="preserve">overstated. Randomised trials are more frequent in the last captured quintile,</w:t>
      </w:r>
      <w:r>
        <w:t xml:space="preserve"> </w:t>
      </w:r>
      <w:r>
        <w:t xml:space="preserve">and the census congresses are the two smallest programmes in the series (497 and</w:t>
      </w:r>
      <w:r>
        <w:t xml:space="preserve"> </w:t>
      </w:r>
      <w:r>
        <w:t xml:space="preserve">392 supplement items against 663–901 earlier), so a genuinely more selective</w:t>
      </w:r>
      <w:r>
        <w:t xml:space="preserve"> </w:t>
      </w:r>
      <w:r>
        <w:t xml:space="preserve">meeting is a competing explanation for their higher rate that has nothing to do</w:t>
      </w:r>
      <w:r>
        <w:t xml:space="preserve"> </w:t>
      </w:r>
      <w:r>
        <w:t xml:space="preserve">with sampling.</w:t>
      </w:r>
    </w:p>
    <w:bookmarkEnd w:id="254"/>
    <w:bookmarkStart w:id="255" w:name="X5bdf782ab939408817926e78b4a0781f903775c"/>
    <w:p>
      <w:pPr>
        <w:pStyle w:val="Heading3"/>
      </w:pPr>
      <w:r>
        <w:t xml:space="preserve">A25.4 Why this is not fixable by weighting</w:t>
      </w:r>
    </w:p>
    <w:p>
      <w:pPr>
        <w:pStyle w:val="FirstParagraph"/>
      </w:pPr>
      <w:r>
        <w:t xml:space="preserve">Front truncation is not random missingness. The unobserved abstracts are</w:t>
      </w:r>
      <w:r>
        <w:t xml:space="preserve"> </w:t>
      </w:r>
      <w:r>
        <w:t xml:space="preserve">identified by their position in the printed programme, the observed rate varies</w:t>
      </w:r>
      <w:r>
        <w:t xml:space="preserve"> </w:t>
      </w:r>
      <w:r>
        <w:t xml:space="preserve">with that position, and the size of the unobserved set is itself unknown because</w:t>
      </w:r>
      <w:r>
        <w:t xml:space="preserve"> </w:t>
      </w:r>
      <w:r>
        <w:t xml:space="preserve">the oral block’s end page is unknown for ten congresses. There is no sampling</w:t>
      </w:r>
      <w:r>
        <w:t xml:space="preserve"> </w:t>
      </w:r>
      <w:r>
        <w:t xml:space="preserve">mechanism to model. The remedy is acquisition, not adjustment:</w:t>
      </w:r>
      <w:r>
        <w:t xml:space="preserve"> </w:t>
      </w:r>
      <w:r>
        <w:rPr>
          <w:rStyle w:val="VerbatimChar"/>
        </w:rPr>
        <w:t xml:space="preserve">scripts/extract_session_boundaries.R</w:t>
      </w:r>
      <w:r>
        <w:t xml:space="preserve"> </w:t>
      </w:r>
      <w:r>
        <w:t xml:space="preserve">recovers the block boundary from the</w:t>
      </w:r>
      <w:r>
        <w:t xml:space="preserve"> </w:t>
      </w:r>
      <w:r>
        <w:t xml:space="preserve">supplement table of contents, and</w:t>
      </w:r>
      <w:r>
        <w:t xml:space="preserve"> </w:t>
      </w:r>
      <w:r>
        <w:rPr>
          <w:rStyle w:val="VerbatimChar"/>
        </w:rPr>
        <w:t xml:space="preserve">scripts/acquire_supplements.R</w:t>
      </w:r>
      <w:r>
        <w:t xml:space="preserve"> </w:t>
      </w:r>
      <w:r>
        <w:t xml:space="preserve">gates the</w:t>
      </w:r>
      <w:r>
        <w:t xml:space="preserve"> </w:t>
      </w:r>
      <w:r>
        <w:t xml:space="preserve">inputs it needs.</w:t>
      </w:r>
    </w:p>
    <w:bookmarkEnd w:id="255"/>
    <w:bookmarkStart w:id="256" w:name="a25.5-the-decision-this-forces"/>
    <w:p>
      <w:pPr>
        <w:pStyle w:val="Heading3"/>
      </w:pPr>
      <w:r>
        <w:t xml:space="preserve">A25.5 The decision this forces</w:t>
      </w:r>
    </w:p>
    <w:p>
      <w:pPr>
        <w:pStyle w:val="FirstParagraph"/>
      </w:pPr>
      <w:r>
        <w:t xml:space="preserve">Either the ten historical boundaries are recovered and the twelve-year cohort</w:t>
      </w:r>
      <w:r>
        <w:t xml:space="preserve"> </w:t>
      </w:r>
      <w:r>
        <w:t xml:space="preserve">becomes a genuine census throughout, or the primary analysis narrows to the</w:t>
      </w:r>
      <w:r>
        <w:t xml:space="preserve"> </w:t>
      </w:r>
      <w:r>
        <w:t xml:space="preserve">congresses with complete enumeration. Reporting a pooled figure across two</w:t>
      </w:r>
      <w:r>
        <w:t xml:space="preserve"> </w:t>
      </w:r>
      <w:r>
        <w:t xml:space="preserve">incompatible frames is the one option that is not defensible, and choosing</w:t>
      </w:r>
      <w:r>
        <w:t xml:space="preserve"> </w:t>
      </w:r>
      <w:r>
        <w:t xml:space="preserve">between the other two is a PI decision rather than an engineering one.</w:t>
      </w:r>
    </w:p>
    <w:p>
      <w:pPr>
        <w:pStyle w:val="BodyText"/>
      </w:pPr>
      <w:r>
        <w:rPr>
          <w:rStyle w:val="VerbatimChar"/>
        </w:rPr>
        <w:t xml:space="preserve">scripts/cohort_frame_composition.R</w:t>
      </w:r>
      <w:r>
        <w:t xml:space="preserve"> </w:t>
      </w:r>
      <w:r>
        <w:t xml:space="preserve">regenerates the table above and</w:t>
      </w:r>
      <w:r>
        <w:t xml:space="preserve"> </w:t>
      </w:r>
      <w:r>
        <w:rPr>
          <w:rStyle w:val="VerbatimChar"/>
        </w:rPr>
        <w:t xml:space="preserve">output/figures/cohort_frame_composition.png</w:t>
      </w:r>
      <w:r>
        <w:t xml:space="preserve">.</w:t>
      </w:r>
    </w:p>
    <w:bookmarkEnd w:id="256"/>
    <w:bookmarkEnd w:id="257"/>
    <w:bookmarkStart w:id="264" w:name="X3c7a5c9b39fbc05b48cf72488e30cdbae002537"/>
    <w:p>
      <w:pPr>
        <w:pStyle w:val="Heading2"/>
      </w:pPr>
      <w:r>
        <w:t xml:space="preserve">A26. Proportional Hazards: Remediating an Arbitrary Set of Violators</w:t>
      </w:r>
    </w:p>
    <w:p>
      <w:pPr>
        <w:pStyle w:val="FirstParagraph"/>
      </w:pPr>
      <w:r>
        <w:t xml:space="preserve">The Cox model has two covariates whose hazard ratios are not constant over</w:t>
      </w:r>
      <w:r>
        <w:t xml:space="preserve"> </w:t>
      </w:r>
      <w:r>
        <w:t xml:space="preserve">follow-up. How they are handled determines which model the manuscript is</w:t>
      </w:r>
      <w:r>
        <w:t xml:space="preserve"> </w:t>
      </w:r>
      <w:r>
        <w:t xml:space="preserve">allowed to quote, and the previous implementation answered that question</w:t>
      </w:r>
      <w:r>
        <w:t xml:space="preserve"> </w:t>
      </w:r>
      <w:r>
        <w:t xml:space="preserve">inconsistently.</w:t>
      </w:r>
    </w:p>
    <w:bookmarkStart w:id="258" w:name="X43027fcf08e23b736ab5e95c6539580979ec75b"/>
    <w:p>
      <w:pPr>
        <w:pStyle w:val="Heading3"/>
      </w:pPr>
      <w:r>
        <w:t xml:space="preserve">A26.1 The defect was in the reporting, not the loop</w:t>
      </w:r>
    </w:p>
    <w:p>
      <w:pPr>
        <w:pStyle w:val="FirstParagraph"/>
      </w:pPr>
      <w:r>
        <w:t xml:space="preserve">The earlier code did treat violators as vectors. It built two sensitivity fits:</w:t>
      </w:r>
      <w:r>
        <w:t xml:space="preserve"> </w:t>
      </w:r>
      <w:r>
        <w:rPr>
          <w:rStyle w:val="VerbatimChar"/>
        </w:rPr>
        <w:t xml:space="preserve">strata()</w:t>
      </w:r>
      <w:r>
        <w:t xml:space="preserve"> </w:t>
      </w:r>
      <w:r>
        <w:t xml:space="preserve">on every violator, and</w:t>
      </w:r>
      <w:r>
        <w:t xml:space="preserve"> </w:t>
      </w:r>
      <w:r>
        <w:rPr>
          <w:rStyle w:val="VerbatimChar"/>
        </w:rPr>
        <w:t xml:space="preserve">tt()</w:t>
      </w:r>
      <w:r>
        <w:t xml:space="preserve"> </w:t>
      </w:r>
      <w:r>
        <w:t xml:space="preserve">on the numeric ones. It then wrote the</w:t>
      </w:r>
      <w:r>
        <w:t xml:space="preserve"> </w:t>
      </w:r>
      <w:r>
        <w:t xml:space="preserve">global Schoenfeld p of the</w:t>
      </w:r>
      <w:r>
        <w:t xml:space="preserve"> </w:t>
      </w:r>
      <w:r>
        <w:rPr>
          <w:b/>
          <w:bCs/>
        </w:rPr>
        <w:t xml:space="preserve">first</w:t>
      </w:r>
      <w:r>
        <w:t xml:space="preserve"> </w:t>
      </w:r>
      <w:r>
        <w:t xml:space="preserve">into the diagnostics artifact while</w:t>
      </w:r>
      <w:r>
        <w:t xml:space="preserve"> </w:t>
      </w:r>
      <w:r>
        <w:t xml:space="preserve">labelling it with a description of the</w:t>
      </w:r>
      <w:r>
        <w:t xml:space="preserve"> </w:t>
      </w:r>
      <w:r>
        <w:rPr>
          <w:b/>
          <w:bCs/>
        </w:rPr>
        <w:t xml:space="preserve">second</w:t>
      </w:r>
      <w:r>
        <w:t xml:space="preserve">:</w:t>
      </w:r>
    </w:p>
    <w:p>
      <w:pPr>
        <w:pStyle w:val="SourceCode"/>
      </w:pPr>
      <w:r>
        <w:rPr>
          <w:rStyle w:val="VerbatimChar"/>
        </w:rPr>
        <w:t xml:space="preserve">remediation         = "time_varying:n_authors;strata:is_us_based"</w:t>
      </w:r>
      <w:r>
        <w:br/>
      </w:r>
      <w:r>
        <w:rPr>
          <w:rStyle w:val="VerbatimChar"/>
        </w:rPr>
        <w:t xml:space="preserve">remediated_global_p = 0.607</w:t>
      </w:r>
    </w:p>
    <w:p>
      <w:pPr>
        <w:pStyle w:val="FirstParagraph"/>
      </w:pPr>
      <w:r>
        <w:t xml:space="preserve">0.607 came from a model that stratified on both, including on a numeric</w:t>
      </w:r>
      <w:r>
        <w:t xml:space="preserve"> </w:t>
      </w:r>
      <w:r>
        <w:t xml:space="preserve">covariate. The label and the number described different fits, and nothing</w:t>
      </w:r>
      <w:r>
        <w:t xml:space="preserve"> </w:t>
      </w:r>
      <w:r>
        <w:t xml:space="preserve">compared them. There was no production model that applied a type-appropriate</w:t>
      </w:r>
      <w:r>
        <w:t xml:space="preserve"> </w:t>
      </w:r>
      <w:r>
        <w:t xml:space="preserve">rule to each violator, and no model comparison of any kind was computed.</w:t>
      </w:r>
    </w:p>
    <w:bookmarkEnd w:id="258"/>
    <w:bookmarkStart w:id="259" w:name="Xe58df675de9304d9beb07268862165de489ef4b"/>
    <w:p>
      <w:pPr>
        <w:pStyle w:val="Heading3"/>
      </w:pPr>
      <w:r>
        <w:t xml:space="preserve">A26.2 A constraint that shapes the whole design</w:t>
      </w:r>
    </w:p>
    <w:p>
      <w:pPr>
        <w:pStyle w:val="FirstParagraph"/>
      </w:pPr>
      <w:r>
        <w:rPr>
          <w:rStyle w:val="VerbatimChar"/>
        </w:rPr>
        <w:t xml:space="preserve">survival::cox.zph()</w:t>
      </w:r>
      <w:r>
        <w:t xml:space="preserve"> </w:t>
      </w:r>
      <w:r>
        <w:t xml:space="preserve">refuses to run on a model containing</w:t>
      </w:r>
      <w:r>
        <w:t xml:space="preserve"> </w:t>
      </w:r>
      <w:r>
        <w:rPr>
          <w:rStyle w:val="VerbatimChar"/>
        </w:rPr>
        <w:t xml:space="preserve">tt()</w:t>
      </w:r>
      <w:r>
        <w:t xml:space="preserve"> </w:t>
      </w:r>
      <w:r>
        <w:t xml:space="preserve">terms:</w:t>
      </w:r>
    </w:p>
    <w:p>
      <w:pPr>
        <w:pStyle w:val="BlockText"/>
      </w:pPr>
      <w:r>
        <w:t xml:space="preserve">function not defined for models with tt() terms</w:t>
      </w:r>
    </w:p>
    <w:p>
      <w:pPr>
        <w:pStyle w:val="FirstParagraph"/>
      </w:pPr>
      <w:r>
        <w:t xml:space="preserve">A time-varying remediation therefore</w:t>
      </w:r>
      <w:r>
        <w:t xml:space="preserve"> </w:t>
      </w:r>
      <w:r>
        <w:rPr>
          <w:b/>
          <w:bCs/>
        </w:rPr>
        <w:t xml:space="preserve">cannot</w:t>
      </w:r>
      <w:r>
        <w:t xml:space="preserve"> </w:t>
      </w:r>
      <w:r>
        <w:t xml:space="preserve">produce a post-remediation</w:t>
      </w:r>
      <w:r>
        <w:t xml:space="preserve"> </w:t>
      </w:r>
      <w:r>
        <w:t xml:space="preserve">global PH p. Any pipeline that reports one for a</w:t>
      </w:r>
      <w:r>
        <w:t xml:space="preserve"> </w:t>
      </w:r>
      <w:r>
        <w:rPr>
          <w:rStyle w:val="VerbatimChar"/>
        </w:rPr>
        <w:t xml:space="preserve">tt()</w:t>
      </w:r>
      <w:r>
        <w:t xml:space="preserve"> </w:t>
      </w:r>
      <w:r>
        <w:t xml:space="preserve">model is reporting a</w:t>
      </w:r>
      <w:r>
        <w:t xml:space="preserve"> </w:t>
      </w:r>
      <w:r>
        <w:t xml:space="preserve">number computed from some other fit. This is not a limitation of the</w:t>
      </w:r>
      <w:r>
        <w:t xml:space="preserve"> </w:t>
      </w:r>
      <w:r>
        <w:t xml:space="preserve">implementation; it is a property of the test, and it is why the production model</w:t>
      </w:r>
      <w:r>
        <w:t xml:space="preserve"> </w:t>
      </w:r>
      <w:r>
        <w:t xml:space="preserve">is the one whose PH is re-testable rather than the one that keeps the effect</w:t>
      </w:r>
      <w:r>
        <w:t xml:space="preserve"> </w:t>
      </w:r>
      <w:r>
        <w:t xml:space="preserve">estimable.</w:t>
      </w:r>
    </w:p>
    <w:bookmarkEnd w:id="259"/>
    <w:bookmarkStart w:id="260" w:name="a26.3-what-each-model-is-for"/>
    <w:p>
      <w:pPr>
        <w:pStyle w:val="Heading3"/>
      </w:pPr>
      <w:r>
        <w:t xml:space="preserve">A26.3 What each model is for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role</w:t>
            </w:r>
          </w:p>
        </w:tc>
        <w:tc>
          <w:tcPr/>
          <w:p>
            <w:pPr>
              <w:pStyle w:val="Compact"/>
            </w:pPr>
            <w:r>
              <w:t xml:space="preserve">global PH p</w:t>
            </w:r>
          </w:p>
        </w:tc>
        <w:tc>
          <w:tcPr/>
          <w:p>
            <w:pPr>
              <w:pStyle w:val="Compact"/>
            </w:pPr>
            <w:r>
              <w:t xml:space="preserve">ΔAIC</w:t>
            </w:r>
          </w:p>
        </w:tc>
      </w:tr>
      <w:tr>
        <w:tc>
          <w:tcPr/>
          <w:p>
            <w:pPr>
              <w:pStyle w:val="Compact"/>
            </w:pPr>
            <w:r>
              <w:t xml:space="preserve">Original</w:t>
            </w:r>
          </w:p>
        </w:tc>
        <w:tc>
          <w:tcPr/>
          <w:p>
            <w:pPr>
              <w:pStyle w:val="Compact"/>
            </w:pPr>
            <w:r>
              <w:t xml:space="preserve">as fitted; violates PH</w:t>
            </w:r>
          </w:p>
        </w:tc>
        <w:tc>
          <w:tcPr/>
          <w:p>
            <w:pPr>
              <w:pStyle w:val="Compact"/>
            </w:pPr>
            <w:r>
              <w:t xml:space="preserve">0.010</w:t>
            </w:r>
          </w:p>
        </w:tc>
        <w:tc>
          <w:tcPr/>
          <w:p>
            <w:pPr>
              <w:pStyle w:val="Compact"/>
            </w:pPr>
            <w:r>
              <w:t xml:space="preserve">0</w:t>
            </w:r>
          </w:p>
        </w:tc>
      </w:tr>
      <w:tr>
        <w:tc>
          <w:tcPr/>
          <w:p>
            <w:pPr>
              <w:pStyle w:val="Compact"/>
            </w:pPr>
            <w:r>
              <w:rPr>
                <w:b/>
                <w:bCs/>
              </w:rPr>
              <w:t xml:space="preserve">Production</w:t>
            </w:r>
          </w:p>
        </w:tc>
        <w:tc>
          <w:tcPr/>
          <w:p>
            <w:pPr>
              <w:pStyle w:val="Compact"/>
            </w:pPr>
            <w:r>
              <w:t xml:space="preserve">each violator remediated by its registered rule</w:t>
            </w:r>
          </w:p>
        </w:tc>
        <w:tc>
          <w:tcPr/>
          <w:p>
            <w:pPr>
              <w:pStyle w:val="Compact"/>
            </w:pPr>
            <w:r>
              <w:rPr>
                <w:b/>
                <w:bCs/>
              </w:rPr>
              <w:t xml:space="preserve">0.607</w:t>
            </w:r>
          </w:p>
        </w:tc>
        <w:tc>
          <w:tcPr/>
          <w:p>
            <w:pPr>
              <w:pStyle w:val="Compact"/>
            </w:pPr>
            <w:r>
              <w:t xml:space="preserve">−617.8</w:t>
            </w:r>
          </w:p>
        </w:tc>
      </w:tr>
      <w:tr>
        <w:tc>
          <w:tcPr/>
          <w:p>
            <w:pPr>
              <w:pStyle w:val="Compact"/>
            </w:pPr>
            <w:r>
              <w:t xml:space="preserve">Violators dropped</w:t>
            </w:r>
          </w:p>
        </w:tc>
        <w:tc>
          <w:tcPr/>
          <w:p>
            <w:pPr>
              <w:pStyle w:val="Compact"/>
            </w:pPr>
            <w:r>
              <w:t xml:space="preserve">diagnostic only, never quoted</w:t>
            </w:r>
          </w:p>
        </w:tc>
        <w:tc>
          <w:tcPr/>
          <w:p>
            <w:pPr>
              <w:pStyle w:val="Compact"/>
            </w:pPr>
            <w:r>
              <w:t xml:space="preserve">0.263</w:t>
            </w:r>
          </w:p>
        </w:tc>
        <w:tc>
          <w:tcPr/>
          <w:p>
            <w:pPr>
              <w:pStyle w:val="Compact"/>
            </w:pPr>
            <w:r>
              <w:t xml:space="preserve">+8.4</w:t>
            </w:r>
          </w:p>
        </w:tc>
      </w:tr>
      <w:tr>
        <w:tc>
          <w:tcPr/>
          <w:p>
            <w:pPr>
              <w:pStyle w:val="Compact"/>
            </w:pPr>
            <w:r>
              <w:t xml:space="preserve">Time-varying</w:t>
            </w:r>
          </w:p>
        </w:tc>
        <w:tc>
          <w:tcPr/>
          <w:p>
            <w:pPr>
              <w:pStyle w:val="Compact"/>
            </w:pPr>
            <w:r>
              <w:t xml:space="preserve">sensitivity; keeps the effect estimable</w:t>
            </w:r>
          </w:p>
        </w:tc>
        <w:tc>
          <w:tcPr/>
          <w:p>
            <w:pPr>
              <w:pStyle w:val="Compact"/>
            </w:pPr>
            <w:r>
              <w:t xml:space="preserve">not defined</w:t>
            </w:r>
          </w:p>
        </w:tc>
        <w:tc>
          <w:tcPr/>
          <w:p>
            <w:pPr>
              <w:pStyle w:val="Compact"/>
            </w:pPr>
            <w:r>
              <w:t xml:space="preserve">−7.4</w:t>
            </w:r>
          </w:p>
        </w:tc>
      </w:tr>
    </w:tbl>
    <w:p>
      <w:pPr>
        <w:pStyle w:val="BodyText"/>
      </w:pPr>
      <w:r>
        <w:t xml:space="preserve">The production model is what the manuscript reports. Dropping the violators is</w:t>
      </w:r>
      <w:r>
        <w:t xml:space="preserve"> </w:t>
      </w:r>
      <w:r>
        <w:t xml:space="preserve">kept only so the remediation can be compared against simply deleting the</w:t>
      </w:r>
      <w:r>
        <w:t xml:space="preserve"> </w:t>
      </w:r>
      <w:r>
        <w:t xml:space="preserve">problem, and it is worse on both counts: it fits less well and it does not</w:t>
      </w:r>
      <w:r>
        <w:t xml:space="preserve"> </w:t>
      </w:r>
      <w:r>
        <w:t xml:space="preserve">recover proportional hazards as convincingly.</w:t>
      </w:r>
    </w:p>
    <w:bookmarkEnd w:id="260"/>
    <w:bookmarkStart w:id="261" w:name="X749ea8113716abe476351182c652997871c8215"/>
    <w:p>
      <w:pPr>
        <w:pStyle w:val="Heading3"/>
      </w:pPr>
      <w:r>
        <w:t xml:space="preserve">A26.4 The rules are a registry, and it fails closed</w:t>
      </w:r>
    </w:p>
    <w:p>
      <w:pPr>
        <w:pStyle w:val="FirstParagraph"/>
      </w:pPr>
      <w:r>
        <w:rPr>
          <w:rStyle w:val="VerbatimChar"/>
        </w:rPr>
        <w:t xml:space="preserve">R/utils_ph.R</w:t>
      </w:r>
      <w:r>
        <w:t xml:space="preserve"> </w:t>
      </w:r>
      <w:r>
        <w:t xml:space="preserve">keys remediation on variable type rather than on position or</w:t>
      </w:r>
      <w:r>
        <w:t xml:space="preserve"> </w:t>
      </w:r>
      <w:r>
        <w:t xml:space="preserve">name. A logical or categorical violator is stratified. A numeric violator is</w:t>
      </w:r>
      <w:r>
        <w:t xml:space="preserve"> </w:t>
      </w:r>
      <w:r>
        <w:t xml:space="preserve">stratified for the production fit and additionally given a log-time interaction</w:t>
      </w:r>
      <w:r>
        <w:t xml:space="preserve"> </w:t>
      </w:r>
      <w:r>
        <w:t xml:space="preserve">as a sensitivity analysis. A violator whose type has no registered rule</w:t>
      </w:r>
      <w:r>
        <w:t xml:space="preserve"> </w:t>
      </w:r>
      <w:r>
        <w:rPr>
          <w:b/>
          <w:bCs/>
        </w:rPr>
        <w:t xml:space="preserve">stops</w:t>
      </w:r>
      <w:r>
        <w:rPr>
          <w:b/>
          <w:bCs/>
        </w:rPr>
        <w:t xml:space="preserve"> </w:t>
      </w:r>
      <w:r>
        <w:rPr>
          <w:b/>
          <w:bCs/>
        </w:rPr>
        <w:t xml:space="preserve">the run</w:t>
      </w:r>
      <w:r>
        <w:t xml:space="preserve">: a silently unremediated violator is indistinguishable in the output</w:t>
      </w:r>
      <w:r>
        <w:t xml:space="preserve"> </w:t>
      </w:r>
      <w:r>
        <w:t xml:space="preserve">from one that never violated, which is precisely the failure this section</w:t>
      </w:r>
      <w:r>
        <w:t xml:space="preserve"> </w:t>
      </w:r>
      <w:r>
        <w:t xml:space="preserve">exists to prevent.</w:t>
      </w:r>
    </w:p>
    <w:p>
      <w:pPr>
        <w:pStyle w:val="BodyText"/>
      </w:pPr>
      <w:r>
        <w:t xml:space="preserve">Two further refusals are deliberate.</w:t>
      </w:r>
      <w:r>
        <w:t xml:space="preserve"> </w:t>
      </w:r>
      <w:r>
        <w:rPr>
          <w:rStyle w:val="VerbatimChar"/>
        </w:rPr>
        <w:t xml:space="preserve">ph_retest()</w:t>
      </w:r>
      <w:r>
        <w:t xml:space="preserve"> </w:t>
      </w:r>
      <w:r>
        <w:t xml:space="preserve">reports</w:t>
      </w:r>
      <w:r>
        <w:t xml:space="preserve"> </w:t>
      </w:r>
      <w:r>
        <w:rPr>
          <w:i/>
          <w:iCs/>
        </w:rPr>
        <w:t xml:space="preserve">why</w:t>
      </w:r>
      <w:r>
        <w:t xml:space="preserve"> </w:t>
      </w:r>
      <w:r>
        <w:t xml:space="preserve">a</w:t>
      </w:r>
      <w:r>
        <w:t xml:space="preserve"> </w:t>
      </w:r>
      <w:r>
        <w:t xml:space="preserve">post-remediation p is unavailable rather than returning a bare</w:t>
      </w:r>
      <w:r>
        <w:t xml:space="preserve"> </w:t>
      </w:r>
      <w:r>
        <w:rPr>
          <w:rStyle w:val="VerbatimChar"/>
        </w:rPr>
        <w:t xml:space="preserve">NA</w:t>
      </w:r>
      <w:r>
        <w:t xml:space="preserve">, so a</w:t>
      </w:r>
      <w:r>
        <w:t xml:space="preserve"> </w:t>
      </w:r>
      <w:r>
        <w:t xml:space="preserve">missing diagnostic cannot be mistaken for a passing one. And</w:t>
      </w:r>
      <w:r>
        <w:t xml:space="preserve"> </w:t>
      </w:r>
      <w:r>
        <w:rPr>
          <w:rStyle w:val="VerbatimChar"/>
        </w:rPr>
        <w:t xml:space="preserve">ph_production_formula()</w:t>
      </w:r>
      <w:r>
        <w:t xml:space="preserve"> </w:t>
      </w:r>
      <w:r>
        <w:t xml:space="preserve">rejects a right-hand side of nothing but</w:t>
      </w:r>
      <w:r>
        <w:t xml:space="preserve"> </w:t>
      </w:r>
      <w:r>
        <w:rPr>
          <w:rStyle w:val="VerbatimChar"/>
        </w:rPr>
        <w:t xml:space="preserve">strata()</w:t>
      </w:r>
      <w:r>
        <w:t xml:space="preserve"> </w:t>
      </w:r>
      <w:r>
        <w:t xml:space="preserve">terms, which estimates no coefficients at all.</w:t>
      </w:r>
    </w:p>
    <w:bookmarkEnd w:id="261"/>
    <w:bookmarkStart w:id="262" w:name="X2ff0ffc2255139c07f7046c0ee14c4f98c671fe"/>
    <w:p>
      <w:pPr>
        <w:pStyle w:val="Heading3"/>
      </w:pPr>
      <w:r>
        <w:t xml:space="preserve">A26.5 A stratified covariate has no hazard ratio</w:t>
      </w:r>
    </w:p>
    <w:p>
      <w:pPr>
        <w:pStyle w:val="FirstParagraph"/>
      </w:pPr>
      <w:r>
        <w:t xml:space="preserve">This is the consequence that reaches the prose.</w:t>
      </w:r>
      <w:r>
        <w:t xml:space="preserve"> </w:t>
      </w:r>
      <w:r>
        <w:rPr>
          <w:rStyle w:val="VerbatimChar"/>
        </w:rPr>
        <w:t xml:space="preserve">is_us_based</w:t>
      </w:r>
      <w:r>
        <w:t xml:space="preserve"> </w:t>
      </w:r>
      <w:r>
        <w:t xml:space="preserve">and</w:t>
      </w:r>
      <w:r>
        <w:t xml:space="preserve"> </w:t>
      </w:r>
      <w:r>
        <w:rPr>
          <w:rStyle w:val="VerbatimChar"/>
        </w:rPr>
        <w:t xml:space="preserve">n_authors</w:t>
      </w:r>
      <w:r>
        <w:t xml:space="preserve"> </w:t>
      </w:r>
      <w:r>
        <w:t xml:space="preserve">are absorbed into the model’s strata, so the production model reports no hazard</w:t>
      </w:r>
      <w:r>
        <w:t xml:space="preserve"> </w:t>
      </w:r>
      <w:r>
        <w:t xml:space="preserve">ratio for either. The manuscript previously read</w:t>
      </w:r>
      <w:r>
        <w:t xml:space="preserve"> </w:t>
      </w:r>
      <w:r>
        <w:rPr>
          <w:rStyle w:val="VerbatimChar"/>
        </w:rPr>
        <w:t xml:space="preserve">aim2b_cox_regression.csv</w:t>
      </w:r>
      <w:r>
        <w:t xml:space="preserve"> </w:t>
      </w:r>
      <w:r>
        <w:t xml:space="preserve">–</w:t>
      </w:r>
      <w:r>
        <w:t xml:space="preserve"> </w:t>
      </w:r>
      <w:r>
        <w:t xml:space="preserve">the original fit, whose PH assumption is violated – and reported its hazard</w:t>
      </w:r>
      <w:r>
        <w:t xml:space="preserve"> </w:t>
      </w:r>
      <w:r>
        <w:t xml:space="preserve">ratios as the study’s results. It now reads the production model and says</w:t>
      </w:r>
      <w:r>
        <w:t xml:space="preserve"> </w:t>
      </w:r>
      <w:r>
        <w:t xml:space="preserve">plainly that those two covariates have no single hazard ratio, pointing to the</w:t>
      </w:r>
      <w:r>
        <w:t xml:space="preserve"> </w:t>
      </w:r>
      <w:r>
        <w:t xml:space="preserve">time-varying fit for how the effect of author count changes with follow-up.</w:t>
      </w:r>
    </w:p>
    <w:bookmarkEnd w:id="262"/>
    <w:bookmarkStart w:id="263" w:name="a26.6-what-this-did-not-fix"/>
    <w:p>
      <w:pPr>
        <w:pStyle w:val="Heading3"/>
      </w:pPr>
      <w:r>
        <w:t xml:space="preserve">A26.6 What this did not fix</w:t>
      </w:r>
    </w:p>
    <w:p>
      <w:pPr>
        <w:pStyle w:val="FirstParagraph"/>
      </w:pPr>
      <w:r>
        <w:t xml:space="preserve">Re-running</w:t>
      </w:r>
      <w:r>
        <w:t xml:space="preserve"> </w:t>
      </w:r>
      <w:r>
        <w:rPr>
          <w:rStyle w:val="VerbatimChar"/>
        </w:rPr>
        <w:t xml:space="preserve">R/06_analyze_results.R</w:t>
      </w:r>
      <w:r>
        <w:t xml:space="preserve"> </w:t>
      </w:r>
      <w:r>
        <w:t xml:space="preserve">from committed inputs produces a different</w:t>
      </w:r>
      <w:r>
        <w:t xml:space="preserve"> </w:t>
      </w:r>
      <w:r>
        <w:t xml:space="preserve">analytic dataset from the committed one: 172 published against 170, 16.4%</w:t>
      </w:r>
      <w:r>
        <w:t xml:space="preserve"> </w:t>
      </w:r>
      <w:r>
        <w:t xml:space="preserve">against 16.2%. The committed outputs are stale relative to their own inputs.</w:t>
      </w:r>
      <w:r>
        <w:t xml:space="preserve"> </w:t>
      </w:r>
      <w:r>
        <w:t xml:space="preserve">That is a reproducibility defect and it moves a reported number, so it is a</w:t>
      </w:r>
      <w:r>
        <w:t xml:space="preserve"> </w:t>
      </w:r>
      <w:r>
        <w:t xml:space="preserve">decision for the PI rather than something a diagnostics refactor may absorb.</w:t>
      </w:r>
      <w:r>
        <w:t xml:space="preserve"> </w:t>
      </w:r>
      <w:r>
        <w:t xml:space="preserve">Every regenerated output was reverted;</w:t>
      </w:r>
      <w:r>
        <w:t xml:space="preserve"> </w:t>
      </w:r>
      <w:r>
        <w:rPr>
          <w:rStyle w:val="VerbatimChar"/>
        </w:rPr>
        <w:t xml:space="preserve">scripts/regen_ph_diagnostics.R</w:t>
      </w:r>
      <w:r>
        <w:t xml:space="preserve"> </w:t>
      </w:r>
      <w:r>
        <w:t xml:space="preserve">writes</w:t>
      </w:r>
      <w:r>
        <w:t xml:space="preserve"> </w:t>
      </w:r>
      <w:r>
        <w:t xml:space="preserve">the new PH artifacts from the committed dataset so nothing else moves, and</w:t>
      </w:r>
      <w:r>
        <w:t xml:space="preserve"> </w:t>
      </w:r>
      <w:r>
        <w:t xml:space="preserve">becomes unnecessary once the staleness is resolved.</w:t>
      </w:r>
    </w:p>
    <w:p>
      <w:pPr>
        <w:pStyle w:val="BodyText"/>
      </w:pPr>
      <w:r>
        <w:rPr>
          <w:rStyle w:val="VerbatimChar"/>
        </w:rPr>
        <w:t xml:space="preserve">scripts/ph_diagnostics_figure.R</w:t>
      </w:r>
      <w:r>
        <w:t xml:space="preserve"> </w:t>
      </w:r>
      <w:r>
        <w:t xml:space="preserve">draws the table above, and</w:t>
      </w:r>
      <w:r>
        <w:t xml:space="preserve"> </w:t>
      </w:r>
      <w:r>
        <w:rPr>
          <w:rStyle w:val="VerbatimChar"/>
        </w:rPr>
        <w:t xml:space="preserve">scripts/completion_report.R</w:t>
      </w:r>
      <w:r>
        <w:t xml:space="preserve"> </w:t>
      </w:r>
      <w:r>
        <w:t xml:space="preserve">prints the repository’s state from artifacts</w:t>
      </w:r>
      <w:r>
        <w:t xml:space="preserve"> </w:t>
      </w:r>
      <w:r>
        <w:t xml:space="preserve">rather than from prose.</w:t>
      </w:r>
    </w:p>
    <w:bookmarkEnd w:id="263"/>
    <w:bookmarkEnd w:id="2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0" Target="media/rId200.png" /><Relationship Type="http://schemas.openxmlformats.org/officeDocument/2006/relationships/hyperlink" Id="rId21" Target="https://github.com/mufflyt/abstract_lifetime" TargetMode="External" /><Relationship Type="http://schemas.openxmlformats.org/officeDocument/2006/relationships/hyperlink" Id="rId160" Target="https://journals.lww.com/greenjournal/Pages/collectiondetails.aspx?TopicalCollectionId=128" TargetMode="External" /><Relationship Type="http://schemas.openxmlformats.org/officeDocument/2006/relationships/hyperlink" Id="rId144" Target="https://journals.lww.com/greenjournal/Pages/collectiondetails.aspx?TopicalCollectionId=129" TargetMode="External" /><Relationship Type="http://schemas.openxmlformats.org/officeDocument/2006/relationships/hyperlink" Id="rId158" Target="https://journals.lww.com/greenjournal/toc/2013/05001" TargetMode="External" /><Relationship Type="http://schemas.openxmlformats.org/officeDocument/2006/relationships/hyperlink" Id="rId157" Target="https://journals.lww.com/greenjournal/toc/2014/05001" TargetMode="External" /><Relationship Type="http://schemas.openxmlformats.org/officeDocument/2006/relationships/hyperlink" Id="rId156" Target="https://journals.lww.com/greenjournal/toc/2015/05001" TargetMode="External" /><Relationship Type="http://schemas.openxmlformats.org/officeDocument/2006/relationships/hyperlink" Id="rId143" Target="https://journals.lww.com/greenjournal/toc/2015/10001" TargetMode="External" /><Relationship Type="http://schemas.openxmlformats.org/officeDocument/2006/relationships/hyperlink" Id="rId155" Target="https://journals.lww.com/greenjournal/toc/2016/05001" TargetMode="External" /><Relationship Type="http://schemas.openxmlformats.org/officeDocument/2006/relationships/hyperlink" Id="rId142" Target="https://journals.lww.com/greenjournal/toc/2016/10001" TargetMode="External" /><Relationship Type="http://schemas.openxmlformats.org/officeDocument/2006/relationships/hyperlink" Id="rId154" Target="https://journals.lww.com/greenjournal/toc/2017/05001" TargetMode="External" /><Relationship Type="http://schemas.openxmlformats.org/officeDocument/2006/relationships/hyperlink" Id="rId141" Target="https://journals.lww.com/greenjournal/toc/2017/10001" TargetMode="External" /><Relationship Type="http://schemas.openxmlformats.org/officeDocument/2006/relationships/hyperlink" Id="rId153" Target="https://journals.lww.com/greenjournal/toc/2018/05001" TargetMode="External" /><Relationship Type="http://schemas.openxmlformats.org/officeDocument/2006/relationships/hyperlink" Id="rId140" Target="https://journals.lww.com/greenjournal/toc/2018/10001" TargetMode="External" /><Relationship Type="http://schemas.openxmlformats.org/officeDocument/2006/relationships/hyperlink" Id="rId152" Target="https://journals.lww.com/greenjournal/toc/2019/05001" TargetMode="External" /><Relationship Type="http://schemas.openxmlformats.org/officeDocument/2006/relationships/hyperlink" Id="rId139" Target="https://journals.lww.com/greenjournal/toc/2019/10001" TargetMode="External" /><Relationship Type="http://schemas.openxmlformats.org/officeDocument/2006/relationships/hyperlink" Id="rId151" Target="https://journals.lww.com/greenjournal/toc/2020/05001" TargetMode="External" /><Relationship Type="http://schemas.openxmlformats.org/officeDocument/2006/relationships/hyperlink" Id="rId138" Target="https://journals.lww.com/greenjournal/toc/2020/10001" TargetMode="External" /><Relationship Type="http://schemas.openxmlformats.org/officeDocument/2006/relationships/hyperlink" Id="rId150" Target="https://journals.lww.com/greenjournal/toc/2021/05001" TargetMode="External" /><Relationship Type="http://schemas.openxmlformats.org/officeDocument/2006/relationships/hyperlink" Id="rId137" Target="https://journals.lww.com/greenjournal/toc/2021/10001" TargetMode="External" /><Relationship Type="http://schemas.openxmlformats.org/officeDocument/2006/relationships/hyperlink" Id="rId149" Target="https://journals.lww.com/greenjournal/toc/2022/05001" TargetMode="External" /><Relationship Type="http://schemas.openxmlformats.org/officeDocument/2006/relationships/hyperlink" Id="rId136" Target="https://journals.lww.com/greenjournal/toc/2022/10001" TargetMode="External" /><Relationship Type="http://schemas.openxmlformats.org/officeDocument/2006/relationships/hyperlink" Id="rId148" Target="https://journals.lww.com/greenjournal/toc/2023/05001" TargetMode="External" /><Relationship Type="http://schemas.openxmlformats.org/officeDocument/2006/relationships/hyperlink" Id="rId135" Target="https://journals.lww.com/greenjournal/toc/2023/10001" TargetMode="External" /><Relationship Type="http://schemas.openxmlformats.org/officeDocument/2006/relationships/hyperlink" Id="rId31" Target="https://mufflyt.shinyapps.io/aagl-adjudication/" TargetMode="External" /><Relationship Type="http://schemas.openxmlformats.org/officeDocument/2006/relationships/hyperlink" Id="rId91" Target="https://publications.smfm.org/" TargetMode="External" /><Relationship Type="http://schemas.openxmlformats.org/officeDocument/2006/relationships/hyperlink" Id="rId159" Target="https://pubmed.ncbi.nlm.nih.gov/25756102/" TargetMode="External" /><Relationship Type="http://schemas.openxmlformats.org/officeDocument/2006/relationships/hyperlink" Id="rId102" Target="https://pubmed.ncbi.nlm.nih.gov/26141818/" TargetMode="External" /><Relationship Type="http://schemas.openxmlformats.org/officeDocument/2006/relationships/hyperlink" Id="rId101" Target="https://pubmed.ncbi.nlm.nih.gov/27477065/" TargetMode="External" /><Relationship Type="http://schemas.openxmlformats.org/officeDocument/2006/relationships/hyperlink" Id="rId100" Target="https://pubmed.ncbi.nlm.nih.gov/28757435/" TargetMode="External" /><Relationship Type="http://schemas.openxmlformats.org/officeDocument/2006/relationships/hyperlink" Id="rId99" Target="https://pubmed.ncbi.nlm.nih.gov/30031792/" TargetMode="External" /><Relationship Type="http://schemas.openxmlformats.org/officeDocument/2006/relationships/hyperlink" Id="rId98" Target="https://pubmed.ncbi.nlm.nih.gov/31348904/" TargetMode="External" /><Relationship Type="http://schemas.openxmlformats.org/officeDocument/2006/relationships/hyperlink" Id="rId97" Target="https://pubmed.ncbi.nlm.nih.gov/32707100/" TargetMode="External" /><Relationship Type="http://schemas.openxmlformats.org/officeDocument/2006/relationships/hyperlink" Id="rId96" Target="https://pubmed.ncbi.nlm.nih.gov/34289414/" TargetMode="External" /><Relationship Type="http://schemas.openxmlformats.org/officeDocument/2006/relationships/hyperlink" Id="rId95" Target="https://pubmed.ncbi.nlm.nih.gov/36403795/" TargetMode="External" /><Relationship Type="http://schemas.openxmlformats.org/officeDocument/2006/relationships/hyperlink" Id="rId94" Target="https://pubmed.ncbi.nlm.nih.gov/37821000/" TargetMode="External" /><Relationship Type="http://schemas.openxmlformats.org/officeDocument/2006/relationships/hyperlink" Id="rId126" Target="https://sasgog.org/2018-abstracts/" TargetMode="External" /><Relationship Type="http://schemas.openxmlformats.org/officeDocument/2006/relationships/hyperlink" Id="rId125" Target="https://sasgog.org/2019-abstracts/" TargetMode="External" /><Relationship Type="http://schemas.openxmlformats.org/officeDocument/2006/relationships/hyperlink" Id="rId124" Target="https://sasgog.org/2020-abstracts/" TargetMode="External" /><Relationship Type="http://schemas.openxmlformats.org/officeDocument/2006/relationships/hyperlink" Id="rId123" Target="https://sasgog.org/2021-abstracts/" TargetMode="External" /><Relationship Type="http://schemas.openxmlformats.org/officeDocument/2006/relationships/hyperlink" Id="rId122" Target="https://sasgog.org/2022-abstracts/" TargetMode="External" /><Relationship Type="http://schemas.openxmlformats.org/officeDocument/2006/relationships/hyperlink" Id="rId121" Target="https://sasgog.org/2023-abstracts/" TargetMode="External" /><Relationship Type="http://schemas.openxmlformats.org/officeDocument/2006/relationships/hyperlink" Id="rId128" Target="https://sasgog.org/about/" TargetMode="External" /><Relationship Type="http://schemas.openxmlformats.org/officeDocument/2006/relationships/hyperlink" Id="rId127" Target="https://sasgog.org/abstracts/" TargetMode="External" /><Relationship Type="http://schemas.openxmlformats.org/officeDocument/2006/relationships/hyperlink" Id="rId129" Target="https://sasgog.org/annual-meeting/" TargetMode="External" /><Relationship Type="http://schemas.openxmlformats.org/officeDocument/2006/relationships/hyperlink" Id="rId103" Target="https://societyfp.org/learning/annual-meeting/" TargetMode="External" /><Relationship Type="http://schemas.openxmlformats.org/officeDocument/2006/relationships/hyperlink" Id="rId134" Target="https://tools.apgo.org/abstract-catalog/" TargetMode="External" /><Relationship Type="http://schemas.openxmlformats.org/officeDocument/2006/relationships/hyperlink" Id="rId104" Target="https://www.contraceptionjournal.org/article/S0010-7824(18)30259-2/fulltext" TargetMode="External" /><Relationship Type="http://schemas.openxmlformats.org/officeDocument/2006/relationships/hyperlink" Id="rId118" Target="https://www.naspag.org/acrm-future-and-past" TargetMode="External" /><Relationship Type="http://schemas.openxmlformats.org/officeDocument/2006/relationships/hyperlink" Id="rId90" Target="https://www.sciencedirect.com/journal/american-journal-of-obstetrics-and-gynecology/vol/208/issue/1/suppl/S" TargetMode="External" /><Relationship Type="http://schemas.openxmlformats.org/officeDocument/2006/relationships/hyperlink" Id="rId89" Target="https://www.sciencedirect.com/journal/american-journal-of-obstetrics-and-gynecology/vol/210/issue/1/suppl/S" TargetMode="External" /><Relationship Type="http://schemas.openxmlformats.org/officeDocument/2006/relationships/hyperlink" Id="rId88" Target="https://www.sciencedirect.com/journal/american-journal-of-obstetrics-and-gynecology/vol/212/issue/1/suppl/S" TargetMode="External" /><Relationship Type="http://schemas.openxmlformats.org/officeDocument/2006/relationships/hyperlink" Id="rId87" Target="https://www.sciencedirect.com/journal/american-journal-of-obstetrics-and-gynecology/vol/214/issue/1/suppl/S" TargetMode="External" /><Relationship Type="http://schemas.openxmlformats.org/officeDocument/2006/relationships/hyperlink" Id="rId86" Target="https://www.sciencedirect.com/journal/american-journal-of-obstetrics-and-gynecology/vol/216/issue/1/suppl/S" TargetMode="External" /><Relationship Type="http://schemas.openxmlformats.org/officeDocument/2006/relationships/hyperlink" Id="rId85" Target="https://www.sciencedirect.com/journal/american-journal-of-obstetrics-and-gynecology/vol/218/issue/1/suppl/S" TargetMode="External" /><Relationship Type="http://schemas.openxmlformats.org/officeDocument/2006/relationships/hyperlink" Id="rId84" Target="https://www.sciencedirect.com/journal/american-journal-of-obstetrics-and-gynecology/vol/220/issue/1/suppl/S" TargetMode="External" /><Relationship Type="http://schemas.openxmlformats.org/officeDocument/2006/relationships/hyperlink" Id="rId83" Target="https://www.sciencedirect.com/journal/american-journal-of-obstetrics-and-gynecology/vol/222/issue/1/suppl/S" TargetMode="External" /><Relationship Type="http://schemas.openxmlformats.org/officeDocument/2006/relationships/hyperlink" Id="rId82" Target="https://www.sciencedirect.com/journal/american-journal-of-obstetrics-and-gynecology/vol/224/issue/2/suppl/S" TargetMode="External" /><Relationship Type="http://schemas.openxmlformats.org/officeDocument/2006/relationships/hyperlink" Id="rId81" Target="https://www.sciencedirect.com/journal/american-journal-of-obstetrics-and-gynecology/vol/226/issue/1/suppl/S" TargetMode="External" /><Relationship Type="http://schemas.openxmlformats.org/officeDocument/2006/relationships/hyperlink" Id="rId80" Target="https://www.sciencedirect.com/journal/american-journal-of-obstetrics-and-gynecology/vol/228/issue/1/suppl/S" TargetMode="External" /><Relationship Type="http://schemas.openxmlformats.org/officeDocument/2006/relationships/hyperlink" Id="rId117" Target="https://www.sciencedirect.com/journal/journal-of-pediatric-and-adolescent-gynecology" TargetMode="External" /><Relationship Type="http://schemas.openxmlformats.org/officeDocument/2006/relationships/hyperlink" Id="rId116" Target="https://www.sciencedirect.com/journal/journal-of-pediatric-and-adolescent-gynecology/vol/26/issue/2" TargetMode="External" /><Relationship Type="http://schemas.openxmlformats.org/officeDocument/2006/relationships/hyperlink" Id="rId115" Target="https://www.sciencedirect.com/journal/journal-of-pediatric-and-adolescent-gynecology/vol/27/issue/2" TargetMode="External" /><Relationship Type="http://schemas.openxmlformats.org/officeDocument/2006/relationships/hyperlink" Id="rId114" Target="https://www.sciencedirect.com/journal/journal-of-pediatric-and-adolescent-gynecology/vol/28/issue/2" TargetMode="External" /><Relationship Type="http://schemas.openxmlformats.org/officeDocument/2006/relationships/hyperlink" Id="rId113" Target="https://www.sciencedirect.com/journal/journal-of-pediatric-and-adolescent-gynecology/vol/29/issue/2" TargetMode="External" /><Relationship Type="http://schemas.openxmlformats.org/officeDocument/2006/relationships/hyperlink" Id="rId112" Target="https://www.sciencedirect.com/journal/journal-of-pediatric-and-adolescent-gynecology/vol/30/issue/2" TargetMode="External" /><Relationship Type="http://schemas.openxmlformats.org/officeDocument/2006/relationships/hyperlink" Id="rId111" Target="https://www.sciencedirect.com/journal/journal-of-pediatric-and-adolescent-gynecology/vol/31/issue/2" TargetMode="External" /><Relationship Type="http://schemas.openxmlformats.org/officeDocument/2006/relationships/hyperlink" Id="rId110" Target="https://www.sciencedirect.com/journal/journal-of-pediatric-and-adolescent-gynecology/vol/32/issue/2" TargetMode="External" /><Relationship Type="http://schemas.openxmlformats.org/officeDocument/2006/relationships/hyperlink" Id="rId109" Target="https://www.sciencedirect.com/journal/journal-of-pediatric-and-adolescent-gynecology/vol/33/issue/2" TargetMode="External" /><Relationship Type="http://schemas.openxmlformats.org/officeDocument/2006/relationships/hyperlink" Id="rId108" Target="https://www.sciencedirect.com/journal/journal-of-pediatric-and-adolescent-gynecology/vol/34/issue/2" TargetMode="External" /><Relationship Type="http://schemas.openxmlformats.org/officeDocument/2006/relationships/hyperlink" Id="rId107" Target="https://www.sciencedirect.com/journal/journal-of-pediatric-and-adolescent-gynecology/vol/35/issue/2" TargetMode="External" /><Relationship Type="http://schemas.openxmlformats.org/officeDocument/2006/relationships/hyperlink" Id="rId106" Target="https://www.sciencedirect.com/journal/journal-of-pediatric-and-adolescent-gynecology/vol/36/issue/2" TargetMode="External" /><Relationship Type="http://schemas.openxmlformats.org/officeDocument/2006/relationships/hyperlink" Id="rId145" Target="https://www.tandfonline.com/doi/full/10.1080/10401334.2015.1107492"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mufflyt/abstract_lifetime" TargetMode="External" /><Relationship Type="http://schemas.openxmlformats.org/officeDocument/2006/relationships/hyperlink" Id="rId160" Target="https://journals.lww.com/greenjournal/Pages/collectiondetails.aspx?TopicalCollectionId=128" TargetMode="External" /><Relationship Type="http://schemas.openxmlformats.org/officeDocument/2006/relationships/hyperlink" Id="rId144" Target="https://journals.lww.com/greenjournal/Pages/collectiondetails.aspx?TopicalCollectionId=129" TargetMode="External" /><Relationship Type="http://schemas.openxmlformats.org/officeDocument/2006/relationships/hyperlink" Id="rId158" Target="https://journals.lww.com/greenjournal/toc/2013/05001" TargetMode="External" /><Relationship Type="http://schemas.openxmlformats.org/officeDocument/2006/relationships/hyperlink" Id="rId157" Target="https://journals.lww.com/greenjournal/toc/2014/05001" TargetMode="External" /><Relationship Type="http://schemas.openxmlformats.org/officeDocument/2006/relationships/hyperlink" Id="rId156" Target="https://journals.lww.com/greenjournal/toc/2015/05001" TargetMode="External" /><Relationship Type="http://schemas.openxmlformats.org/officeDocument/2006/relationships/hyperlink" Id="rId143" Target="https://journals.lww.com/greenjournal/toc/2015/10001" TargetMode="External" /><Relationship Type="http://schemas.openxmlformats.org/officeDocument/2006/relationships/hyperlink" Id="rId155" Target="https://journals.lww.com/greenjournal/toc/2016/05001" TargetMode="External" /><Relationship Type="http://schemas.openxmlformats.org/officeDocument/2006/relationships/hyperlink" Id="rId142" Target="https://journals.lww.com/greenjournal/toc/2016/10001" TargetMode="External" /><Relationship Type="http://schemas.openxmlformats.org/officeDocument/2006/relationships/hyperlink" Id="rId154" Target="https://journals.lww.com/greenjournal/toc/2017/05001" TargetMode="External" /><Relationship Type="http://schemas.openxmlformats.org/officeDocument/2006/relationships/hyperlink" Id="rId141" Target="https://journals.lww.com/greenjournal/toc/2017/10001" TargetMode="External" /><Relationship Type="http://schemas.openxmlformats.org/officeDocument/2006/relationships/hyperlink" Id="rId153" Target="https://journals.lww.com/greenjournal/toc/2018/05001" TargetMode="External" /><Relationship Type="http://schemas.openxmlformats.org/officeDocument/2006/relationships/hyperlink" Id="rId140" Target="https://journals.lww.com/greenjournal/toc/2018/10001" TargetMode="External" /><Relationship Type="http://schemas.openxmlformats.org/officeDocument/2006/relationships/hyperlink" Id="rId152" Target="https://journals.lww.com/greenjournal/toc/2019/05001" TargetMode="External" /><Relationship Type="http://schemas.openxmlformats.org/officeDocument/2006/relationships/hyperlink" Id="rId139" Target="https://journals.lww.com/greenjournal/toc/2019/10001" TargetMode="External" /><Relationship Type="http://schemas.openxmlformats.org/officeDocument/2006/relationships/hyperlink" Id="rId151" Target="https://journals.lww.com/greenjournal/toc/2020/05001" TargetMode="External" /><Relationship Type="http://schemas.openxmlformats.org/officeDocument/2006/relationships/hyperlink" Id="rId138" Target="https://journals.lww.com/greenjournal/toc/2020/10001" TargetMode="External" /><Relationship Type="http://schemas.openxmlformats.org/officeDocument/2006/relationships/hyperlink" Id="rId150" Target="https://journals.lww.com/greenjournal/toc/2021/05001" TargetMode="External" /><Relationship Type="http://schemas.openxmlformats.org/officeDocument/2006/relationships/hyperlink" Id="rId137" Target="https://journals.lww.com/greenjournal/toc/2021/10001" TargetMode="External" /><Relationship Type="http://schemas.openxmlformats.org/officeDocument/2006/relationships/hyperlink" Id="rId149" Target="https://journals.lww.com/greenjournal/toc/2022/05001" TargetMode="External" /><Relationship Type="http://schemas.openxmlformats.org/officeDocument/2006/relationships/hyperlink" Id="rId136" Target="https://journals.lww.com/greenjournal/toc/2022/10001" TargetMode="External" /><Relationship Type="http://schemas.openxmlformats.org/officeDocument/2006/relationships/hyperlink" Id="rId148" Target="https://journals.lww.com/greenjournal/toc/2023/05001" TargetMode="External" /><Relationship Type="http://schemas.openxmlformats.org/officeDocument/2006/relationships/hyperlink" Id="rId135" Target="https://journals.lww.com/greenjournal/toc/2023/10001" TargetMode="External" /><Relationship Type="http://schemas.openxmlformats.org/officeDocument/2006/relationships/hyperlink" Id="rId31" Target="https://mufflyt.shinyapps.io/aagl-adjudication/" TargetMode="External" /><Relationship Type="http://schemas.openxmlformats.org/officeDocument/2006/relationships/hyperlink" Id="rId91" Target="https://publications.smfm.org/" TargetMode="External" /><Relationship Type="http://schemas.openxmlformats.org/officeDocument/2006/relationships/hyperlink" Id="rId159" Target="https://pubmed.ncbi.nlm.nih.gov/25756102/" TargetMode="External" /><Relationship Type="http://schemas.openxmlformats.org/officeDocument/2006/relationships/hyperlink" Id="rId102" Target="https://pubmed.ncbi.nlm.nih.gov/26141818/" TargetMode="External" /><Relationship Type="http://schemas.openxmlformats.org/officeDocument/2006/relationships/hyperlink" Id="rId101" Target="https://pubmed.ncbi.nlm.nih.gov/27477065/" TargetMode="External" /><Relationship Type="http://schemas.openxmlformats.org/officeDocument/2006/relationships/hyperlink" Id="rId100" Target="https://pubmed.ncbi.nlm.nih.gov/28757435/" TargetMode="External" /><Relationship Type="http://schemas.openxmlformats.org/officeDocument/2006/relationships/hyperlink" Id="rId99" Target="https://pubmed.ncbi.nlm.nih.gov/30031792/" TargetMode="External" /><Relationship Type="http://schemas.openxmlformats.org/officeDocument/2006/relationships/hyperlink" Id="rId98" Target="https://pubmed.ncbi.nlm.nih.gov/31348904/" TargetMode="External" /><Relationship Type="http://schemas.openxmlformats.org/officeDocument/2006/relationships/hyperlink" Id="rId97" Target="https://pubmed.ncbi.nlm.nih.gov/32707100/" TargetMode="External" /><Relationship Type="http://schemas.openxmlformats.org/officeDocument/2006/relationships/hyperlink" Id="rId96" Target="https://pubmed.ncbi.nlm.nih.gov/34289414/" TargetMode="External" /><Relationship Type="http://schemas.openxmlformats.org/officeDocument/2006/relationships/hyperlink" Id="rId95" Target="https://pubmed.ncbi.nlm.nih.gov/36403795/" TargetMode="External" /><Relationship Type="http://schemas.openxmlformats.org/officeDocument/2006/relationships/hyperlink" Id="rId94" Target="https://pubmed.ncbi.nlm.nih.gov/37821000/" TargetMode="External" /><Relationship Type="http://schemas.openxmlformats.org/officeDocument/2006/relationships/hyperlink" Id="rId126" Target="https://sasgog.org/2018-abstracts/" TargetMode="External" /><Relationship Type="http://schemas.openxmlformats.org/officeDocument/2006/relationships/hyperlink" Id="rId125" Target="https://sasgog.org/2019-abstracts/" TargetMode="External" /><Relationship Type="http://schemas.openxmlformats.org/officeDocument/2006/relationships/hyperlink" Id="rId124" Target="https://sasgog.org/2020-abstracts/" TargetMode="External" /><Relationship Type="http://schemas.openxmlformats.org/officeDocument/2006/relationships/hyperlink" Id="rId123" Target="https://sasgog.org/2021-abstracts/" TargetMode="External" /><Relationship Type="http://schemas.openxmlformats.org/officeDocument/2006/relationships/hyperlink" Id="rId122" Target="https://sasgog.org/2022-abstracts/" TargetMode="External" /><Relationship Type="http://schemas.openxmlformats.org/officeDocument/2006/relationships/hyperlink" Id="rId121" Target="https://sasgog.org/2023-abstracts/" TargetMode="External" /><Relationship Type="http://schemas.openxmlformats.org/officeDocument/2006/relationships/hyperlink" Id="rId128" Target="https://sasgog.org/about/" TargetMode="External" /><Relationship Type="http://schemas.openxmlformats.org/officeDocument/2006/relationships/hyperlink" Id="rId127" Target="https://sasgog.org/abstracts/" TargetMode="External" /><Relationship Type="http://schemas.openxmlformats.org/officeDocument/2006/relationships/hyperlink" Id="rId129" Target="https://sasgog.org/annual-meeting/" TargetMode="External" /><Relationship Type="http://schemas.openxmlformats.org/officeDocument/2006/relationships/hyperlink" Id="rId103" Target="https://societyfp.org/learning/annual-meeting/" TargetMode="External" /><Relationship Type="http://schemas.openxmlformats.org/officeDocument/2006/relationships/hyperlink" Id="rId134" Target="https://tools.apgo.org/abstract-catalog/" TargetMode="External" /><Relationship Type="http://schemas.openxmlformats.org/officeDocument/2006/relationships/hyperlink" Id="rId104" Target="https://www.contraceptionjournal.org/article/S0010-7824(18)30259-2/fulltext" TargetMode="External" /><Relationship Type="http://schemas.openxmlformats.org/officeDocument/2006/relationships/hyperlink" Id="rId118" Target="https://www.naspag.org/acrm-future-and-past" TargetMode="External" /><Relationship Type="http://schemas.openxmlformats.org/officeDocument/2006/relationships/hyperlink" Id="rId90" Target="https://www.sciencedirect.com/journal/american-journal-of-obstetrics-and-gynecology/vol/208/issue/1/suppl/S" TargetMode="External" /><Relationship Type="http://schemas.openxmlformats.org/officeDocument/2006/relationships/hyperlink" Id="rId89" Target="https://www.sciencedirect.com/journal/american-journal-of-obstetrics-and-gynecology/vol/210/issue/1/suppl/S" TargetMode="External" /><Relationship Type="http://schemas.openxmlformats.org/officeDocument/2006/relationships/hyperlink" Id="rId88" Target="https://www.sciencedirect.com/journal/american-journal-of-obstetrics-and-gynecology/vol/212/issue/1/suppl/S" TargetMode="External" /><Relationship Type="http://schemas.openxmlformats.org/officeDocument/2006/relationships/hyperlink" Id="rId87" Target="https://www.sciencedirect.com/journal/american-journal-of-obstetrics-and-gynecology/vol/214/issue/1/suppl/S" TargetMode="External" /><Relationship Type="http://schemas.openxmlformats.org/officeDocument/2006/relationships/hyperlink" Id="rId86" Target="https://www.sciencedirect.com/journal/american-journal-of-obstetrics-and-gynecology/vol/216/issue/1/suppl/S" TargetMode="External" /><Relationship Type="http://schemas.openxmlformats.org/officeDocument/2006/relationships/hyperlink" Id="rId85" Target="https://www.sciencedirect.com/journal/american-journal-of-obstetrics-and-gynecology/vol/218/issue/1/suppl/S" TargetMode="External" /><Relationship Type="http://schemas.openxmlformats.org/officeDocument/2006/relationships/hyperlink" Id="rId84" Target="https://www.sciencedirect.com/journal/american-journal-of-obstetrics-and-gynecology/vol/220/issue/1/suppl/S" TargetMode="External" /><Relationship Type="http://schemas.openxmlformats.org/officeDocument/2006/relationships/hyperlink" Id="rId83" Target="https://www.sciencedirect.com/journal/american-journal-of-obstetrics-and-gynecology/vol/222/issue/1/suppl/S" TargetMode="External" /><Relationship Type="http://schemas.openxmlformats.org/officeDocument/2006/relationships/hyperlink" Id="rId82" Target="https://www.sciencedirect.com/journal/american-journal-of-obstetrics-and-gynecology/vol/224/issue/2/suppl/S" TargetMode="External" /><Relationship Type="http://schemas.openxmlformats.org/officeDocument/2006/relationships/hyperlink" Id="rId81" Target="https://www.sciencedirect.com/journal/american-journal-of-obstetrics-and-gynecology/vol/226/issue/1/suppl/S" TargetMode="External" /><Relationship Type="http://schemas.openxmlformats.org/officeDocument/2006/relationships/hyperlink" Id="rId80" Target="https://www.sciencedirect.com/journal/american-journal-of-obstetrics-and-gynecology/vol/228/issue/1/suppl/S" TargetMode="External" /><Relationship Type="http://schemas.openxmlformats.org/officeDocument/2006/relationships/hyperlink" Id="rId117" Target="https://www.sciencedirect.com/journal/journal-of-pediatric-and-adolescent-gynecology" TargetMode="External" /><Relationship Type="http://schemas.openxmlformats.org/officeDocument/2006/relationships/hyperlink" Id="rId116" Target="https://www.sciencedirect.com/journal/journal-of-pediatric-and-adolescent-gynecology/vol/26/issue/2" TargetMode="External" /><Relationship Type="http://schemas.openxmlformats.org/officeDocument/2006/relationships/hyperlink" Id="rId115" Target="https://www.sciencedirect.com/journal/journal-of-pediatric-and-adolescent-gynecology/vol/27/issue/2" TargetMode="External" /><Relationship Type="http://schemas.openxmlformats.org/officeDocument/2006/relationships/hyperlink" Id="rId114" Target="https://www.sciencedirect.com/journal/journal-of-pediatric-and-adolescent-gynecology/vol/28/issue/2" TargetMode="External" /><Relationship Type="http://schemas.openxmlformats.org/officeDocument/2006/relationships/hyperlink" Id="rId113" Target="https://www.sciencedirect.com/journal/journal-of-pediatric-and-adolescent-gynecology/vol/29/issue/2" TargetMode="External" /><Relationship Type="http://schemas.openxmlformats.org/officeDocument/2006/relationships/hyperlink" Id="rId112" Target="https://www.sciencedirect.com/journal/journal-of-pediatric-and-adolescent-gynecology/vol/30/issue/2" TargetMode="External" /><Relationship Type="http://schemas.openxmlformats.org/officeDocument/2006/relationships/hyperlink" Id="rId111" Target="https://www.sciencedirect.com/journal/journal-of-pediatric-and-adolescent-gynecology/vol/31/issue/2" TargetMode="External" /><Relationship Type="http://schemas.openxmlformats.org/officeDocument/2006/relationships/hyperlink" Id="rId110" Target="https://www.sciencedirect.com/journal/journal-of-pediatric-and-adolescent-gynecology/vol/32/issue/2" TargetMode="External" /><Relationship Type="http://schemas.openxmlformats.org/officeDocument/2006/relationships/hyperlink" Id="rId109" Target="https://www.sciencedirect.com/journal/journal-of-pediatric-and-adolescent-gynecology/vol/33/issue/2" TargetMode="External" /><Relationship Type="http://schemas.openxmlformats.org/officeDocument/2006/relationships/hyperlink" Id="rId108" Target="https://www.sciencedirect.com/journal/journal-of-pediatric-and-adolescent-gynecology/vol/34/issue/2" TargetMode="External" /><Relationship Type="http://schemas.openxmlformats.org/officeDocument/2006/relationships/hyperlink" Id="rId107" Target="https://www.sciencedirect.com/journal/journal-of-pediatric-and-adolescent-gynecology/vol/35/issue/2" TargetMode="External" /><Relationship Type="http://schemas.openxmlformats.org/officeDocument/2006/relationships/hyperlink" Id="rId106" Target="https://www.sciencedirect.com/journal/journal-of-pediatric-and-adolescent-gynecology/vol/36/issue/2" TargetMode="External" /><Relationship Type="http://schemas.openxmlformats.org/officeDocument/2006/relationships/hyperlink" Id="rId145" Target="https://www.tandfonline.com/doi/full/10.1080/10401334.2015.11074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Appendix: Abstract-to-Publication Matching Pipeline</dc:title>
  <dc:creator>Tyler Muffly, MD</dc:creator>
  <cp:keywords/>
  <dcterms:created xsi:type="dcterms:W3CDTF">2026-09-09T22:57:46Z</dcterms:created>
  <dcterms:modified xsi:type="dcterms:W3CDTF">2026-09-09T22:57:46Z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09, 2026</vt:lpwstr>
  </property>
  <property fmtid="{D5CDD505-2E9C-101B-9397-08002B2CF9AE}" pid="3" name="output">
    <vt:lpwstr>word_document</vt:lpwstr>
  </property>
  <property fmtid="{D5CDD505-2E9C-101B-9397-08002B2CF9AE}" pid="4" name="subtitle">
    <vt:lpwstr>Supplement to: Publication Rate of Oral Presentations at the AAGL Global Congress, 2012-2023</vt:lpwstr>
  </property>
</Properties>
</file>