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05,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59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170</w:t>
            </w:r>
          </w:p>
        </w:tc>
        <w:tc>
          <w:tcPr/>
          <w:p>
            <w:pPr>
              <w:pStyle w:val="Compact"/>
              <w:jc w:val="right"/>
            </w:pPr>
            <w:r>
              <w:t xml:space="preserve">16.2</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136</w:t>
            </w:r>
          </w:p>
        </w:tc>
        <w:tc>
          <w:tcPr/>
          <w:p>
            <w:pPr>
              <w:pStyle w:val="Compact"/>
              <w:jc w:val="right"/>
            </w:pPr>
            <w:r>
              <w:t xml:space="preserve">13.7</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118</w:t>
            </w:r>
          </w:p>
        </w:tc>
        <w:tc>
          <w:tcPr/>
          <w:p>
            <w:pPr>
              <w:pStyle w:val="Compact"/>
              <w:jc w:val="right"/>
            </w:pPr>
            <w:r>
              <w:t xml:space="preserve">13.1</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2.00</w:t>
            </w:r>
          </w:p>
        </w:tc>
        <w:tc>
          <w:tcPr/>
          <w:p>
            <w:pPr>
              <w:pStyle w:val="Compact"/>
              <w:jc w:val="left"/>
            </w:pPr>
            <w:r>
              <w:t xml:space="preserve">1.34-2.98</w:t>
            </w:r>
          </w:p>
        </w:tc>
        <w:tc>
          <w:tcPr/>
          <w:p>
            <w:pPr>
              <w:pStyle w:val="Compact"/>
              <w:jc w:val="right"/>
            </w:pPr>
            <w:r>
              <w:t xml:space="preserve">0.001</w:t>
            </w:r>
          </w:p>
        </w:tc>
      </w:tr>
      <w:tr>
        <w:tc>
          <w:tcPr/>
          <w:p>
            <w:pPr>
              <w:pStyle w:val="Compact"/>
              <w:jc w:val="left"/>
            </w:pPr>
            <w:r>
              <w:t xml:space="preserve">is_academicTRUE</w:t>
            </w:r>
          </w:p>
        </w:tc>
        <w:tc>
          <w:tcPr/>
          <w:p>
            <w:pPr>
              <w:pStyle w:val="Compact"/>
              <w:jc w:val="right"/>
            </w:pPr>
            <w:r>
              <w:t xml:space="preserve">1.10</w:t>
            </w:r>
          </w:p>
        </w:tc>
        <w:tc>
          <w:tcPr/>
          <w:p>
            <w:pPr>
              <w:pStyle w:val="Compact"/>
              <w:jc w:val="left"/>
            </w:pPr>
            <w:r>
              <w:t xml:space="preserve">0.78-1.53</w:t>
            </w:r>
          </w:p>
        </w:tc>
        <w:tc>
          <w:tcPr/>
          <w:p>
            <w:pPr>
              <w:pStyle w:val="Compact"/>
              <w:jc w:val="right"/>
            </w:pPr>
            <w:r>
              <w:t xml:space="preserve">0.587</w:t>
            </w:r>
          </w:p>
        </w:tc>
      </w:tr>
      <w:tr>
        <w:tc>
          <w:tcPr/>
          <w:p>
            <w:pPr>
              <w:pStyle w:val="Compact"/>
              <w:jc w:val="left"/>
            </w:pPr>
            <w:r>
              <w:t xml:space="preserve">is_us_basedTRUE</w:t>
            </w:r>
          </w:p>
        </w:tc>
        <w:tc>
          <w:tcPr/>
          <w:p>
            <w:pPr>
              <w:pStyle w:val="Compact"/>
              <w:jc w:val="right"/>
            </w:pPr>
            <w:r>
              <w:t xml:space="preserve">0.79</w:t>
            </w:r>
          </w:p>
        </w:tc>
        <w:tc>
          <w:tcPr/>
          <w:p>
            <w:pPr>
              <w:pStyle w:val="Compact"/>
              <w:jc w:val="left"/>
            </w:pPr>
            <w:r>
              <w:t xml:space="preserve">0.57-1.08</w:t>
            </w:r>
          </w:p>
        </w:tc>
        <w:tc>
          <w:tcPr/>
          <w:p>
            <w:pPr>
              <w:pStyle w:val="Compact"/>
              <w:jc w:val="right"/>
            </w:pPr>
            <w:r>
              <w:t xml:space="preserve">0.136</w:t>
            </w:r>
          </w:p>
        </w:tc>
      </w:tr>
      <w:tr>
        <w:tc>
          <w:tcPr/>
          <w:p>
            <w:pPr>
              <w:pStyle w:val="Compact"/>
              <w:jc w:val="left"/>
            </w:pPr>
            <w:r>
              <w:t xml:space="preserve">n_authors</w:t>
            </w:r>
          </w:p>
        </w:tc>
        <w:tc>
          <w:tcPr/>
          <w:p>
            <w:pPr>
              <w:pStyle w:val="Compact"/>
              <w:jc w:val="right"/>
            </w:pPr>
            <w:r>
              <w:t xml:space="preserve">1.22</w:t>
            </w:r>
          </w:p>
        </w:tc>
        <w:tc>
          <w:tcPr/>
          <w:p>
            <w:pPr>
              <w:pStyle w:val="Compact"/>
              <w:jc w:val="left"/>
            </w:pPr>
            <w:r>
              <w:t xml:space="preserve">1.06-1.4</w:t>
            </w:r>
          </w:p>
        </w:tc>
        <w:tc>
          <w:tcPr/>
          <w:p>
            <w:pPr>
              <w:pStyle w:val="Compact"/>
              <w:jc w:val="right"/>
            </w:pPr>
            <w:r>
              <w:t xml:space="preserve">0.006</w:t>
            </w:r>
          </w:p>
        </w:tc>
      </w:tr>
      <w:tr>
        <w:tc>
          <w:tcPr/>
          <w:p>
            <w:pPr>
              <w:pStyle w:val="Compact"/>
              <w:jc w:val="left"/>
            </w:pPr>
            <w:r>
              <w:t xml:space="preserve">gender_unifiedmale</w:t>
            </w:r>
          </w:p>
        </w:tc>
        <w:tc>
          <w:tcPr/>
          <w:p>
            <w:pPr>
              <w:pStyle w:val="Compact"/>
              <w:jc w:val="right"/>
            </w:pPr>
            <w:r>
              <w:t xml:space="preserve">0.75</w:t>
            </w:r>
          </w:p>
        </w:tc>
        <w:tc>
          <w:tcPr/>
          <w:p>
            <w:pPr>
              <w:pStyle w:val="Compact"/>
              <w:jc w:val="left"/>
            </w:pPr>
            <w:r>
              <w:t xml:space="preserve">0.55-1.02</w:t>
            </w:r>
          </w:p>
        </w:tc>
        <w:tc>
          <w:tcPr/>
          <w:p>
            <w:pPr>
              <w:pStyle w:val="Compact"/>
              <w:jc w:val="right"/>
            </w:pPr>
            <w:r>
              <w:t xml:space="preserve">0.066</w:t>
            </w:r>
          </w:p>
        </w:tc>
      </w:tr>
      <w:tr>
        <w:tc>
          <w:tcPr/>
          <w:p>
            <w:pPr>
              <w:pStyle w:val="Compact"/>
              <w:jc w:val="left"/>
            </w:pPr>
            <w:r>
              <w:t xml:space="preserve">is_multicenterTRUE</w:t>
            </w:r>
          </w:p>
        </w:tc>
        <w:tc>
          <w:tcPr/>
          <w:p>
            <w:pPr>
              <w:pStyle w:val="Compact"/>
              <w:jc w:val="right"/>
            </w:pPr>
            <w:r>
              <w:t xml:space="preserve">1.36</w:t>
            </w:r>
          </w:p>
        </w:tc>
        <w:tc>
          <w:tcPr/>
          <w:p>
            <w:pPr>
              <w:pStyle w:val="Compact"/>
              <w:jc w:val="left"/>
            </w:pPr>
            <w:r>
              <w:t xml:space="preserve">0.79-2.34</w:t>
            </w:r>
          </w:p>
        </w:tc>
        <w:tc>
          <w:tcPr/>
          <w:p>
            <w:pPr>
              <w:pStyle w:val="Compact"/>
              <w:jc w:val="right"/>
            </w:pPr>
            <w:r>
              <w:t xml:space="preserve">0.265</w:t>
            </w:r>
          </w:p>
        </w:tc>
      </w:tr>
    </w:tbl>
    <w:p>
      <w:pPr>
        <w:pStyle w:val="BodyText"/>
      </w:pPr>
      <w:r>
        <w:t xml:space="preserve">Proportional hazards assumption: global test p = 0.01.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170 / 1,051 =</w:t>
      </w:r>
      <w:r>
        <w:t xml:space="preserve"> </w:t>
      </w:r>
      <w:r>
        <w:rPr>
          <w:b/>
          <w:bCs/>
        </w:rPr>
        <w:t xml:space="preserve">16.2%</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16.2, but the rate is computed on 1,051. A reader dividing the published count by the stated total obtains 15.4%, not 16.2%.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16.2%</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15.4%</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170 / 1,051 =</w:t>
      </w:r>
      <w:r>
        <w:t xml:space="preserve"> </w:t>
      </w:r>
      <w:r>
        <w:rPr>
          <w:b/>
          <w:bCs/>
        </w:rPr>
        <w:t xml:space="preserve">16.2%</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2.1249</w:t>
            </w:r>
          </w:p>
        </w:tc>
        <w:tc>
          <w:tcPr/>
          <w:p>
            <w:pPr>
              <w:pStyle w:val="Compact"/>
              <w:jc w:val="right"/>
            </w:pPr>
            <w:r>
              <w:t xml:space="preserve">1</w:t>
            </w:r>
          </w:p>
        </w:tc>
        <w:tc>
          <w:tcPr/>
          <w:p>
            <w:pPr>
              <w:pStyle w:val="Compact"/>
              <w:jc w:val="right"/>
            </w:pPr>
            <w:r>
              <w:t xml:space="preserve">0.1449</w:t>
            </w:r>
          </w:p>
        </w:tc>
      </w:tr>
      <w:tr>
        <w:tc>
          <w:tcPr/>
          <w:p>
            <w:pPr>
              <w:pStyle w:val="Compact"/>
              <w:jc w:val="left"/>
            </w:pPr>
            <w:r>
              <w:t xml:space="preserve">is_academic</w:t>
            </w:r>
          </w:p>
        </w:tc>
        <w:tc>
          <w:tcPr/>
          <w:p>
            <w:pPr>
              <w:pStyle w:val="Compact"/>
              <w:jc w:val="right"/>
            </w:pPr>
            <w:r>
              <w:t xml:space="preserve">3.3829</w:t>
            </w:r>
          </w:p>
        </w:tc>
        <w:tc>
          <w:tcPr/>
          <w:p>
            <w:pPr>
              <w:pStyle w:val="Compact"/>
              <w:jc w:val="right"/>
            </w:pPr>
            <w:r>
              <w:t xml:space="preserve">1</w:t>
            </w:r>
          </w:p>
        </w:tc>
        <w:tc>
          <w:tcPr/>
          <w:p>
            <w:pPr>
              <w:pStyle w:val="Compact"/>
              <w:jc w:val="right"/>
            </w:pPr>
            <w:r>
              <w:t xml:space="preserve">0.0659</w:t>
            </w:r>
          </w:p>
        </w:tc>
      </w:tr>
      <w:tr>
        <w:tc>
          <w:tcPr/>
          <w:p>
            <w:pPr>
              <w:pStyle w:val="Compact"/>
              <w:jc w:val="left"/>
            </w:pPr>
            <w:r>
              <w:t xml:space="preserve">is_us_based</w:t>
            </w:r>
          </w:p>
        </w:tc>
        <w:tc>
          <w:tcPr/>
          <w:p>
            <w:pPr>
              <w:pStyle w:val="Compact"/>
              <w:jc w:val="right"/>
            </w:pPr>
            <w:r>
              <w:t xml:space="preserve">7.8052</w:t>
            </w:r>
          </w:p>
        </w:tc>
        <w:tc>
          <w:tcPr/>
          <w:p>
            <w:pPr>
              <w:pStyle w:val="Compact"/>
              <w:jc w:val="right"/>
            </w:pPr>
            <w:r>
              <w:t xml:space="preserve">1</w:t>
            </w:r>
          </w:p>
        </w:tc>
        <w:tc>
          <w:tcPr/>
          <w:p>
            <w:pPr>
              <w:pStyle w:val="Compact"/>
              <w:jc w:val="right"/>
            </w:pPr>
            <w:r>
              <w:t xml:space="preserve">0.0052</w:t>
            </w:r>
          </w:p>
        </w:tc>
      </w:tr>
      <w:tr>
        <w:tc>
          <w:tcPr/>
          <w:p>
            <w:pPr>
              <w:pStyle w:val="Compact"/>
              <w:jc w:val="left"/>
            </w:pPr>
            <w:r>
              <w:t xml:space="preserve">n_authors</w:t>
            </w:r>
          </w:p>
        </w:tc>
        <w:tc>
          <w:tcPr/>
          <w:p>
            <w:pPr>
              <w:pStyle w:val="Compact"/>
              <w:jc w:val="right"/>
            </w:pPr>
            <w:r>
              <w:t xml:space="preserve">8.8748</w:t>
            </w:r>
          </w:p>
        </w:tc>
        <w:tc>
          <w:tcPr/>
          <w:p>
            <w:pPr>
              <w:pStyle w:val="Compact"/>
              <w:jc w:val="right"/>
            </w:pPr>
            <w:r>
              <w:t xml:space="preserve">1</w:t>
            </w:r>
          </w:p>
        </w:tc>
        <w:tc>
          <w:tcPr/>
          <w:p>
            <w:pPr>
              <w:pStyle w:val="Compact"/>
              <w:jc w:val="right"/>
            </w:pPr>
            <w:r>
              <w:t xml:space="preserve">0.0029</w:t>
            </w:r>
          </w:p>
        </w:tc>
      </w:tr>
      <w:tr>
        <w:tc>
          <w:tcPr/>
          <w:p>
            <w:pPr>
              <w:pStyle w:val="Compact"/>
              <w:jc w:val="left"/>
            </w:pPr>
            <w:r>
              <w:t xml:space="preserve">gender_unified</w:t>
            </w:r>
          </w:p>
        </w:tc>
        <w:tc>
          <w:tcPr/>
          <w:p>
            <w:pPr>
              <w:pStyle w:val="Compact"/>
              <w:jc w:val="right"/>
            </w:pPr>
            <w:r>
              <w:t xml:space="preserve">0.0008</w:t>
            </w:r>
          </w:p>
        </w:tc>
        <w:tc>
          <w:tcPr/>
          <w:p>
            <w:pPr>
              <w:pStyle w:val="Compact"/>
              <w:jc w:val="right"/>
            </w:pPr>
            <w:r>
              <w:t xml:space="preserve">1</w:t>
            </w:r>
          </w:p>
        </w:tc>
        <w:tc>
          <w:tcPr/>
          <w:p>
            <w:pPr>
              <w:pStyle w:val="Compact"/>
              <w:jc w:val="right"/>
            </w:pPr>
            <w:r>
              <w:t xml:space="preserve">0.9768</w:t>
            </w:r>
          </w:p>
        </w:tc>
      </w:tr>
      <w:tr>
        <w:tc>
          <w:tcPr/>
          <w:p>
            <w:pPr>
              <w:pStyle w:val="Compact"/>
              <w:jc w:val="left"/>
            </w:pPr>
            <w:r>
              <w:t xml:space="preserve">is_multicenter</w:t>
            </w:r>
          </w:p>
        </w:tc>
        <w:tc>
          <w:tcPr/>
          <w:p>
            <w:pPr>
              <w:pStyle w:val="Compact"/>
              <w:jc w:val="right"/>
            </w:pPr>
            <w:r>
              <w:t xml:space="preserve">0.3053</w:t>
            </w:r>
          </w:p>
        </w:tc>
        <w:tc>
          <w:tcPr/>
          <w:p>
            <w:pPr>
              <w:pStyle w:val="Compact"/>
              <w:jc w:val="right"/>
            </w:pPr>
            <w:r>
              <w:t xml:space="preserve">1</w:t>
            </w:r>
          </w:p>
        </w:tc>
        <w:tc>
          <w:tcPr/>
          <w:p>
            <w:pPr>
              <w:pStyle w:val="Compact"/>
              <w:jc w:val="right"/>
            </w:pPr>
            <w:r>
              <w:t xml:space="preserve">0.5806</w:t>
            </w:r>
          </w:p>
        </w:tc>
      </w:tr>
      <w:tr>
        <w:tc>
          <w:tcPr/>
          <w:p>
            <w:pPr>
              <w:pStyle w:val="Compact"/>
              <w:jc w:val="left"/>
            </w:pPr>
            <w:r>
              <w:t xml:space="preserve">GLOBAL</w:t>
            </w:r>
          </w:p>
        </w:tc>
        <w:tc>
          <w:tcPr/>
          <w:p>
            <w:pPr>
              <w:pStyle w:val="Compact"/>
              <w:jc w:val="right"/>
            </w:pPr>
            <w:r>
              <w:t xml:space="preserve">16.7906</w:t>
            </w:r>
          </w:p>
        </w:tc>
        <w:tc>
          <w:tcPr/>
          <w:p>
            <w:pPr>
              <w:pStyle w:val="Compact"/>
              <w:jc w:val="right"/>
            </w:pPr>
            <w:r>
              <w:t xml:space="preserve">6</w:t>
            </w:r>
          </w:p>
        </w:tc>
        <w:tc>
          <w:tcPr/>
          <w:p>
            <w:pPr>
              <w:pStyle w:val="Compact"/>
              <w:jc w:val="right"/>
            </w:pPr>
            <w:r>
              <w:t xml:space="preserve">0.0101</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0.982</w:t>
            </w:r>
          </w:p>
        </w:tc>
        <w:tc>
          <w:tcPr/>
          <w:p>
            <w:pPr>
              <w:pStyle w:val="Compact"/>
              <w:jc w:val="right"/>
            </w:pPr>
            <w:r>
              <w:t xml:space="preserve">0.816</w:t>
            </w:r>
          </w:p>
        </w:tc>
        <w:tc>
          <w:tcPr/>
          <w:p>
            <w:pPr>
              <w:pStyle w:val="Compact"/>
              <w:jc w:val="right"/>
            </w:pPr>
            <w:r>
              <w:t xml:space="preserve">1.183</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1.121</w:t>
            </w:r>
          </w:p>
        </w:tc>
        <w:tc>
          <w:tcPr/>
          <w:p>
            <w:pPr>
              <w:pStyle w:val="Compact"/>
              <w:jc w:val="right"/>
            </w:pPr>
            <w:r>
              <w:t xml:space="preserve">0.968</w:t>
            </w:r>
          </w:p>
        </w:tc>
        <w:tc>
          <w:tcPr/>
          <w:p>
            <w:pPr>
              <w:pStyle w:val="Compact"/>
              <w:jc w:val="right"/>
            </w:pPr>
            <w:r>
              <w:t xml:space="preserve">1.298</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1.279</w:t>
            </w:r>
          </w:p>
        </w:tc>
        <w:tc>
          <w:tcPr/>
          <w:p>
            <w:pPr>
              <w:pStyle w:val="Compact"/>
              <w:jc w:val="right"/>
            </w:pPr>
            <w:r>
              <w:t xml:space="preserve">1.100</w:t>
            </w:r>
          </w:p>
        </w:tc>
        <w:tc>
          <w:tcPr/>
          <w:p>
            <w:pPr>
              <w:pStyle w:val="Compact"/>
              <w:jc w:val="right"/>
            </w:pPr>
            <w:r>
              <w:t xml:space="preserve">1.487</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1.460</w:t>
            </w:r>
          </w:p>
        </w:tc>
        <w:tc>
          <w:tcPr/>
          <w:p>
            <w:pPr>
              <w:pStyle w:val="Compact"/>
              <w:jc w:val="right"/>
            </w:pPr>
            <w:r>
              <w:t xml:space="preserve">1.201</w:t>
            </w:r>
          </w:p>
        </w:tc>
        <w:tc>
          <w:tcPr/>
          <w:p>
            <w:pPr>
              <w:pStyle w:val="Compact"/>
              <w:jc w:val="right"/>
            </w:pPr>
            <w:r>
              <w:t xml:space="preserve">1.775</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1.577</w:t>
            </w:r>
          </w:p>
        </w:tc>
        <w:tc>
          <w:tcPr/>
          <w:p>
            <w:pPr>
              <w:pStyle w:val="Compact"/>
              <w:jc w:val="right"/>
            </w:pPr>
            <w:r>
              <w:t xml:space="preserve">1.250</w:t>
            </w:r>
          </w:p>
        </w:tc>
        <w:tc>
          <w:tcPr/>
          <w:p>
            <w:pPr>
              <w:pStyle w:val="Compact"/>
              <w:jc w:val="right"/>
            </w:pPr>
            <w:r>
              <w:t xml:space="preserve">1.989</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1.666</w:t>
            </w:r>
          </w:p>
        </w:tc>
        <w:tc>
          <w:tcPr/>
          <w:p>
            <w:pPr>
              <w:pStyle w:val="Compact"/>
              <w:jc w:val="right"/>
            </w:pPr>
            <w:r>
              <w:t xml:space="preserve">1.284</w:t>
            </w:r>
          </w:p>
        </w:tc>
        <w:tc>
          <w:tcPr/>
          <w:p>
            <w:pPr>
              <w:pStyle w:val="Compact"/>
              <w:jc w:val="right"/>
            </w:pPr>
            <w:r>
              <w:t xml:space="preserve">2.161</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67d88f1e56e3170404aa3050cae2bf14c3c96318.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bookmarkStart w:id="233" w:name="Xae9da30f204daab4eeeda9aa234bf6044fcd824"/>
    <w:p>
      <w:pPr>
        <w:pStyle w:val="Heading2"/>
      </w:pPr>
      <w:r>
        <w:t xml:space="preserve">A20. A Human</w:t>
      </w:r>
      <w:r>
        <w:t xml:space="preserve"> </w:t>
      </w:r>
      <w:r>
        <w:rPr>
          <w:rStyle w:val="VerbatimChar"/>
        </w:rPr>
        <w:t xml:space="preserve">no_match</w:t>
      </w:r>
      <w:r>
        <w:t xml:space="preserve"> </w:t>
      </w:r>
      <w:r>
        <w:t xml:space="preserve">Supersedes the Algorithm</w:t>
      </w:r>
    </w:p>
    <w:p>
      <w:pPr>
        <w:pStyle w:val="FirstParagraph"/>
      </w:pPr>
      <w:r>
        <w:rPr>
          <w:b/>
          <w:bCs/>
        </w:rPr>
        <w:t xml:space="preserve">PI decision, 2026-09-05.</w:t>
      </w:r>
      <w:r>
        <w:t xml:space="preserve"> </w:t>
      </w:r>
      <w:r>
        <w:t xml:space="preserve">The second of the two outcome decisions taken that</w:t>
      </w:r>
      <w:r>
        <w:t xml:space="preserve"> </w:t>
      </w:r>
      <w:r>
        <w:t xml:space="preserve">day, and the smaller of them: the numerator moves from 171 to 170.</w:t>
      </w:r>
    </w:p>
    <w:bookmarkStart w:id="227" w:name="a20.1-the-rule"/>
    <w:p>
      <w:pPr>
        <w:pStyle w:val="Heading3"/>
      </w:pPr>
      <w:r>
        <w:t xml:space="preserve">A20.1 The rule</w:t>
      </w:r>
    </w:p>
    <w:p>
      <w:pPr>
        <w:pStyle w:val="FirstParagraph"/>
      </w:pPr>
      <w:r>
        <w:t xml:space="preserve">A reviewer who examined a candidate publication and recorded</w:t>
      </w:r>
      <w:r>
        <w:t xml:space="preserve"> </w:t>
      </w:r>
      <w:r>
        <w:rPr>
          <w:rStyle w:val="VerbatimChar"/>
        </w:rPr>
        <w:t xml:space="preserve">no_match</w:t>
      </w:r>
      <w:r>
        <w:t xml:space="preserve"> </w:t>
      </w:r>
      <w:r>
        <w:t xml:space="preserve">outranks a</w:t>
      </w:r>
      <w:r>
        <w:t xml:space="preserve"> </w:t>
      </w:r>
      <w:r>
        <w:rPr>
          <w:rStyle w:val="VerbatimChar"/>
        </w:rPr>
        <w:t xml:space="preserve">definite</w:t>
      </w:r>
      <w:r>
        <w:t xml:space="preserve"> </w:t>
      </w:r>
      <w:r>
        <w:t xml:space="preserve">classification. The branch is placed above</w:t>
      </w:r>
      <w:r>
        <w:t xml:space="preserve"> </w:t>
      </w:r>
      <w:r>
        <w:rPr>
          <w:rStyle w:val="VerbatimChar"/>
        </w:rPr>
        <w:t xml:space="preserve">classification == "definite"</w:t>
      </w:r>
      <w:r>
        <w:t xml:space="preserve"> </w:t>
      </w:r>
      <w:r>
        <w:t xml:space="preserve">in</w:t>
      </w:r>
      <w:r>
        <w:t xml:space="preserve"> </w:t>
      </w:r>
      <w:r>
        <w:rPr>
          <w:rStyle w:val="VerbatimChar"/>
        </w:rPr>
        <w:t xml:space="preserve">assign_final_published()</w:t>
      </w:r>
      <w:r>
        <w:t xml:space="preserve">, which is where the</w:t>
      </w:r>
      <w:r>
        <w:t xml:space="preserve"> </w:t>
      </w:r>
      <w:r>
        <w:t xml:space="preserve">override previously failed.</w:t>
      </w:r>
    </w:p>
    <w:p>
      <w:pPr>
        <w:pStyle w:val="BodyText"/>
      </w:pPr>
      <w:r>
        <w:t xml:space="preserve">This is not a new principle.</w:t>
      </w:r>
      <w:r>
        <w:t xml:space="preserve"> </w:t>
      </w:r>
      <w:r>
        <w:rPr>
          <w:rStyle w:val="VerbatimChar"/>
        </w:rPr>
        <w:t xml:space="preserve">dedup_decisions_for_analysis()</w:t>
      </w:r>
      <w:r>
        <w:t xml:space="preserve"> </w:t>
      </w:r>
      <w:r>
        <w:t xml:space="preserve">already discards</w:t>
      </w:r>
      <w:r>
        <w:t xml:space="preserve"> </w:t>
      </w:r>
      <w:r>
        <w:t xml:space="preserve">AUTO rows for any abstract a human has touched, on the grounds that a person’s</w:t>
      </w:r>
      <w:r>
        <w:t xml:space="preserve"> </w:t>
      </w:r>
      <w:r>
        <w:t xml:space="preserve">judgment supersedes a prefill. The decision extends that one level: a person’s</w:t>
      </w:r>
      <w:r>
        <w:t xml:space="preserve"> </w:t>
      </w:r>
      <w:r>
        <w:t xml:space="preserve">judgment also supersedes the score.</w:t>
      </w:r>
    </w:p>
    <w:bookmarkEnd w:id="227"/>
    <w:bookmarkStart w:id="228" w:name="a20.2-why-it-applies-to-humans-only"/>
    <w:p>
      <w:pPr>
        <w:pStyle w:val="Heading3"/>
      </w:pPr>
      <w:r>
        <w:t xml:space="preserve">A20.2 Why it applies to humans only</w:t>
      </w:r>
    </w:p>
    <w:p>
      <w:pPr>
        <w:pStyle w:val="FirstParagraph"/>
      </w:pPr>
      <w:r>
        <w:t xml:space="preserve">The framing that reached this decision was</w:t>
      </w:r>
      <w:r>
        <w:t xml:space="preserve"> </w:t>
      </w:r>
      <w:r>
        <w:t xml:space="preserve">“four abstracts counted published</w:t>
      </w:r>
      <w:r>
        <w:t xml:space="preserve"> </w:t>
      </w:r>
      <w:r>
        <w:t xml:space="preserve">against a human no_match”</w:t>
      </w:r>
      <w:r>
        <w:t xml:space="preserve">. Only one of the four is that.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reviewer</w:t>
            </w:r>
          </w:p>
        </w:tc>
        <w:tc>
          <w:tcPr/>
          <w:p>
            <w:pPr>
              <w:pStyle w:val="Compact"/>
            </w:pPr>
            <w:r>
              <w:t xml:space="preserve">decision trail</w:t>
            </w:r>
          </w:p>
        </w:tc>
      </w:tr>
      <w:tr>
        <w:tc>
          <w:tcPr/>
          <w:p>
            <w:pPr>
              <w:pStyle w:val="Compact"/>
            </w:pPr>
            <w:r>
              <w:t xml:space="preserve">AAGL2013_050</w:t>
            </w:r>
          </w:p>
        </w:tc>
        <w:tc>
          <w:tcPr/>
          <w:p>
            <w:pPr>
              <w:pStyle w:val="Compact"/>
            </w:pPr>
            <w:r>
              <w:t xml:space="preserve">AUTO</w:t>
            </w:r>
          </w:p>
        </w:tc>
        <w:tc>
          <w:tcPr/>
          <w:p>
            <w:pPr>
              <w:pStyle w:val="Compact"/>
            </w:pPr>
            <w:r>
              <w:rPr>
                <w:rStyle w:val="VerbatimChar"/>
              </w:rPr>
              <w:t xml:space="preserve">classification=reject, score=5.50</w:t>
            </w:r>
          </w:p>
        </w:tc>
      </w:tr>
      <w:tr>
        <w:tc>
          <w:tcPr/>
          <w:p>
            <w:pPr>
              <w:pStyle w:val="Compact"/>
            </w:pPr>
            <w:r>
              <w:t xml:space="preserve">AAGL2014_053</w:t>
            </w:r>
          </w:p>
        </w:tc>
        <w:tc>
          <w:tcPr/>
          <w:p>
            <w:pPr>
              <w:pStyle w:val="Compact"/>
            </w:pPr>
            <w:r>
              <w:t xml:space="preserve">AUTO</w:t>
            </w:r>
          </w:p>
        </w:tc>
        <w:tc>
          <w:tcPr/>
          <w:p>
            <w:pPr>
              <w:pStyle w:val="Compact"/>
            </w:pPr>
            <w:r>
              <w:rPr>
                <w:rStyle w:val="VerbatimChar"/>
              </w:rPr>
              <w:t xml:space="preserve">classification=reject, score=3.80</w:t>
            </w:r>
          </w:p>
        </w:tc>
      </w:tr>
      <w:tr>
        <w:tc>
          <w:tcPr/>
          <w:p>
            <w:pPr>
              <w:pStyle w:val="Compact"/>
            </w:pPr>
            <w:r>
              <w:t xml:space="preserve">AAGL2015_029</w:t>
            </w:r>
          </w:p>
        </w:tc>
        <w:tc>
          <w:tcPr/>
          <w:p>
            <w:pPr>
              <w:pStyle w:val="Compact"/>
            </w:pPr>
            <w:r>
              <w:t xml:space="preserve">AUTO</w:t>
            </w:r>
          </w:p>
        </w:tc>
        <w:tc>
          <w:tcPr/>
          <w:p>
            <w:pPr>
              <w:pStyle w:val="Compact"/>
            </w:pPr>
            <w:r>
              <w:rPr>
                <w:rStyle w:val="VerbatimChar"/>
              </w:rPr>
              <w:t xml:space="preserve">classification=reject, score=6.00</w:t>
            </w:r>
          </w:p>
        </w:tc>
      </w:tr>
      <w:tr>
        <w:tc>
          <w:tcPr/>
          <w:p>
            <w:pPr>
              <w:pStyle w:val="Compact"/>
            </w:pPr>
            <w:r>
              <w:rPr>
                <w:b/>
                <w:bCs/>
              </w:rPr>
              <w:t xml:space="preserve">AAGL2021_030</w:t>
            </w:r>
          </w:p>
        </w:tc>
        <w:tc>
          <w:tcPr/>
          <w:p>
            <w:pPr>
              <w:pStyle w:val="Compact"/>
            </w:pPr>
            <w:r>
              <w:t xml:space="preserve">R01, R02</w:t>
            </w:r>
          </w:p>
        </w:tc>
        <w:tc>
          <w:tcPr/>
          <w:p>
            <w:pPr>
              <w:pStyle w:val="Compact"/>
            </w:pPr>
            <w:r>
              <w:t xml:space="preserve">R01</w:t>
            </w:r>
            <w:r>
              <w:t xml:space="preserve"> </w:t>
            </w:r>
            <w:r>
              <w:rPr>
                <w:rStyle w:val="VerbatimChar"/>
              </w:rPr>
              <w:t xml:space="preserve">no_match</w:t>
            </w:r>
            <w:r>
              <w:t xml:space="preserve">; R02</w:t>
            </w:r>
            <w:r>
              <w:t xml:space="preserve"> </w:t>
            </w:r>
            <w:r>
              <w:rPr>
                <w:rStyle w:val="VerbatimChar"/>
              </w:rPr>
              <w:t xml:space="preserve">match</w:t>
            </w:r>
            <w:r>
              <w:t xml:space="preserve">; R02</w:t>
            </w:r>
            <w:r>
              <w:t xml:space="preserve"> </w:t>
            </w:r>
            <w:r>
              <w:rPr>
                <w:rStyle w:val="VerbatimChar"/>
              </w:rPr>
              <w:t xml:space="preserve">no_match</w:t>
            </w:r>
            <w:r>
              <w:t xml:space="preserve"> </w:t>
            </w:r>
            <w:r>
              <w:t xml:space="preserve">five days later</w:t>
            </w:r>
          </w:p>
        </w:tc>
      </w:tr>
    </w:tbl>
    <w:p>
      <w:pPr>
        <w:pStyle w:val="BodyText"/>
      </w:pPr>
      <w:r>
        <w:t xml:space="preserve">The first three were never seen by a person. Their AUTO notes record</w:t>
      </w:r>
      <w:r>
        <w:t xml:space="preserve"> </w:t>
      </w:r>
      <w:r>
        <w:rPr>
          <w:rStyle w:val="VerbatimChar"/>
        </w:rPr>
        <w:t xml:space="preserve">classification=reject</w:t>
      </w:r>
      <w:r>
        <w:t xml:space="preserve">, a vocabulary this pipeline no longer uses, against a</w:t>
      </w:r>
      <w:r>
        <w:t xml:space="preserve"> </w:t>
      </w:r>
      <w:r>
        <w:t xml:space="preserve">current classification of</w:t>
      </w:r>
      <w:r>
        <w:t xml:space="preserve"> </w:t>
      </w:r>
      <w:r>
        <w:rPr>
          <w:rStyle w:val="VerbatimChar"/>
        </w:rPr>
        <w:t xml:space="preserve">definite</w:t>
      </w:r>
      <w:r>
        <w:t xml:space="preserve">. They are fossils of an earlier scoring</w:t>
      </w:r>
      <w:r>
        <w:t xml:space="preserve"> </w:t>
      </w:r>
      <w:r>
        <w:t xml:space="preserve">run, and an AUTO</w:t>
      </w:r>
      <w:r>
        <w:t xml:space="preserve"> </w:t>
      </w:r>
      <w:r>
        <w:rPr>
          <w:rStyle w:val="VerbatimChar"/>
        </w:rPr>
        <w:t xml:space="preserve">no_match</w:t>
      </w:r>
      <w:r>
        <w:t xml:space="preserve"> </w:t>
      </w:r>
      <w:r>
        <w:t xml:space="preserve">contradicting a</w:t>
      </w:r>
      <w:r>
        <w:t xml:space="preserve"> </w:t>
      </w:r>
      <w:r>
        <w:rPr>
          <w:rStyle w:val="VerbatimChar"/>
        </w:rPr>
        <w:t xml:space="preserve">definite</w:t>
      </w:r>
      <w:r>
        <w:t xml:space="preserve"> </w:t>
      </w:r>
      <w:r>
        <w:t xml:space="preserve">score is the algorithm</w:t>
      </w:r>
      <w:r>
        <w:t xml:space="preserve"> </w:t>
      </w:r>
      <w:r>
        <w:t xml:space="preserve">disagreeing with itself rather than evidence about the abstract. Letting them</w:t>
      </w:r>
      <w:r>
        <w:t xml:space="preserve"> </w:t>
      </w:r>
      <w:r>
        <w:t xml:space="preserve">override the classification would have given a superseded run authority over</w:t>
      </w:r>
      <w:r>
        <w:t xml:space="preserve"> </w:t>
      </w:r>
      <w:r>
        <w:t xml:space="preserve">the current one.</w:t>
      </w:r>
    </w:p>
    <w:p>
      <w:pPr>
        <w:pStyle w:val="BodyText"/>
      </w:pPr>
      <w:r>
        <w:t xml:space="preserve">AAGL2021_030 is the real case. Two reviewers, and the later of R02’s two</w:t>
      </w:r>
      <w:r>
        <w:t xml:space="preserve"> </w:t>
      </w:r>
      <w:r>
        <w:t xml:space="preserve">decisions is</w:t>
      </w:r>
      <w:r>
        <w:t xml:space="preserve"> </w:t>
      </w:r>
      <w:r>
        <w:rPr>
          <w:rStyle w:val="VerbatimChar"/>
        </w:rPr>
        <w:t xml:space="preserve">no_match</w:t>
      </w:r>
      <w:r>
        <w:t xml:space="preserve">, so the surviving deduplicated decision is a considered</w:t>
      </w:r>
      <w:r>
        <w:t xml:space="preserve"> </w:t>
      </w:r>
      <w:r>
        <w:t xml:space="preserve">human rejection. It was counted published anyway.</w:t>
      </w:r>
    </w:p>
    <w:bookmarkEnd w:id="228"/>
    <w:bookmarkStart w:id="229" w:name="a20.3-what-moved"/>
    <w:p>
      <w:pPr>
        <w:pStyle w:val="Heading3"/>
      </w:pPr>
      <w:r>
        <w:t xml:space="preserve">A20.3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171</w:t>
            </w:r>
          </w:p>
        </w:tc>
        <w:tc>
          <w:tcPr/>
          <w:p>
            <w:pPr>
              <w:pStyle w:val="Compact"/>
              <w:jc w:val="right"/>
            </w:pPr>
            <w:r>
              <w:rPr>
                <w:b/>
                <w:bCs/>
              </w:rPr>
              <w:t xml:space="preserve">170</w:t>
            </w:r>
          </w:p>
        </w:tc>
      </w:tr>
      <w:tr>
        <w:tc>
          <w:tcPr/>
          <w:p>
            <w:pPr>
              <w:pStyle w:val="Compact"/>
            </w:pPr>
            <w:r>
              <w:t xml:space="preserve">Publication rate</w:t>
            </w:r>
          </w:p>
        </w:tc>
        <w:tc>
          <w:tcPr/>
          <w:p>
            <w:pPr>
              <w:pStyle w:val="Compact"/>
              <w:jc w:val="right"/>
            </w:pPr>
            <w:r>
              <w:t xml:space="preserve">16.3%</w:t>
            </w:r>
          </w:p>
        </w:tc>
        <w:tc>
          <w:tcPr/>
          <w:p>
            <w:pPr>
              <w:pStyle w:val="Compact"/>
              <w:jc w:val="right"/>
            </w:pPr>
            <w:r>
              <w:rPr>
                <w:b/>
                <w:bCs/>
              </w:rPr>
              <w:t xml:space="preserve">16.2%</w:t>
            </w:r>
            <w:r>
              <w:t xml:space="preserve"> </w:t>
            </w:r>
            <w:r>
              <w:t xml:space="preserve">(95% CI 14.1-18.5)</w:t>
            </w:r>
          </w:p>
        </w:tc>
      </w:tr>
      <w:tr>
        <w:tc>
          <w:tcPr/>
          <w:p>
            <w:pPr>
              <w:pStyle w:val="Compact"/>
            </w:pPr>
            <w:r>
              <w:t xml:space="preserve">Denominator</w:t>
            </w:r>
          </w:p>
        </w:tc>
        <w:tc>
          <w:tcPr/>
          <w:p>
            <w:pPr>
              <w:pStyle w:val="Compact"/>
              <w:jc w:val="right"/>
            </w:pPr>
            <w:r>
              <w:t xml:space="preserve">1,051</w:t>
            </w:r>
          </w:p>
        </w:tc>
        <w:tc>
          <w:tcPr/>
          <w:p>
            <w:pPr>
              <w:pStyle w:val="Compact"/>
              <w:jc w:val="right"/>
            </w:pPr>
            <w:r>
              <w:t xml:space="preserve">1,051</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13.6 mo</w:t>
            </w:r>
          </w:p>
        </w:tc>
      </w:tr>
      <w:tr>
        <w:tc>
          <w:tcPr/>
          <w:p>
            <w:pPr>
              <w:pStyle w:val="Compact"/>
            </w:pPr>
            <w:r>
              <w:t xml:space="preserve">IQR</w:t>
            </w:r>
          </w:p>
        </w:tc>
        <w:tc>
          <w:tcPr/>
          <w:p>
            <w:pPr>
              <w:pStyle w:val="Compact"/>
              <w:jc w:val="right"/>
            </w:pPr>
            <w:r>
              <w:t xml:space="preserve">5.7-22.6</w:t>
            </w:r>
          </w:p>
        </w:tc>
        <w:tc>
          <w:tcPr/>
          <w:p>
            <w:pPr>
              <w:pStyle w:val="Compact"/>
              <w:jc w:val="right"/>
            </w:pPr>
            <w:r>
              <w:t xml:space="preserve">5.7-22.4</w:t>
            </w:r>
          </w:p>
        </w:tc>
      </w:tr>
      <w:tr>
        <w:tc>
          <w:tcPr/>
          <w:p>
            <w:pPr>
              <w:pStyle w:val="Compact"/>
            </w:pPr>
            <w:r>
              <w:t xml:space="preserve">Cox events</w:t>
            </w:r>
          </w:p>
        </w:tc>
        <w:tc>
          <w:tcPr/>
          <w:p>
            <w:pPr>
              <w:pStyle w:val="Compact"/>
              <w:jc w:val="right"/>
            </w:pPr>
            <w:r>
              <w:t xml:space="preserve">171</w:t>
            </w:r>
          </w:p>
        </w:tc>
        <w:tc>
          <w:tcPr/>
          <w:p>
            <w:pPr>
              <w:pStyle w:val="Compact"/>
              <w:jc w:val="right"/>
            </w:pPr>
            <w:r>
              <w:t xml:space="preserve">170</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0.043</w:t>
            </w:r>
          </w:p>
        </w:tc>
      </w:tr>
    </w:tbl>
    <w:p>
      <w:pPr>
        <w:pStyle w:val="BodyText"/>
      </w:pPr>
      <w:r>
        <w:t xml:space="preserve">Unlike the pre-congress decision, this one moves the median. AAGL2021_030 had an</w:t>
      </w:r>
      <w:r>
        <w:t xml:space="preserve"> </w:t>
      </w:r>
      <w:r>
        <w:t xml:space="preserve">interval of 34.6 months, well above the median, so removing it shortens the</w:t>
      </w:r>
      <w:r>
        <w:t xml:space="preserve"> </w:t>
      </w:r>
      <w:r>
        <w:t xml:space="preserve">distribution slightly. The Cox model keeps its 1,027 observations and loses one</w:t>
      </w:r>
      <w:r>
        <w:t xml:space="preserve"> </w:t>
      </w:r>
      <w:r>
        <w:t xml:space="preserve">event.</w:t>
      </w:r>
    </w:p>
    <w:bookmarkEnd w:id="229"/>
    <w:bookmarkStart w:id="230" w:name="a20.4-a-schema-trap"/>
    <w:p>
      <w:pPr>
        <w:pStyle w:val="Heading3"/>
      </w:pPr>
      <w:r>
        <w:t xml:space="preserve">A20.4 A schema trap</w:t>
      </w:r>
    </w:p>
    <w:p>
      <w:pPr>
        <w:pStyle w:val="FirstParagraph"/>
      </w:pPr>
      <w:r>
        <w:t xml:space="preserve">The cascade needs</w:t>
      </w:r>
      <w:r>
        <w:t xml:space="preserve"> </w:t>
      </w:r>
      <w:r>
        <w:rPr>
          <w:rStyle w:val="VerbatimChar"/>
        </w:rPr>
        <w:t xml:space="preserve">reviewer</w:t>
      </w:r>
      <w:r>
        <w:t xml:space="preserve"> </w:t>
      </w:r>
      <w:r>
        <w:t xml:space="preserve">to tell a human decision from a prefill, so</w:t>
      </w:r>
      <w:r>
        <w:t xml:space="preserve"> </w:t>
      </w:r>
      <w:r>
        <w:rPr>
          <w:rStyle w:val="VerbatimChar"/>
        </w:rPr>
        <w:t xml:space="preserve">assign_final_published()</w:t>
      </w:r>
      <w:r>
        <w:t xml:space="preserve"> </w:t>
      </w:r>
      <w:r>
        <w:t xml:space="preserve">joins it. Left there, it widened</w:t>
      </w:r>
      <w:r>
        <w:t xml:space="preserve"> </w:t>
      </w:r>
      <w:r>
        <w:rPr>
          <w:rStyle w:val="VerbatimChar"/>
        </w:rPr>
        <w:t xml:space="preserve">final_analytical_dataset.csv</w:t>
      </w:r>
      <w:r>
        <w:t xml:space="preserve"> </w:t>
      </w:r>
      <w:r>
        <w:t xml:space="preserve">from 93 columns to 94 and tripped the</w:t>
      </w:r>
      <w:r>
        <w:t xml:space="preserve"> </w:t>
      </w:r>
      <w:r>
        <w:t xml:space="preserve">documentation-drift test. The column is now dropped again unless the caller</w:t>
      </w:r>
      <w:r>
        <w:t xml:space="preserve"> </w:t>
      </w:r>
      <w:r>
        <w:t xml:space="preserve">already had it, so the rule can distinguish reviewers without changing the</w:t>
      </w:r>
      <w:r>
        <w:t xml:space="preserve"> </w:t>
      </w:r>
      <w:r>
        <w:t xml:space="preserve">dataset’s shape.</w:t>
      </w:r>
    </w:p>
    <w:bookmarkEnd w:id="230"/>
    <w:bookmarkStart w:id="231" w:name="Xfe0bf36cbf2669aa78eee4c6e9947fdc572a41f"/>
    <w:p>
      <w:pPr>
        <w:pStyle w:val="Heading3"/>
      </w:pPr>
      <w:r>
        <w:t xml:space="preserve">A20.5 What the decision-log test now asserts</w:t>
      </w:r>
    </w:p>
    <w:p>
      <w:pPr>
        <w:pStyle w:val="FirstParagraph"/>
      </w:pPr>
      <w:r>
        <w:rPr>
          <w:rStyle w:val="VerbatimChar"/>
        </w:rPr>
        <w:t xml:space="preserve">test-cycle22_decision_log.R</w:t>
      </w:r>
      <w:r>
        <w:t xml:space="preserve"> </w:t>
      </w:r>
      <w:r>
        <w:t xml:space="preserve">required the outcome column to agree with the</w:t>
      </w:r>
      <w:r>
        <w:t xml:space="preserve"> </w:t>
      </w:r>
      <w:r>
        <w:t xml:space="preserve">surviving decision for every abstract. Two PI decisions now break that on</w:t>
      </w:r>
      <w:r>
        <w:t xml:space="preserve"> </w:t>
      </w:r>
      <w:r>
        <w:t xml:space="preserve">purpose: a pre-congress publication is never counted whatever the reviewer said,</w:t>
      </w:r>
      <w:r>
        <w:t xml:space="preserve"> </w:t>
      </w:r>
      <w:r>
        <w:t xml:space="preserve">and an AUTO</w:t>
      </w:r>
      <w:r>
        <w:t xml:space="preserve"> </w:t>
      </w:r>
      <w:r>
        <w:rPr>
          <w:rStyle w:val="VerbatimChar"/>
        </w:rPr>
        <w:t xml:space="preserve">no_match</w:t>
      </w:r>
      <w:r>
        <w:t xml:space="preserve"> </w:t>
      </w:r>
      <w:r>
        <w:t xml:space="preserve">does not override a classification. The test asserts the</w:t>
      </w:r>
      <w:r>
        <w:t xml:space="preserve"> </w:t>
      </w:r>
      <w:r>
        <w:t xml:space="preserve">narrower, truer contract: every divergence must be explained by one of those two</w:t>
      </w:r>
      <w:r>
        <w:t xml:space="preserve"> </w:t>
      </w:r>
      <w:r>
        <w:t xml:space="preserve">rules, and a human</w:t>
      </w:r>
      <w:r>
        <w:t xml:space="preserve"> </w:t>
      </w:r>
      <w:r>
        <w:rPr>
          <w:rStyle w:val="VerbatimChar"/>
        </w:rPr>
        <w:t xml:space="preserve">no_match</w:t>
      </w:r>
      <w:r>
        <w:t xml:space="preserve"> </w:t>
      </w:r>
      <w:r>
        <w:t xml:space="preserve">counted as published is still a failure.</w:t>
      </w:r>
    </w:p>
    <w:p>
      <w:pPr>
        <w:pStyle w:val="BodyText"/>
      </w:pPr>
      <w:r>
        <w:t xml:space="preserve">A companion test counts the stale AUTO rows and fails if the count rises above</w:t>
      </w:r>
      <w:r>
        <w:t xml:space="preserve"> </w:t>
      </w:r>
      <w:r>
        <w:t xml:space="preserve">the three known. If the prefill is ever regenerated they should disappear; if</w:t>
      </w:r>
      <w:r>
        <w:t xml:space="preserve"> </w:t>
      </w:r>
      <w:r>
        <w:t xml:space="preserve">more appear, something is writing superseded decisions again.</w:t>
      </w:r>
    </w:p>
    <w:bookmarkEnd w:id="231"/>
    <w:bookmarkStart w:id="232" w:name="a20.6-still-open"/>
    <w:p>
      <w:pPr>
        <w:pStyle w:val="Heading3"/>
      </w:pPr>
      <w:r>
        <w:t xml:space="preserve">A20.6 Still open</w:t>
      </w:r>
    </w:p>
    <w:p>
      <w:pPr>
        <w:pStyle w:val="FirstParagraph"/>
      </w:pPr>
      <w:r>
        <w:t xml:space="preserve">Whether the three stale AUTO prefills should be regenerated or deleted is not</w:t>
      </w:r>
      <w:r>
        <w:t xml:space="preserve"> </w:t>
      </w:r>
      <w:r>
        <w:t xml:space="preserve">decided here. They do not change any number today, because the classification</w:t>
      </w:r>
      <w:r>
        <w:t xml:space="preserve"> </w:t>
      </w:r>
      <w:r>
        <w:t xml:space="preserve">they contradict is what the analysis uses.</w:t>
      </w:r>
    </w:p>
    <w:bookmarkEnd w:id="232"/>
    <w:bookmarkEnd w:id="233"/>
    <w:bookmarkStart w:id="239" w:name="X540cf2bfa947f9574ef7ff0973da69840325985"/>
    <w:p>
      <w:pPr>
        <w:pStyle w:val="Heading2"/>
      </w:pPr>
      <w:r>
        <w:t xml:space="preserve">A21. Deriving Affiliation Covariates From Affiliations</w:t>
      </w:r>
    </w:p>
    <w:p>
      <w:pPr>
        <w:pStyle w:val="FirstParagraph"/>
      </w:pPr>
      <w:r>
        <w:rPr>
          <w:b/>
          <w:bCs/>
        </w:rPr>
        <w:t xml:space="preserve">PI decision, 2026-09-05.</w:t>
      </w:r>
      <w:r>
        <w:t xml:space="preserve"> </w:t>
      </w:r>
      <w:r>
        <w:rPr>
          <w:rStyle w:val="VerbatimChar"/>
        </w:rPr>
        <w:t xml:space="preserve">is_academic</w:t>
      </w:r>
      <w:r>
        <w:t xml:space="preserve"> </w:t>
      </w:r>
      <w:r>
        <w:t xml:space="preserve">and</w:t>
      </w:r>
      <w:r>
        <w:t xml:space="preserve"> </w:t>
      </w:r>
      <w:r>
        <w:rPr>
          <w:rStyle w:val="VerbatimChar"/>
        </w:rPr>
        <w:t xml:space="preserve">is_us_based</w:t>
      </w:r>
      <w:r>
        <w:t xml:space="preserve"> </w:t>
      </w:r>
      <w:r>
        <w:t xml:space="preserve">are now derived</w:t>
      </w:r>
      <w:r>
        <w:t xml:space="preserve"> </w:t>
      </w:r>
      <w:r>
        <w:t xml:space="preserve">from the author affiliation rather than from abstract body text. The</w:t>
      </w:r>
      <w:r>
        <w:t xml:space="preserve"> </w:t>
      </w:r>
      <w:r>
        <w:t xml:space="preserve">publication rate does not change. One reported finding disappears.</w:t>
      </w:r>
    </w:p>
    <w:bookmarkStart w:id="234" w:name="a21.1-what-they-were-measuring"/>
    <w:p>
      <w:pPr>
        <w:pStyle w:val="Heading3"/>
      </w:pPr>
      <w:r>
        <w:t xml:space="preserve">A21.1 What they were measuring</w:t>
      </w:r>
    </w:p>
    <w:p>
      <w:pPr>
        <w:pStyle w:val="FirstParagraph"/>
      </w:pPr>
      <w:r>
        <w:t xml:space="preserve">Neither variable had ever read an affiliation.</w:t>
      </w:r>
      <w:r>
        <w:t xml:space="preserve"> </w:t>
      </w:r>
      <w:r>
        <w:rPr>
          <w:rStyle w:val="VerbatimChar"/>
        </w:rPr>
        <w:t xml:space="preserve">affiliation_raw</w:t>
      </w:r>
      <w:r>
        <w:t xml:space="preserve"> </w:t>
      </w:r>
      <w:r>
        <w:t xml:space="preserve">was empty for</w:t>
      </w:r>
      <w:r>
        <w:t xml:space="preserve"> </w:t>
      </w:r>
      <w:r>
        <w:t xml:space="preserve">all 1,106 abstracts because of the parser defect in A20, so the affiliation</w:t>
      </w:r>
      <w:r>
        <w:t xml:space="preserve"> </w:t>
      </w:r>
      <w:r>
        <w:t xml:space="preserve">branch of each rule never fired and both fell through to abstract body text.</w:t>
      </w:r>
      <w:r>
        <w:t xml:space="preserve"> </w:t>
      </w:r>
      <w:r>
        <w:t xml:space="preserve">The academic pattern included</w:t>
      </w:r>
      <w:r>
        <w:t xml:space="preserve"> </w:t>
      </w:r>
      <w:r>
        <w:rPr>
          <w:rStyle w:val="VerbatimChar"/>
        </w:rPr>
        <w:t xml:space="preserve">residency</w:t>
      </w:r>
      <w:r>
        <w:t xml:space="preserve">,</w:t>
      </w:r>
      <w:r>
        <w:t xml:space="preserve"> </w:t>
      </w:r>
      <w:r>
        <w:rPr>
          <w:rStyle w:val="VerbatimChar"/>
        </w:rPr>
        <w:t xml:space="preserve">fellowship</w:t>
      </w:r>
      <w:r>
        <w:t xml:space="preserve"> </w:t>
      </w:r>
      <w:r>
        <w:t xml:space="preserve">and</w:t>
      </w:r>
      <w:r>
        <w:t xml:space="preserve"> </w:t>
      </w:r>
      <w:r>
        <w:rPr>
          <w:rStyle w:val="VerbatimChar"/>
        </w:rPr>
        <w:t xml:space="preserve">tertiary.*center</w:t>
      </w:r>
      <w:r>
        <w:t xml:space="preserve">,</w:t>
      </w:r>
      <w:r>
        <w:t xml:space="preserve"> </w:t>
      </w:r>
      <w:r>
        <w:t xml:space="preserve">which describe a study rather than an author’s institution. The US pattern</w:t>
      </w:r>
      <w:r>
        <w:t xml:space="preserve"> </w:t>
      </w:r>
      <w:r>
        <w:t xml:space="preserve">matched any state name anywhere in the abstract.</w:t>
      </w:r>
    </w:p>
    <w:p>
      <w:pPr>
        <w:pStyle w:val="BodyText"/>
      </w:pPr>
      <w:r>
        <w:t xml:space="preserve">Validated against real affiliations: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body text</w:t>
            </w:r>
          </w:p>
        </w:tc>
        <w:tc>
          <w:tcPr/>
          <w:p>
            <w:pPr>
              <w:pStyle w:val="Compact"/>
              <w:jc w:val="right"/>
            </w:pPr>
            <w:r>
              <w:t xml:space="preserve">affiliation</w:t>
            </w:r>
          </w:p>
        </w:tc>
        <w:tc>
          <w:tcPr/>
          <w:p>
            <w:pPr>
              <w:pStyle w:val="Compact"/>
              <w:jc w:val="right"/>
            </w:pPr>
            <w:r>
              <w:t xml:space="preserve">agreement</w:t>
            </w:r>
          </w:p>
        </w:tc>
      </w:tr>
      <w:tr>
        <w:tc>
          <w:tcPr/>
          <w:p>
            <w:pPr>
              <w:pStyle w:val="Compact"/>
            </w:pPr>
            <w:r>
              <w:t xml:space="preserve">academic</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54.1%</w:t>
            </w:r>
          </w:p>
        </w:tc>
      </w:tr>
      <w:tr>
        <w:tc>
          <w:tcPr/>
          <w:p>
            <w:pPr>
              <w:pStyle w:val="Compact"/>
            </w:pPr>
            <w:r>
              <w:t xml:space="preserve">US-based</w:t>
            </w:r>
          </w:p>
        </w:tc>
        <w:tc>
          <w:tcPr/>
          <w:p>
            <w:pPr>
              <w:pStyle w:val="Compact"/>
              <w:jc w:val="right"/>
            </w:pPr>
            <w:r>
              <w:t xml:space="preserve">82.1%</w:t>
            </w:r>
          </w:p>
        </w:tc>
        <w:tc>
          <w:tcPr/>
          <w:p>
            <w:pPr>
              <w:pStyle w:val="Compact"/>
              <w:jc w:val="right"/>
            </w:pPr>
            <w:r>
              <w:t xml:space="preserve">57.6%</w:t>
            </w:r>
          </w:p>
        </w:tc>
        <w:tc>
          <w:tcPr/>
          <w:p>
            <w:pPr>
              <w:pStyle w:val="Compact"/>
              <w:jc w:val="right"/>
            </w:pPr>
            <w:r>
              <w:t xml:space="preserve">52.7%</w:t>
            </w:r>
          </w:p>
        </w:tc>
      </w:tr>
    </w:tbl>
    <w:p>
      <w:pPr>
        <w:pStyle w:val="BodyText"/>
      </w:pPr>
      <w:r>
        <w:t xml:space="preserve">Both proxies agree with the construct they claim to measure at close to chance.</w:t>
      </w:r>
      <w:r>
        <w:t xml:space="preserve"> </w:t>
      </w:r>
      <w:r>
        <w:t xml:space="preserve">The academic proxy understated academic affiliation by half; the US proxy</w:t>
      </w:r>
      <w:r>
        <w:t xml:space="preserve"> </w:t>
      </w:r>
      <w:r>
        <w:t xml:space="preserve">overstated US location by 24 percentage points.</w:t>
      </w:r>
    </w:p>
    <w:bookmarkEnd w:id="234"/>
    <w:bookmarkStart w:id="235" w:name="a21.2-abstract-level-extraction"/>
    <w:p>
      <w:pPr>
        <w:pStyle w:val="Heading3"/>
      </w:pPr>
      <w:r>
        <w:t xml:space="preserve">A21.2 Abstract-level extraction</w:t>
      </w:r>
    </w:p>
    <w:p>
      <w:pPr>
        <w:pStyle w:val="FirstParagraph"/>
      </w:pPr>
      <w:r>
        <w:t xml:space="preserve">The per-author affiliation table reaches 55% of the cohort, because linking an</w:t>
      </w:r>
      <w:r>
        <w:t xml:space="preserve"> </w:t>
      </w:r>
      <w:r>
        <w:t xml:space="preserve">author to an institution needs a</w:t>
      </w:r>
      <w:r>
        <w:t xml:space="preserve"> </w:t>
      </w:r>
      <w:r>
        <w:rPr>
          <w:rStyle w:val="VerbatimChar"/>
        </w:rPr>
        <w:t xml:space="preserve">refid</w:t>
      </w:r>
      <w:r>
        <w:t xml:space="preserve"> </w:t>
      </w:r>
      <w:r>
        <w:t xml:space="preserve">that the 2017-2018 ScienceDirect</w:t>
      </w:r>
      <w:r>
        <w:t xml:space="preserve"> </w:t>
      </w:r>
      <w:r>
        <w:t xml:space="preserve">format does not emit. Abstract-level covariates do not need that link:</w:t>
      </w:r>
      <w:r>
        <w:t xml:space="preserve"> </w:t>
      </w:r>
      <w:r>
        <w:t xml:space="preserve">“is any</w:t>
      </w:r>
      <w:r>
        <w:t xml:space="preserve"> </w:t>
      </w:r>
      <w:r>
        <w:t xml:space="preserve">author at an academic institution”</w:t>
      </w:r>
      <w:r>
        <w:t xml:space="preserve"> </w:t>
      </w:r>
      <w:r>
        <w:t xml:space="preserve">and</w:t>
      </w:r>
      <w:r>
        <w:t xml:space="preserve"> </w:t>
      </w:r>
      <w:r>
        <w:t xml:space="preserve">“how many institutions appear”</w:t>
      </w:r>
      <w:r>
        <w:t xml:space="preserve"> </w:t>
      </w:r>
      <w:r>
        <w:t xml:space="preserve">are</w:t>
      </w:r>
      <w:r>
        <w:t xml:space="preserve"> </w:t>
      </w:r>
      <w:r>
        <w:t xml:space="preserve">properties of the record.</w:t>
      </w:r>
      <w:r>
        <w:t xml:space="preserve"> </w:t>
      </w:r>
      <w:r>
        <w:rPr>
          <w:rStyle w:val="VerbatimChar"/>
        </w:rPr>
        <w:t xml:space="preserve">scripts/backfill_affiliations_from_cache.R</w:t>
      </w:r>
      <w:r>
        <w:t xml:space="preserve"> </w:t>
      </w:r>
      <w:r>
        <w:t xml:space="preserve">now also</w:t>
      </w:r>
      <w:r>
        <w:t xml:space="preserve"> </w:t>
      </w:r>
      <w:r>
        <w:t xml:space="preserve">writes</w:t>
      </w:r>
      <w:r>
        <w:t xml:space="preserve"> </w:t>
      </w:r>
      <w:r>
        <w:rPr>
          <w:rStyle w:val="VerbatimChar"/>
        </w:rPr>
        <w:t xml:space="preserve">data/processed/abstract_affiliations.csv</w:t>
      </w:r>
      <w:r>
        <w:t xml:space="preserve">, the union of institution</w:t>
      </w:r>
      <w:r>
        <w:t xml:space="preserve"> </w:t>
      </w:r>
      <w:r>
        <w:t xml:space="preserve">strings per abstract, reaching</w:t>
      </w:r>
      <w:r>
        <w:t xml:space="preserve"> </w:t>
      </w:r>
      <w:r>
        <w:rPr>
          <w:b/>
          <w:bCs/>
        </w:rPr>
        <w:t xml:space="preserve">1,092 of 1,106 (98.7%)</w:t>
      </w:r>
      <w:r>
        <w:t xml:space="preserve">, including 2017 and</w:t>
      </w:r>
      <w:r>
        <w:t xml:space="preserve"> </w:t>
      </w:r>
      <w:r>
        <w:t xml:space="preserve">2018 at 100%.</w:t>
      </w:r>
    </w:p>
    <w:p>
      <w:pPr>
        <w:pStyle w:val="BodyText"/>
      </w:pPr>
      <w:r>
        <w:t xml:space="preserve">Where no affiliation is on file the covariates are</w:t>
      </w:r>
      <w:r>
        <w:t xml:space="preserve"> </w:t>
      </w:r>
      <w:r>
        <w:rPr>
          <w:rStyle w:val="VerbatimChar"/>
        </w:rPr>
        <w:t xml:space="preserve">NA</w:t>
      </w:r>
      <w:r>
        <w:t xml:space="preserve">, not</w:t>
      </w:r>
      <w:r>
        <w:t xml:space="preserve"> </w:t>
      </w:r>
      <w:r>
        <w:rPr>
          <w:rStyle w:val="VerbatimChar"/>
        </w:rPr>
        <w:t xml:space="preserve">FALSE</w:t>
      </w:r>
      <w:r>
        <w:t xml:space="preserve">. Coding</w:t>
      </w:r>
      <w:r>
        <w:t xml:space="preserve"> </w:t>
      </w:r>
      <w:r>
        <w:t xml:space="preserve">absence as a negative was what filled the comparison group with unknowns and</w:t>
      </w:r>
      <w:r>
        <w:t xml:space="preserve"> </w:t>
      </w:r>
      <w:r>
        <w:t xml:space="preserve">produced the era gradient that made an earlier attempt at this change</w:t>
      </w:r>
      <w:r>
        <w:t xml:space="preserve"> </w:t>
      </w:r>
      <w:r>
        <w:t xml:space="preserve">unusable.</w:t>
      </w:r>
    </w:p>
    <w:bookmarkEnd w:id="235"/>
    <w:bookmarkStart w:id="236" w:name="a21.3-the-result"/>
    <w:p>
      <w:pPr>
        <w:pStyle w:val="Heading3"/>
      </w:pPr>
      <w:r>
        <w:t xml:space="preserve">A21.3 The result</w:t>
      </w:r>
    </w:p>
    <w:p>
      <w:pPr>
        <w:pStyle w:val="FirstParagraph"/>
      </w:pPr>
      <w:r>
        <w:t xml:space="preserve">Both are now stable across congress years, which the text proxies were not:</w:t>
      </w:r>
      <w:r>
        <w:t xml:space="preserve"> </w:t>
      </w:r>
      <w:r>
        <w:t xml:space="preserve">academic ranges 55.8% to 75.6% and US-based 50.0% to 64.4%, with no cliff at</w:t>
      </w:r>
      <w:r>
        <w:t xml:space="preserve"> </w:t>
      </w:r>
      <w:r>
        <w:t xml:space="preserve">the 2017-2018 boundary where the text ran out.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Cox term</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p before</w:t>
            </w:r>
          </w:p>
        </w:tc>
        <w:tc>
          <w:tcPr/>
          <w:p>
            <w:pPr>
              <w:pStyle w:val="Compact"/>
              <w:jc w:val="right"/>
            </w:pPr>
            <w:r>
              <w:t xml:space="preserve">p after</w:t>
            </w:r>
          </w:p>
        </w:tc>
      </w:tr>
      <w:tr>
        <w:tc>
          <w:tcPr/>
          <w:p>
            <w:pPr>
              <w:pStyle w:val="Compact"/>
            </w:pPr>
            <w:r>
              <w:rPr>
                <w:rStyle w:val="VerbatimChar"/>
              </w:rPr>
              <w:t xml:space="preserve">is_rct</w:t>
            </w:r>
          </w:p>
        </w:tc>
        <w:tc>
          <w:tcPr/>
          <w:p>
            <w:pPr>
              <w:pStyle w:val="Compact"/>
              <w:jc w:val="right"/>
            </w:pPr>
            <w:r>
              <w:t xml:space="preserve">2.172</w:t>
            </w:r>
          </w:p>
        </w:tc>
        <w:tc>
          <w:tcPr/>
          <w:p>
            <w:pPr>
              <w:pStyle w:val="Compact"/>
              <w:jc w:val="right"/>
            </w:pPr>
            <w:r>
              <w:t xml:space="preserve">2.002</w:t>
            </w:r>
          </w:p>
        </w:tc>
        <w:tc>
          <w:tcPr/>
          <w:p>
            <w:pPr>
              <w:pStyle w:val="Compact"/>
              <w:jc w:val="right"/>
            </w:pPr>
            <w:r>
              <w:t xml:space="preserve">&lt;0.001</w:t>
            </w:r>
          </w:p>
        </w:tc>
        <w:tc>
          <w:tcPr/>
          <w:p>
            <w:pPr>
              <w:pStyle w:val="Compact"/>
              <w:jc w:val="right"/>
            </w:pPr>
            <w:r>
              <w:t xml:space="preserve">0.001</w:t>
            </w:r>
          </w:p>
        </w:tc>
      </w:tr>
      <w:tr>
        <w:tc>
          <w:tcPr/>
          <w:p>
            <w:pPr>
              <w:pStyle w:val="Compact"/>
            </w:pPr>
            <w:r>
              <w:rPr>
                <w:rStyle w:val="VerbatimChar"/>
                <w:b/>
                <w:bCs/>
              </w:rPr>
              <w:t xml:space="preserve">is_academic</w:t>
            </w:r>
          </w:p>
        </w:tc>
        <w:tc>
          <w:tcPr/>
          <w:p>
            <w:pPr>
              <w:pStyle w:val="Compact"/>
              <w:jc w:val="right"/>
            </w:pPr>
            <w:r>
              <w:rPr>
                <w:b/>
                <w:bCs/>
              </w:rPr>
              <w:t xml:space="preserve">0.649</w:t>
            </w:r>
          </w:p>
        </w:tc>
        <w:tc>
          <w:tcPr/>
          <w:p>
            <w:pPr>
              <w:pStyle w:val="Compact"/>
              <w:jc w:val="right"/>
            </w:pPr>
            <w:r>
              <w:rPr>
                <w:b/>
                <w:bCs/>
              </w:rPr>
              <w:t xml:space="preserve">1.097</w:t>
            </w:r>
          </w:p>
        </w:tc>
        <w:tc>
          <w:tcPr/>
          <w:p>
            <w:pPr>
              <w:pStyle w:val="Compact"/>
              <w:jc w:val="right"/>
            </w:pPr>
            <w:r>
              <w:rPr>
                <w:b/>
                <w:bCs/>
              </w:rPr>
              <w:t xml:space="preserve">0.013</w:t>
            </w:r>
          </w:p>
        </w:tc>
        <w:tc>
          <w:tcPr/>
          <w:p>
            <w:pPr>
              <w:pStyle w:val="Compact"/>
              <w:jc w:val="right"/>
            </w:pPr>
            <w:r>
              <w:rPr>
                <w:b/>
                <w:bCs/>
              </w:rPr>
              <w:t xml:space="preserve">0.587</w:t>
            </w:r>
          </w:p>
        </w:tc>
      </w:tr>
      <w:tr>
        <w:tc>
          <w:tcPr/>
          <w:p>
            <w:pPr>
              <w:pStyle w:val="Compact"/>
            </w:pPr>
            <w:r>
              <w:rPr>
                <w:rStyle w:val="VerbatimChar"/>
              </w:rPr>
              <w:t xml:space="preserve">is_us_based</w:t>
            </w:r>
          </w:p>
        </w:tc>
        <w:tc>
          <w:tcPr/>
          <w:p>
            <w:pPr>
              <w:pStyle w:val="Compact"/>
              <w:jc w:val="right"/>
            </w:pPr>
            <w:r>
              <w:t xml:space="preserve">1.354</w:t>
            </w:r>
          </w:p>
        </w:tc>
        <w:tc>
          <w:tcPr/>
          <w:p>
            <w:pPr>
              <w:pStyle w:val="Compact"/>
              <w:jc w:val="right"/>
            </w:pPr>
            <w:r>
              <w:t xml:space="preserve">0.787</w:t>
            </w:r>
          </w:p>
        </w:tc>
        <w:tc>
          <w:tcPr/>
          <w:p>
            <w:pPr>
              <w:pStyle w:val="Compact"/>
              <w:jc w:val="right"/>
            </w:pPr>
            <w:r>
              <w:t xml:space="preserve">0.205</w:t>
            </w:r>
          </w:p>
        </w:tc>
        <w:tc>
          <w:tcPr/>
          <w:p>
            <w:pPr>
              <w:pStyle w:val="Compact"/>
              <w:jc w:val="right"/>
            </w:pPr>
            <w:r>
              <w:t xml:space="preserve">0.136</w:t>
            </w:r>
          </w:p>
        </w:tc>
      </w:tr>
      <w:tr>
        <w:tc>
          <w:tcPr/>
          <w:p>
            <w:pPr>
              <w:pStyle w:val="Compact"/>
            </w:pPr>
            <w:r>
              <w:rPr>
                <w:rStyle w:val="VerbatimChar"/>
              </w:rPr>
              <w:t xml:space="preserve">n_authors</w:t>
            </w:r>
          </w:p>
        </w:tc>
        <w:tc>
          <w:tcPr/>
          <w:p>
            <w:pPr>
              <w:pStyle w:val="Compact"/>
              <w:jc w:val="right"/>
            </w:pPr>
            <w:r>
              <w:t xml:space="preserve">1.252</w:t>
            </w:r>
          </w:p>
        </w:tc>
        <w:tc>
          <w:tcPr/>
          <w:p>
            <w:pPr>
              <w:pStyle w:val="Compact"/>
              <w:jc w:val="right"/>
            </w:pPr>
            <w:r>
              <w:t xml:space="preserve">1.218</w:t>
            </w:r>
          </w:p>
        </w:tc>
        <w:tc>
          <w:tcPr/>
          <w:p>
            <w:pPr>
              <w:pStyle w:val="Compact"/>
              <w:jc w:val="right"/>
            </w:pPr>
            <w:r>
              <w:t xml:space="preserve">0.002</w:t>
            </w:r>
          </w:p>
        </w:tc>
        <w:tc>
          <w:tcPr/>
          <w:p>
            <w:pPr>
              <w:pStyle w:val="Compact"/>
              <w:jc w:val="right"/>
            </w:pPr>
            <w:r>
              <w:t xml:space="preserve">0.006</w:t>
            </w:r>
          </w:p>
        </w:tc>
      </w:tr>
      <w:tr>
        <w:tc>
          <w:tcPr/>
          <w:p>
            <w:pPr>
              <w:pStyle w:val="Compact"/>
            </w:pPr>
            <w:r>
              <w:rPr>
                <w:rStyle w:val="VerbatimChar"/>
              </w:rPr>
              <w:t xml:space="preserve">gender_unified</w:t>
            </w:r>
          </w:p>
        </w:tc>
        <w:tc>
          <w:tcPr/>
          <w:p>
            <w:pPr>
              <w:pStyle w:val="Compact"/>
              <w:jc w:val="right"/>
            </w:pPr>
            <w:r>
              <w:t xml:space="preserve">0.780</w:t>
            </w:r>
          </w:p>
        </w:tc>
        <w:tc>
          <w:tcPr/>
          <w:p>
            <w:pPr>
              <w:pStyle w:val="Compact"/>
              <w:jc w:val="right"/>
            </w:pPr>
            <w:r>
              <w:t xml:space="preserve">0.746</w:t>
            </w:r>
          </w:p>
        </w:tc>
        <w:tc>
          <w:tcPr/>
          <w:p>
            <w:pPr>
              <w:pStyle w:val="Compact"/>
              <w:jc w:val="right"/>
            </w:pPr>
            <w:r>
              <w:t xml:space="preserve">0.114</w:t>
            </w:r>
          </w:p>
        </w:tc>
        <w:tc>
          <w:tcPr/>
          <w:p>
            <w:pPr>
              <w:pStyle w:val="Compact"/>
              <w:jc w:val="right"/>
            </w:pPr>
            <w:r>
              <w:t xml:space="preserve">0.066</w:t>
            </w:r>
          </w:p>
        </w:tc>
      </w:tr>
      <w:tr>
        <w:tc>
          <w:tcPr/>
          <w:p>
            <w:pPr>
              <w:pStyle w:val="Compact"/>
            </w:pPr>
            <w:r>
              <w:rPr>
                <w:rStyle w:val="VerbatimChar"/>
              </w:rPr>
              <w:t xml:space="preserve">is_multicenter</w:t>
            </w:r>
          </w:p>
        </w:tc>
        <w:tc>
          <w:tcPr/>
          <w:p>
            <w:pPr>
              <w:pStyle w:val="Compact"/>
              <w:jc w:val="right"/>
            </w:pPr>
            <w:r>
              <w:t xml:space="preserve">1.402</w:t>
            </w:r>
          </w:p>
        </w:tc>
        <w:tc>
          <w:tcPr/>
          <w:p>
            <w:pPr>
              <w:pStyle w:val="Compact"/>
              <w:jc w:val="right"/>
            </w:pPr>
            <w:r>
              <w:t xml:space="preserve">1.361</w:t>
            </w:r>
          </w:p>
        </w:tc>
        <w:tc>
          <w:tcPr/>
          <w:p>
            <w:pPr>
              <w:pStyle w:val="Compact"/>
              <w:jc w:val="right"/>
            </w:pPr>
            <w:r>
              <w:t xml:space="preserve">0.219</w:t>
            </w:r>
          </w:p>
        </w:tc>
        <w:tc>
          <w:tcPr/>
          <w:p>
            <w:pPr>
              <w:pStyle w:val="Compact"/>
              <w:jc w:val="right"/>
            </w:pPr>
            <w:r>
              <w:t xml:space="preserve">0.265</w:t>
            </w:r>
          </w:p>
        </w:tc>
      </w:tr>
    </w:tbl>
    <w:p>
      <w:pPr>
        <w:pStyle w:val="BodyText"/>
      </w:pPr>
      <w:r>
        <w:rPr>
          <w:b/>
          <w:bCs/>
        </w:rPr>
        <w:t xml:space="preserve">The academic finding does not survive measurement.</w:t>
      </w:r>
      <w:r>
        <w:t xml:space="preserve"> </w:t>
      </w:r>
      <w:r>
        <w:t xml:space="preserve">It reverses direction</w:t>
      </w:r>
      <w:r>
        <w:t xml:space="preserve"> </w:t>
      </w:r>
      <w:r>
        <w:t xml:space="preserve">and becomes null, and its bootstrap retention falls from 47.4% to 5.6%, the</w:t>
      </w:r>
      <w:r>
        <w:t xml:space="preserve"> </w:t>
      </w:r>
      <w:r>
        <w:t xml:space="preserve">lowest of any term. Reported for three refits as</w:t>
      </w:r>
      <w:r>
        <w:t xml:space="preserve"> </w:t>
      </w:r>
      <w:r>
        <w:t xml:space="preserve">“academic affiliation is</w:t>
      </w:r>
      <w:r>
        <w:t xml:space="preserve"> </w:t>
      </w:r>
      <w:r>
        <w:t xml:space="preserve">associated with slower publication”</w:t>
      </w:r>
      <w:r>
        <w:t xml:space="preserve">, it was an artefact of a proxy that agreed</w:t>
      </w:r>
      <w:r>
        <w:t xml:space="preserve"> </w:t>
      </w:r>
      <w:r>
        <w:t xml:space="preserve">with the construct 54% of the time. It should be reported as no evidence of an</w:t>
      </w:r>
      <w:r>
        <w:t xml:space="preserve"> </w:t>
      </w:r>
      <w:r>
        <w:t xml:space="preserve">association.</w:t>
      </w:r>
    </w:p>
    <w:p>
      <w:pPr>
        <w:pStyle w:val="BodyText"/>
      </w:pP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survive, at 93.2% and 88.6% bootstrap retention. They</w:t>
      </w:r>
      <w:r>
        <w:t xml:space="preserve"> </w:t>
      </w:r>
      <w:r>
        <w:t xml:space="preserve">were never affiliation-derived and they do not move.</w:t>
      </w:r>
    </w:p>
    <w:bookmarkEnd w:id="236"/>
    <w:bookmarkStart w:id="237" w:name="X4590b6dd92ead22b7ab6d675fab63ab7b74b5f8"/>
    <w:p>
      <w:pPr>
        <w:pStyle w:val="Heading3"/>
      </w:pPr>
      <w:r>
        <w:t xml:space="preserve">A21.4 A second proportional-hazards violator</w:t>
      </w:r>
    </w:p>
    <w:p>
      <w:pPr>
        <w:pStyle w:val="FirstParagraph"/>
      </w:pPr>
      <w:r>
        <w:t xml:space="preserve">The global Schoenfeld test moves from p = 0.043 to</w:t>
      </w:r>
      <w:r>
        <w:t xml:space="preserve"> </w:t>
      </w:r>
      <w:r>
        <w:rPr>
          <w:b/>
          <w:bCs/>
        </w:rPr>
        <w:t xml:space="preserve">p = 0.010</w:t>
      </w:r>
      <w:r>
        <w:t xml:space="preserve">, and the</w:t>
      </w:r>
      <w:r>
        <w:t xml:space="preserve"> </w:t>
      </w:r>
      <w:r>
        <w:t xml:space="preserve">violation is no longer confined to one term:</w:t>
      </w:r>
      <w:r>
        <w:t xml:space="preserve"> </w:t>
      </w:r>
      <w:r>
        <w:rPr>
          <w:rStyle w:val="VerbatimChar"/>
        </w:rPr>
        <w:t xml:space="preserve">is_us_based</w:t>
      </w:r>
      <w:r>
        <w:t xml:space="preserve"> </w:t>
      </w:r>
      <w:r>
        <w:t xml:space="preserve">now violates at</w:t>
      </w:r>
      <w:r>
        <w:t xml:space="preserve"> </w:t>
      </w:r>
      <w:r>
        <w:t xml:space="preserve">p = 0.005 alongside</w:t>
      </w:r>
      <w:r>
        <w:t xml:space="preserve"> </w:t>
      </w:r>
      <w:r>
        <w:rPr>
          <w:rStyle w:val="VerbatimChar"/>
        </w:rPr>
        <w:t xml:space="preserve">n_authors</w:t>
      </w:r>
      <w:r>
        <w:t xml:space="preserve"> </w:t>
      </w:r>
      <w:r>
        <w:t xml:space="preserve">at p = 0.003.</w:t>
      </w:r>
    </w:p>
    <w:p>
      <w:pPr>
        <w:pStyle w:val="BodyText"/>
      </w:pPr>
      <w:r>
        <w:t xml:space="preserve">The remediation handled this without modification, which is what the generic</w:t>
      </w:r>
      <w:r>
        <w:t xml:space="preserve"> </w:t>
      </w:r>
      <w:r>
        <w:t xml:space="preserve">implementation was written for. It reads the violating set from</w:t>
      </w:r>
      <w:r>
        <w:t xml:space="preserve"> </w:t>
      </w:r>
      <w:r>
        <w:rPr>
          <w:rStyle w:val="VerbatimChar"/>
        </w:rPr>
        <w:t xml:space="preserve">cox.zph</w:t>
      </w:r>
      <w:r>
        <w:t xml:space="preserve"> </w:t>
      </w:r>
      <w:r>
        <w:t xml:space="preserve">and</w:t>
      </w:r>
      <w:r>
        <w:t xml:space="preserve"> </w:t>
      </w:r>
      <w:r>
        <w:t xml:space="preserve">chooses by type:</w:t>
      </w:r>
      <w:r>
        <w:t xml:space="preserve"> </w:t>
      </w:r>
      <w:r>
        <w:rPr>
          <w:rStyle w:val="VerbatimChar"/>
        </w:rPr>
        <w:t xml:space="preserve">n_authors</w:t>
      </w:r>
      <w:r>
        <w:t xml:space="preserve"> </w:t>
      </w:r>
      <w:r>
        <w:t xml:space="preserve">is numeric and takes a log-time interaction,</w:t>
      </w:r>
      <w:r>
        <w:t xml:space="preserve"> </w:t>
      </w:r>
      <w:r>
        <w:rPr>
          <w:rStyle w:val="VerbatimChar"/>
        </w:rPr>
        <w:t xml:space="preserve">is_us_based</w:t>
      </w:r>
      <w:r>
        <w:t xml:space="preserve"> </w:t>
      </w:r>
      <w:r>
        <w:t xml:space="preserve">is logical and moves into</w:t>
      </w:r>
      <w:r>
        <w:t xml:space="preserve"> </w:t>
      </w:r>
      <w:r>
        <w:rPr>
          <w:rStyle w:val="VerbatimChar"/>
        </w:rPr>
        <w:t xml:space="preserve">strata()</w:t>
      </w:r>
      <w:r>
        <w:t xml:space="preserve">. Stratifying on both</w:t>
      </w:r>
      <w:r>
        <w:t xml:space="preserve"> </w:t>
      </w:r>
      <w:r>
        <w:t xml:space="preserve">restores the global test to p = 0.607.</w:t>
      </w:r>
    </w:p>
    <w:p>
      <w:pPr>
        <w:pStyle w:val="BodyText"/>
      </w:pPr>
      <w:r>
        <w:t xml:space="preserve">The diagnostics script did need fixing. It assumed a single numeric violator</w:t>
      </w:r>
      <w:r>
        <w:t xml:space="preserve"> </w:t>
      </w:r>
      <w:r>
        <w:t xml:space="preserve">and took</w:t>
      </w:r>
      <w:r>
        <w:t xml:space="preserve"> </w:t>
      </w:r>
      <w:r>
        <w:rPr>
          <w:rStyle w:val="VerbatimChar"/>
        </w:rPr>
        <w:t xml:space="preserve">violators[1]</w:t>
      </w:r>
      <w:r>
        <w:t xml:space="preserve">, which with two violators selected the categorical one</w:t>
      </w:r>
      <w:r>
        <w:t xml:space="preserve"> </w:t>
      </w:r>
      <w:r>
        <w:t xml:space="preserve">and silently produced no AIC or ceiling metrics at all. It now selects the</w:t>
      </w:r>
      <w:r>
        <w:t xml:space="preserve"> </w:t>
      </w:r>
      <w:r>
        <w:t xml:space="preserve">first numeric violator for those metrics, reports how many terms violate, and</w:t>
      </w:r>
      <w:r>
        <w:t xml:space="preserve"> </w:t>
      </w:r>
      <w:r>
        <w:t xml:space="preserve">computes the</w:t>
      </w:r>
      <w:r>
        <w:t xml:space="preserve"> </w:t>
      </w:r>
      <w:r>
        <w:t xml:space="preserve">“without violator”</w:t>
      </w:r>
      <w:r>
        <w:t xml:space="preserve"> </w:t>
      </w:r>
      <w:r>
        <w:t xml:space="preserve">refit by dropping every violating term rather</w:t>
      </w:r>
      <w:r>
        <w:t xml:space="preserve"> </w:t>
      </w:r>
      <w:r>
        <w:t xml:space="preserve">than one.</w:t>
      </w:r>
    </w:p>
    <w:bookmarkEnd w:id="237"/>
    <w:bookmarkStart w:id="238" w:name="X42642850baf814f4018ce72226e7a9fa8056c27"/>
    <w:p>
      <w:pPr>
        <w:pStyle w:val="Heading3"/>
      </w:pPr>
      <w:r>
        <w:t xml:space="preserve">A21.5 What was audited and deliberately not changed</w:t>
      </w:r>
    </w:p>
    <w:p>
      <w:pPr>
        <w:pStyle w:val="FirstParagraph"/>
      </w:pPr>
      <w:r>
        <w:rPr>
          <w:rStyle w:val="VerbatimChar"/>
        </w:rPr>
        <w:t xml:space="preserve">n_affiliations</w:t>
      </w:r>
      <w:r>
        <w:t xml:space="preserve"> </w:t>
      </w:r>
      <w:r>
        <w:t xml:space="preserve">is now recorded from the source: mean 2.37 institutions per</w:t>
      </w:r>
      <w:r>
        <w:t xml:space="preserve"> </w:t>
      </w:r>
      <w:r>
        <w:t xml:space="preserve">abstract, 679 abstracts naming more than one.</w:t>
      </w:r>
    </w:p>
    <w:p>
      <w:pPr>
        <w:pStyle w:val="BodyText"/>
      </w:pPr>
      <w:r>
        <w:rPr>
          <w:rStyle w:val="VerbatimChar"/>
        </w:rPr>
        <w:t xml:space="preserve">is_multicenter</w:t>
      </w:r>
      <w:r>
        <w:t xml:space="preserve"> </w:t>
      </w:r>
      <w:r>
        <w:t xml:space="preserve">is unchanged at 65 abstracts, and the gap is deliberate. More</w:t>
      </w:r>
      <w:r>
        <w:t xml:space="preserve"> </w:t>
      </w:r>
      <w:r>
        <w:t xml:space="preserve">than one affiliation on a paper is not the same as a multicentre study: a</w:t>
      </w:r>
      <w:r>
        <w:t xml:space="preserve"> </w:t>
      </w:r>
      <w:r>
        <w:t xml:space="preserve">single-centre study routinely lists authors from several institutions, and a</w:t>
      </w:r>
      <w:r>
        <w:t xml:space="preserve"> </w:t>
      </w:r>
      <w:r>
        <w:t xml:space="preserve">collaborator’s home department is not a study site. Redefining</w:t>
      </w:r>
      <w:r>
        <w:t xml:space="preserve"> </w:t>
      </w:r>
      <w:r>
        <w:rPr>
          <w:rStyle w:val="VerbatimChar"/>
        </w:rPr>
        <w:t xml:space="preserve">is_multicenter</w:t>
      </w:r>
      <w:r>
        <w:t xml:space="preserve"> </w:t>
      </w:r>
      <w:r>
        <w:t xml:space="preserve">as</w:t>
      </w:r>
      <w:r>
        <w:t xml:space="preserve"> </w:t>
      </w:r>
      <w:r>
        <w:rPr>
          <w:rStyle w:val="VerbatimChar"/>
        </w:rPr>
        <w:t xml:space="preserve">n_affiliations &gt; 1</w:t>
      </w:r>
      <w:r>
        <w:t xml:space="preserve"> </w:t>
      </w:r>
      <w:r>
        <w:t xml:space="preserve">would take it from 65 to 679 and</w:t>
      </w:r>
      <w:r>
        <w:t xml:space="preserve"> </w:t>
      </w:r>
      <w:r>
        <w:t xml:space="preserve">change what the variable means, which is a decision about the estimand rather</w:t>
      </w:r>
      <w:r>
        <w:t xml:space="preserve"> </w:t>
      </w:r>
      <w:r>
        <w:t xml:space="preserve">than a measurement repair. It is left as text-derived and flagged.</w:t>
      </w:r>
    </w:p>
    <w:bookmarkEnd w:id="238"/>
    <w:bookmarkEnd w:id="239"/>
    <w:bookmarkStart w:id="244" w:name="a22.-is_multicenter-stays-a-text-claim"/>
    <w:p>
      <w:pPr>
        <w:pStyle w:val="Heading2"/>
      </w:pPr>
      <w:r>
        <w:t xml:space="preserve">A22.</w:t>
      </w:r>
      <w:r>
        <w:t xml:space="preserve"> </w:t>
      </w:r>
      <w:r>
        <w:rPr>
          <w:rStyle w:val="VerbatimChar"/>
        </w:rPr>
        <w:t xml:space="preserve">is_multicenter</w:t>
      </w:r>
      <w:r>
        <w:t xml:space="preserve"> </w:t>
      </w:r>
      <w:r>
        <w:t xml:space="preserve">Stays a Text Claim</w:t>
      </w:r>
    </w:p>
    <w:p>
      <w:pPr>
        <w:pStyle w:val="FirstParagraph"/>
      </w:pPr>
      <w:r>
        <w:rPr>
          <w:b/>
          <w:bCs/>
        </w:rPr>
        <w:t xml:space="preserve">PI decision, 2026-09-05: leave</w:t>
      </w:r>
      <w:r>
        <w:rPr>
          <w:b/>
          <w:bCs/>
        </w:rPr>
        <w:t xml:space="preserve"> </w:t>
      </w:r>
      <w:r>
        <w:rPr>
          <w:rStyle w:val="VerbatimChar"/>
          <w:b/>
          <w:bCs/>
        </w:rPr>
        <w:t xml:space="preserve">is_multicenter</w:t>
      </w:r>
      <w:r>
        <w:rPr>
          <w:b/>
          <w:bCs/>
        </w:rPr>
        <w:t xml:space="preserve"> </w:t>
      </w:r>
      <w:r>
        <w:rPr>
          <w:b/>
          <w:bCs/>
        </w:rPr>
        <w:t xml:space="preserve">as it is.</w:t>
      </w:r>
      <w:r>
        <w:t xml:space="preserve"> </w:t>
      </w:r>
      <w:r>
        <w:t xml:space="preserve">No code changed;</w:t>
      </w:r>
      <w:r>
        <w:t xml:space="preserve"> </w:t>
      </w:r>
      <w:r>
        <w:t xml:space="preserve">this records why, so the question is not reopened by the next person who</w:t>
      </w:r>
      <w:r>
        <w:t xml:space="preserve"> </w:t>
      </w:r>
      <w:r>
        <w:t xml:space="preserve">notices the gap.</w:t>
      </w:r>
    </w:p>
    <w:bookmarkStart w:id="240" w:name="a22.1-the-gap-that-prompted-the-question"/>
    <w:p>
      <w:pPr>
        <w:pStyle w:val="Heading3"/>
      </w:pPr>
      <w:r>
        <w:t xml:space="preserve">A22.1 The gap that prompted the question</w:t>
      </w:r>
    </w:p>
    <w:p>
      <w:pPr>
        <w:pStyle w:val="FirstParagraph"/>
      </w:pPr>
      <w:r>
        <w:t xml:space="preserve">A21 recovered author affiliations for 98.7% of the cohort, which made a</w:t>
      </w:r>
      <w:r>
        <w:t xml:space="preserve"> </w:t>
      </w:r>
      <w:r>
        <w:t xml:space="preserve">competing definition available for the first time. The two disagree in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n</w:t>
            </w:r>
          </w:p>
        </w:tc>
      </w:tr>
      <w:tr>
        <w:tc>
          <w:tcPr/>
          <w:p>
            <w:pPr>
              <w:pStyle w:val="Compact"/>
            </w:pPr>
            <w:r>
              <w:rPr>
                <w:rStyle w:val="VerbatimChar"/>
              </w:rPr>
              <w:t xml:space="preserve">is_multicenter</w:t>
            </w:r>
            <w:r>
              <w:t xml:space="preserve"> </w:t>
            </w:r>
            <w:r>
              <w:t xml:space="preserve">(abstract says so)</w:t>
            </w:r>
          </w:p>
        </w:tc>
        <w:tc>
          <w:tcPr/>
          <w:p>
            <w:pPr>
              <w:pStyle w:val="Compact"/>
              <w:jc w:val="right"/>
            </w:pPr>
            <w:r>
              <w:t xml:space="preserve">65</w:t>
            </w:r>
          </w:p>
        </w:tc>
      </w:tr>
      <w:tr>
        <w:tc>
          <w:tcPr/>
          <w:p>
            <w:pPr>
              <w:pStyle w:val="Compact"/>
            </w:pPr>
            <w:r>
              <w:t xml:space="preserve">more than one affiliation named</w:t>
            </w:r>
          </w:p>
        </w:tc>
        <w:tc>
          <w:tcPr/>
          <w:p>
            <w:pPr>
              <w:pStyle w:val="Compact"/>
              <w:jc w:val="right"/>
            </w:pPr>
            <w:r>
              <w:t xml:space="preserve">679</w:t>
            </w:r>
          </w:p>
        </w:tc>
      </w:tr>
      <w:tr>
        <w:tc>
          <w:tcPr/>
          <w:p>
            <w:pPr>
              <w:pStyle w:val="Compact"/>
            </w:pPr>
            <w:r>
              <w:t xml:space="preserve">both</w:t>
            </w:r>
          </w:p>
        </w:tc>
        <w:tc>
          <w:tcPr/>
          <w:p>
            <w:pPr>
              <w:pStyle w:val="Compact"/>
              <w:jc w:val="right"/>
            </w:pPr>
            <w:r>
              <w:t xml:space="preserve">58</w:t>
            </w:r>
          </w:p>
        </w:tc>
      </w:tr>
      <w:tr>
        <w:tc>
          <w:tcPr/>
          <w:p>
            <w:pPr>
              <w:pStyle w:val="Compact"/>
            </w:pPr>
            <w:r>
              <w:t xml:space="preserve">says multicentre, one affiliation</w:t>
            </w:r>
          </w:p>
        </w:tc>
        <w:tc>
          <w:tcPr/>
          <w:p>
            <w:pPr>
              <w:pStyle w:val="Compact"/>
              <w:jc w:val="right"/>
            </w:pPr>
            <w:r>
              <w:t xml:space="preserve">7</w:t>
            </w:r>
          </w:p>
        </w:tc>
      </w:tr>
    </w:tbl>
    <w:p>
      <w:pPr>
        <w:pStyle w:val="BodyText"/>
      </w:pPr>
      <w:r>
        <w:t xml:space="preserve">Fifty-eight of the 65 also name several institutions, so the measures agree</w:t>
      </w:r>
      <w:r>
        <w:t xml:space="preserve"> </w:t>
      </w:r>
      <w:r>
        <w:t xml:space="preserve">wherever the text is explicit. The 621 that name several institutions without</w:t>
      </w:r>
      <w:r>
        <w:t xml:space="preserve"> </w:t>
      </w:r>
      <w:r>
        <w:t xml:space="preserve">using the word are where they part.</w:t>
      </w:r>
    </w:p>
    <w:bookmarkEnd w:id="240"/>
    <w:bookmarkStart w:id="241" w:name="X3c806eb206b47a3dfc0a0501ee3ac46aec5e2b1"/>
    <w:p>
      <w:pPr>
        <w:pStyle w:val="Heading3"/>
      </w:pPr>
      <w:r>
        <w:t xml:space="preserve">A22.2 Why the larger number is not the better one</w:t>
      </w:r>
    </w:p>
    <w:p>
      <w:pPr>
        <w:pStyle w:val="FirstParagraph"/>
      </w:pPr>
      <w:r>
        <w:t xml:space="preserve">They measure different things.</w:t>
      </w:r>
      <w:r>
        <w:t xml:space="preserve"> </w:t>
      </w:r>
      <w:r>
        <w:rPr>
          <w:rStyle w:val="VerbatimChar"/>
        </w:rPr>
        <w:t xml:space="preserve">is_multicenter</w:t>
      </w:r>
      <w:r>
        <w:t xml:space="preserve"> </w:t>
      </w:r>
      <w:r>
        <w:t xml:space="preserve">is a claim about</w:t>
      </w:r>
      <w:r>
        <w:t xml:space="preserve"> </w:t>
      </w:r>
      <w:r>
        <w:rPr>
          <w:b/>
          <w:bCs/>
        </w:rPr>
        <w:t xml:space="preserve">study</w:t>
      </w:r>
      <w:r>
        <w:rPr>
          <w:b/>
          <w:bCs/>
        </w:rPr>
        <w:t xml:space="preserve"> </w:t>
      </w:r>
      <w:r>
        <w:rPr>
          <w:b/>
          <w:bCs/>
        </w:rPr>
        <w:t xml:space="preserve">design</w:t>
      </w:r>
      <w:r>
        <w:t xml:space="preserve">: the work was conducted at more than one site. Affiliation count is a</w:t>
      </w:r>
      <w:r>
        <w:t xml:space="preserve"> </w:t>
      </w:r>
      <w:r>
        <w:t xml:space="preserve">fact about</w:t>
      </w:r>
      <w:r>
        <w:t xml:space="preserve"> </w:t>
      </w:r>
      <w:r>
        <w:rPr>
          <w:b/>
          <w:bCs/>
        </w:rPr>
        <w:t xml:space="preserve">authorship</w:t>
      </w:r>
      <w:r>
        <w:t xml:space="preserve">: the people on the paper work at more than one</w:t>
      </w:r>
      <w:r>
        <w:t xml:space="preserve"> </w:t>
      </w:r>
      <w:r>
        <w:t xml:space="preserve">institution. A single-centre study with a statistician from another university</w:t>
      </w:r>
      <w:r>
        <w:t xml:space="preserve"> </w:t>
      </w:r>
      <w:r>
        <w:t xml:space="preserve">satisfies the second and not the first, and that arrangement is routine.</w:t>
      </w:r>
    </w:p>
    <w:p>
      <w:pPr>
        <w:pStyle w:val="BodyText"/>
      </w:pPr>
      <w:r>
        <w:t xml:space="preserve">Redefining the variable would take it from 65 to 679 and convert it from a</w:t>
      </w:r>
      <w:r>
        <w:t xml:space="preserve"> </w:t>
      </w:r>
      <w:r>
        <w:t xml:space="preserve">design measure into a collaboration-breadth measure while keeping the name.</w:t>
      </w:r>
      <w:r>
        <w:t xml:space="preserve"> </w:t>
      </w:r>
      <w:r>
        <w:t xml:space="preserve">That is a change to what is being estimated, not a repair of how it is</w:t>
      </w:r>
      <w:r>
        <w:t xml:space="preserve"> </w:t>
      </w:r>
      <w:r>
        <w:t xml:space="preserve">measured, and it is the opposite of what A21 did: A21 kept the construct and</w:t>
      </w:r>
      <w:r>
        <w:t xml:space="preserve"> </w:t>
      </w:r>
      <w:r>
        <w:t xml:space="preserve">fixed the instrument.</w:t>
      </w:r>
    </w:p>
    <w:bookmarkEnd w:id="241"/>
    <w:bookmarkStart w:id="242" w:name="X6e83b59574f98a106370011b02de62feafb2def"/>
    <w:p>
      <w:pPr>
        <w:pStyle w:val="Heading3"/>
      </w:pPr>
      <w:r>
        <w:t xml:space="preserve">A22.3 What the decision costs, stated plainly</w:t>
      </w:r>
    </w:p>
    <w:p>
      <w:pPr>
        <w:pStyle w:val="FirstParagraph"/>
      </w:pPr>
      <w:r>
        <w:t xml:space="preserve">The retained definition reads the abstract body, which is the same class of</w:t>
      </w:r>
      <w:r>
        <w:t xml:space="preserve"> </w:t>
      </w:r>
      <w:r>
        <w:t xml:space="preserve">instrument that produced the</w:t>
      </w:r>
      <w:r>
        <w:t xml:space="preserve"> </w:t>
      </w:r>
      <w:r>
        <w:rPr>
          <w:rStyle w:val="VerbatimChar"/>
        </w:rPr>
        <w:t xml:space="preserve">is_academic</w:t>
      </w:r>
      <w:r>
        <w:t xml:space="preserve"> </w:t>
      </w:r>
      <w:r>
        <w:t xml:space="preserve">artefact. Two consequences follow</w:t>
      </w:r>
      <w:r>
        <w:t xml:space="preserve"> </w:t>
      </w:r>
      <w:r>
        <w:t xml:space="preserve">and both are limitations of the study rather than defects to be fixed:</w:t>
      </w:r>
    </w:p>
    <w:p>
      <w:pPr>
        <w:pStyle w:val="Compact"/>
        <w:numPr>
          <w:ilvl w:val="0"/>
          <w:numId w:val="1013"/>
        </w:numPr>
      </w:pPr>
      <w:r>
        <w:t xml:space="preserve">It</w:t>
      </w:r>
      <w:r>
        <w:t xml:space="preserve"> </w:t>
      </w:r>
      <w:r>
        <w:rPr>
          <w:b/>
          <w:bCs/>
        </w:rPr>
        <w:t xml:space="preserve">under-counts</w:t>
      </w:r>
      <w:r>
        <w:t xml:space="preserve">. A two-site study that never writes</w:t>
      </w:r>
      <w:r>
        <w:t xml:space="preserve"> </w:t>
      </w:r>
      <w:r>
        <w:t xml:space="preserve">“multicentre”</w:t>
      </w:r>
      <w:r>
        <w:t xml:space="preserve"> </w:t>
      </w:r>
      <w:r>
        <w:t xml:space="preserve">is</w:t>
      </w:r>
      <w:r>
        <w:t xml:space="preserve"> </w:t>
      </w:r>
      <w:r>
        <w:t xml:space="preserve">recorded FALSE. There is no way to know how many, because the design is not</w:t>
      </w:r>
      <w:r>
        <w:t xml:space="preserve"> </w:t>
      </w:r>
      <w:r>
        <w:t xml:space="preserve">stated in a structured field anywhere in the source.</w:t>
      </w:r>
    </w:p>
    <w:p>
      <w:pPr>
        <w:pStyle w:val="Compact"/>
        <w:numPr>
          <w:ilvl w:val="0"/>
          <w:numId w:val="1013"/>
        </w:numPr>
      </w:pPr>
      <w:r>
        <w:t xml:space="preserve">It is</w:t>
      </w:r>
      <w:r>
        <w:t xml:space="preserve"> </w:t>
      </w:r>
      <w:r>
        <w:rPr>
          <w:b/>
          <w:bCs/>
        </w:rPr>
        <w:t xml:space="preserve">unavailable where the text is</w:t>
      </w:r>
      <w:r>
        <w:t xml:space="preserve">. 2017 and 2018 have no recoverable</w:t>
      </w:r>
      <w:r>
        <w:t xml:space="preserve"> </w:t>
      </w:r>
      <w:r>
        <w:t xml:space="preserve">abstract text, so their abstracts cannot express the claim and are FALSE by</w:t>
      </w:r>
      <w:r>
        <w:t xml:space="preserve"> </w:t>
      </w:r>
      <w:r>
        <w:t xml:space="preserve">absence, exactly the pattern A21 removed from</w:t>
      </w:r>
      <w:r>
        <w:t xml:space="preserve"> </w:t>
      </w:r>
      <w:r>
        <w:rPr>
          <w:rStyle w:val="VerbatimChar"/>
        </w:rPr>
        <w:t xml:space="preserve">is_academic</w:t>
      </w:r>
      <w:r>
        <w:t xml:space="preserve">.</w:t>
      </w:r>
    </w:p>
    <w:p>
      <w:pPr>
        <w:pStyle w:val="FirstParagraph"/>
      </w:pPr>
      <w:r>
        <w:t xml:space="preserve">The second is the more serious and is not remedied here. The variable is not</w:t>
      </w:r>
      <w:r>
        <w:t xml:space="preserve"> </w:t>
      </w:r>
      <w:r>
        <w:t xml:space="preserve">significant in either model (HR 1.361, p = 0.265), so no reported conclusion</w:t>
      </w:r>
      <w:r>
        <w:t xml:space="preserve"> </w:t>
      </w:r>
      <w:r>
        <w:t xml:space="preserve">rests on it; if one ever did, this limitation would need addressing first.</w:t>
      </w:r>
    </w:p>
    <w:bookmarkEnd w:id="242"/>
    <w:bookmarkStart w:id="243" w:name="a22.4-what-was-not-adopted"/>
    <w:p>
      <w:pPr>
        <w:pStyle w:val="Heading3"/>
      </w:pPr>
      <w:r>
        <w:t xml:space="preserve">A22.4 What was not adopted</w:t>
      </w:r>
    </w:p>
    <w:p>
      <w:pPr>
        <w:pStyle w:val="FirstParagraph"/>
      </w:pPr>
      <w:r>
        <w:rPr>
          <w:rStyle w:val="VerbatimChar"/>
        </w:rPr>
        <w:t xml:space="preserve">n_affiliations</w:t>
      </w:r>
      <w:r>
        <w:t xml:space="preserve"> </w:t>
      </w:r>
      <w:r>
        <w:t xml:space="preserve">is computed in</w:t>
      </w:r>
      <w:r>
        <w:t xml:space="preserve"> </w:t>
      </w:r>
      <w:r>
        <w:rPr>
          <w:rStyle w:val="VerbatimChar"/>
        </w:rPr>
        <w:t xml:space="preserve">data/processed/abstracts_cleaned.csv</w:t>
      </w:r>
      <w:r>
        <w:t xml:space="preserve"> </w:t>
      </w:r>
      <w:r>
        <w:t xml:space="preserve">and is</w:t>
      </w:r>
      <w:r>
        <w:t xml:space="preserve"> </w:t>
      </w:r>
      <w:r>
        <w:rPr>
          <w:b/>
          <w:bCs/>
        </w:rPr>
        <w:t xml:space="preserve">not</w:t>
      </w:r>
      <w:r>
        <w:t xml:space="preserve"> </w:t>
      </w:r>
      <w:r>
        <w:t xml:space="preserve">carried into the analytical dataset, which remains 93 columns. Under</w:t>
      </w:r>
      <w:r>
        <w:t xml:space="preserve"> </w:t>
      </w:r>
      <w:r>
        <w:t xml:space="preserve">this decision nothing needs it. It is retained at that stage as the evidence</w:t>
      </w:r>
      <w:r>
        <w:t xml:space="preserve"> </w:t>
      </w:r>
      <w:r>
        <w:t xml:space="preserve">behind the table above, and propagating it would be a schema change to serve a</w:t>
      </w:r>
      <w:r>
        <w:t xml:space="preserve"> </w:t>
      </w:r>
      <w:r>
        <w:t xml:space="preserve">definition that was not adopted.</w:t>
      </w:r>
    </w:p>
    <w:bookmarkEnd w:id="243"/>
    <w:bookmarkEnd w:id="244"/>
    <w:bookmarkStart w:id="250" w:name="X483ace9db0f67a34e1c9743f2fb173f9d3bf059"/>
    <w:p>
      <w:pPr>
        <w:pStyle w:val="Heading2"/>
      </w:pPr>
      <w:r>
        <w:t xml:space="preserve">A23. Cohort Truncation: What Can and Cannot Be Established</w:t>
      </w:r>
    </w:p>
    <w:p>
      <w:pPr>
        <w:pStyle w:val="FirstParagraph"/>
      </w:pPr>
      <w:r>
        <w:t xml:space="preserve">A14 recorded that the pipeline holds 1,154 of 7,711 supplement items and that</w:t>
      </w:r>
      <w:r>
        <w:t xml:space="preserve"> </w:t>
      </w:r>
      <w:r>
        <w:t xml:space="preserve">re-ingestion would require redoing the search and the adjudication. This</w:t>
      </w:r>
      <w:r>
        <w:t xml:space="preserve"> </w:t>
      </w:r>
      <w:r>
        <w:t xml:space="preserve">appendix goes further: it establishes what the truncation does to the estimate,</w:t>
      </w:r>
      <w:r>
        <w:t xml:space="preserve"> </w:t>
      </w:r>
      <w:r>
        <w:t xml:space="preserve">and which sources were tried and rejected for closing it.</w:t>
      </w:r>
    </w:p>
    <w:p>
      <w:pPr>
        <w:pStyle w:val="BodyText"/>
      </w:pPr>
      <w:r>
        <w:t xml:space="preserve">Nothing here changes a reported number. The cohort remains 1,106 abstracts.</w:t>
      </w:r>
    </w:p>
    <w:bookmarkStart w:id="245" w:name="X9edc2b8eaa0ebcdd72d4b4bcbb38790dd14e1bb"/>
    <w:p>
      <w:pPr>
        <w:pStyle w:val="Heading3"/>
      </w:pPr>
      <w:r>
        <w:t xml:space="preserve">A23.1 The captured set is not a random sample</w:t>
      </w:r>
    </w:p>
    <w:p>
      <w:pPr>
        <w:pStyle w:val="FirstParagraph"/>
      </w:pPr>
      <w:r>
        <w:rPr>
          <w:rStyle w:val="VerbatimChar"/>
        </w:rPr>
        <w:t xml:space="preserve">R/01b_parse_web.R</w:t>
      </w:r>
      <w:r>
        <w:t xml:space="preserve"> </w:t>
      </w:r>
      <w:r>
        <w:t xml:space="preserve">fetches one issue-listing page per congress. Offset</w:t>
      </w:r>
      <w:r>
        <w:t xml:space="preserve"> </w:t>
      </w:r>
      <w:r>
        <w:t xml:space="preserve">pagination is attempted only when a page returns exactly 100 items, and</w:t>
      </w:r>
      <w:r>
        <w:t xml:space="preserve"> </w:t>
      </w:r>
      <w:r>
        <w:t xml:space="preserve">ScienceDirect returns the same page for every offset, so the loop breaks on the</w:t>
      </w:r>
      <w:r>
        <w:t xml:space="preserve"> </w:t>
      </w:r>
      <w:r>
        <w:t xml:space="preserve">first iteration. Each congress is capped at roughly 100 presentations.</w:t>
      </w:r>
    </w:p>
    <w:p>
      <w:pPr>
        <w:pStyle w:val="BodyText"/>
      </w:pPr>
      <w:r>
        <w:t xml:space="preserve">The consequence is structural rather than statistical. The cohort is the</w:t>
      </w:r>
      <w:r>
        <w:t xml:space="preserve"> </w:t>
      </w:r>
      <w:r>
        <w:rPr>
          <w:b/>
          <w:bCs/>
        </w:rPr>
        <w:t xml:space="preserve">first N pages of each supplement in printed order</w:t>
      </w:r>
      <w:r>
        <w:t xml:space="preserve">, not a sample drawn from</w:t>
      </w:r>
      <w:r>
        <w:t xml:space="preserve"> </w:t>
      </w:r>
      <w:r>
        <w:t xml:space="preserve">it. Captured page ranges end at S26 to S60 against supplements running to S136</w:t>
      </w:r>
      <w:r>
        <w:t xml:space="preserve"> </w:t>
      </w:r>
      <w:r>
        <w:t xml:space="preserve">to S286.</w:t>
      </w:r>
    </w:p>
    <w:bookmarkEnd w:id="245"/>
    <w:bookmarkStart w:id="246" w:name="X6bc036b7a2b98db73ce0ef3852a1625b19e77b9"/>
    <w:p>
      <w:pPr>
        <w:pStyle w:val="Heading3"/>
      </w:pPr>
      <w:r>
        <w:t xml:space="preserve">A23.2 The bias has a measurable direction</w:t>
      </w:r>
    </w:p>
    <w:p>
      <w:pPr>
        <w:pStyle w:val="FirstParagraph"/>
      </w:pPr>
      <w:r>
        <w:rPr>
          <w:rStyle w:val="VerbatimChar"/>
        </w:rPr>
        <w:t xml:space="preserve">scripts/cohort_truncation_bias.R</w:t>
      </w:r>
      <w:r>
        <w:t xml:space="preserve"> </w:t>
      </w:r>
      <w:r>
        <w:t xml:space="preserve">tests whether publication varies with</w:t>
      </w:r>
      <w:r>
        <w:t xml:space="preserve"> </w:t>
      </w:r>
      <w:r>
        <w:t xml:space="preserve">position inside the window that was captured.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position quintile</w:t>
            </w:r>
          </w:p>
        </w:tc>
        <w:tc>
          <w:tcPr/>
          <w:p>
            <w:pPr>
              <w:pStyle w:val="Compact"/>
              <w:jc w:val="right"/>
            </w:pPr>
            <w:r>
              <w:t xml:space="preserve">n</w:t>
            </w:r>
          </w:p>
        </w:tc>
        <w:tc>
          <w:tcPr/>
          <w:p>
            <w:pPr>
              <w:pStyle w:val="Compact"/>
              <w:jc w:val="right"/>
            </w:pPr>
            <w:r>
              <w:t xml:space="preserve">published</w:t>
            </w:r>
          </w:p>
        </w:tc>
        <w:tc>
          <w:tcPr/>
          <w:p>
            <w:pPr>
              <w:pStyle w:val="Compact"/>
              <w:jc w:val="right"/>
            </w:pPr>
            <w:r>
              <w:t xml:space="preserve">rate</w:t>
            </w:r>
          </w:p>
        </w:tc>
        <w:tc>
          <w:tcPr/>
          <w:p>
            <w:pPr>
              <w:pStyle w:val="Compact"/>
              <w:jc w:val="right"/>
            </w:pPr>
            <w:r>
              <w:t xml:space="preserve">% RCT</w:t>
            </w:r>
          </w:p>
        </w:tc>
      </w:tr>
      <w:tr>
        <w:tc>
          <w:tcPr/>
          <w:p>
            <w:pPr>
              <w:pStyle w:val="Compact"/>
              <w:jc w:val="right"/>
            </w:pPr>
            <w:r>
              <w:t xml:space="preserve">1 (earliest pages)</w:t>
            </w:r>
          </w:p>
        </w:tc>
        <w:tc>
          <w:tcPr/>
          <w:p>
            <w:pPr>
              <w:pStyle w:val="Compact"/>
              <w:jc w:val="right"/>
            </w:pPr>
            <w:r>
              <w:t xml:space="preserve">211</w:t>
            </w:r>
          </w:p>
        </w:tc>
        <w:tc>
          <w:tcPr/>
          <w:p>
            <w:pPr>
              <w:pStyle w:val="Compact"/>
              <w:jc w:val="right"/>
            </w:pPr>
            <w:r>
              <w:t xml:space="preserve">40</w:t>
            </w:r>
          </w:p>
        </w:tc>
        <w:tc>
          <w:tcPr/>
          <w:p>
            <w:pPr>
              <w:pStyle w:val="Compact"/>
              <w:jc w:val="right"/>
            </w:pPr>
            <w:r>
              <w:t xml:space="preserve">19.0%</w:t>
            </w:r>
          </w:p>
        </w:tc>
        <w:tc>
          <w:tcPr/>
          <w:p>
            <w:pPr>
              <w:pStyle w:val="Compact"/>
              <w:jc w:val="right"/>
            </w:pPr>
            <w:r>
              <w:t xml:space="preserve">9.5</w:t>
            </w:r>
          </w:p>
        </w:tc>
      </w:tr>
      <w:tr>
        <w:tc>
          <w:tcPr/>
          <w:p>
            <w:pPr>
              <w:pStyle w:val="Compact"/>
              <w:jc w:val="right"/>
            </w:pPr>
            <w:r>
              <w:t xml:space="preserve">2</w:t>
            </w:r>
          </w:p>
        </w:tc>
        <w:tc>
          <w:tcPr/>
          <w:p>
            <w:pPr>
              <w:pStyle w:val="Compact"/>
              <w:jc w:val="right"/>
            </w:pPr>
            <w:r>
              <w:t xml:space="preserve">210</w:t>
            </w:r>
          </w:p>
        </w:tc>
        <w:tc>
          <w:tcPr/>
          <w:p>
            <w:pPr>
              <w:pStyle w:val="Compact"/>
              <w:jc w:val="right"/>
            </w:pPr>
            <w:r>
              <w:t xml:space="preserve">34</w:t>
            </w:r>
          </w:p>
        </w:tc>
        <w:tc>
          <w:tcPr/>
          <w:p>
            <w:pPr>
              <w:pStyle w:val="Compact"/>
              <w:jc w:val="right"/>
            </w:pPr>
            <w:r>
              <w:t xml:space="preserve">16.2%</w:t>
            </w:r>
          </w:p>
        </w:tc>
        <w:tc>
          <w:tcPr/>
          <w:p>
            <w:pPr>
              <w:pStyle w:val="Compact"/>
              <w:jc w:val="right"/>
            </w:pPr>
            <w:r>
              <w:t xml:space="preserve">6.2</w:t>
            </w:r>
          </w:p>
        </w:tc>
      </w:tr>
      <w:tr>
        <w:tc>
          <w:tcPr/>
          <w:p>
            <w:pPr>
              <w:pStyle w:val="Compact"/>
              <w:jc w:val="right"/>
            </w:pPr>
            <w:r>
              <w:t xml:space="preserve">3</w:t>
            </w:r>
          </w:p>
        </w:tc>
        <w:tc>
          <w:tcPr/>
          <w:p>
            <w:pPr>
              <w:pStyle w:val="Compact"/>
              <w:jc w:val="right"/>
            </w:pPr>
            <w:r>
              <w:t xml:space="preserve">210</w:t>
            </w:r>
          </w:p>
        </w:tc>
        <w:tc>
          <w:tcPr/>
          <w:p>
            <w:pPr>
              <w:pStyle w:val="Compact"/>
              <w:jc w:val="right"/>
            </w:pPr>
            <w:r>
              <w:t xml:space="preserve">41</w:t>
            </w:r>
          </w:p>
        </w:tc>
        <w:tc>
          <w:tcPr/>
          <w:p>
            <w:pPr>
              <w:pStyle w:val="Compact"/>
              <w:jc w:val="right"/>
            </w:pPr>
            <w:r>
              <w:t xml:space="preserve">19.5%</w:t>
            </w:r>
          </w:p>
        </w:tc>
        <w:tc>
          <w:tcPr/>
          <w:p>
            <w:pPr>
              <w:pStyle w:val="Compact"/>
              <w:jc w:val="right"/>
            </w:pPr>
            <w:r>
              <w:t xml:space="preserve">9.0</w:t>
            </w:r>
          </w:p>
        </w:tc>
      </w:tr>
      <w:tr>
        <w:tc>
          <w:tcPr/>
          <w:p>
            <w:pPr>
              <w:pStyle w:val="Compact"/>
              <w:jc w:val="right"/>
            </w:pPr>
            <w:r>
              <w:t xml:space="preserve">4</w:t>
            </w:r>
          </w:p>
        </w:tc>
        <w:tc>
          <w:tcPr/>
          <w:p>
            <w:pPr>
              <w:pStyle w:val="Compact"/>
              <w:jc w:val="right"/>
            </w:pPr>
            <w:r>
              <w:t xml:space="preserve">210</w:t>
            </w:r>
          </w:p>
        </w:tc>
        <w:tc>
          <w:tcPr/>
          <w:p>
            <w:pPr>
              <w:pStyle w:val="Compact"/>
              <w:jc w:val="right"/>
            </w:pPr>
            <w:r>
              <w:t xml:space="preserve">23</w:t>
            </w:r>
          </w:p>
        </w:tc>
        <w:tc>
          <w:tcPr/>
          <w:p>
            <w:pPr>
              <w:pStyle w:val="Compact"/>
              <w:jc w:val="right"/>
            </w:pPr>
            <w:r>
              <w:t xml:space="preserve">11.0%</w:t>
            </w:r>
          </w:p>
        </w:tc>
        <w:tc>
          <w:tcPr/>
          <w:p>
            <w:pPr>
              <w:pStyle w:val="Compact"/>
              <w:jc w:val="right"/>
            </w:pPr>
            <w:r>
              <w:t xml:space="preserve">7.6</w:t>
            </w:r>
          </w:p>
        </w:tc>
      </w:tr>
      <w:tr>
        <w:tc>
          <w:tcPr/>
          <w:p>
            <w:pPr>
              <w:pStyle w:val="Compact"/>
              <w:jc w:val="right"/>
            </w:pPr>
            <w:r>
              <w:t xml:space="preserve">5 (latest captured)</w:t>
            </w:r>
          </w:p>
        </w:tc>
        <w:tc>
          <w:tcPr/>
          <w:p>
            <w:pPr>
              <w:pStyle w:val="Compact"/>
              <w:jc w:val="right"/>
            </w:pPr>
            <w:r>
              <w:t xml:space="preserve">210</w:t>
            </w:r>
          </w:p>
        </w:tc>
        <w:tc>
          <w:tcPr/>
          <w:p>
            <w:pPr>
              <w:pStyle w:val="Compact"/>
              <w:jc w:val="right"/>
            </w:pPr>
            <w:r>
              <w:t xml:space="preserve">32</w:t>
            </w:r>
          </w:p>
        </w:tc>
        <w:tc>
          <w:tcPr/>
          <w:p>
            <w:pPr>
              <w:pStyle w:val="Compact"/>
              <w:jc w:val="right"/>
            </w:pPr>
            <w:r>
              <w:t xml:space="preserve">15.2%</w:t>
            </w:r>
          </w:p>
        </w:tc>
        <w:tc>
          <w:tcPr/>
          <w:p>
            <w:pPr>
              <w:pStyle w:val="Compact"/>
              <w:jc w:val="right"/>
            </w:pPr>
            <w:r>
              <w:t xml:space="preserve">13.3</w:t>
            </w:r>
          </w:p>
        </w:tc>
      </w:tr>
    </w:tbl>
    <w:p>
      <w:pPr>
        <w:pStyle w:val="BodyText"/>
      </w:pPr>
      <w:r>
        <w:t xml:space="preserve">Adjusted for congress year, the odds of publication fall across the window:</w:t>
      </w:r>
      <w:r>
        <w:t xml:space="preserve"> </w:t>
      </w:r>
      <w:r>
        <w:t xml:space="preserve">odds ratio</w:t>
      </w:r>
      <w:r>
        <w:t xml:space="preserve"> </w:t>
      </w:r>
      <w:r>
        <w:rPr>
          <w:b/>
          <w:bCs/>
        </w:rPr>
        <w:t xml:space="preserve">0.607</w:t>
      </w:r>
      <w:r>
        <w:t xml:space="preserve">, p = 0.080. That is not significant, and it is not nothing.</w:t>
      </w:r>
      <w:r>
        <w:t xml:space="preserve"> </w:t>
      </w:r>
      <w:r>
        <w:t xml:space="preserve">Read as a direction, later pages publish less, which would make</w:t>
      </w:r>
      <w:r>
        <w:t xml:space="preserve"> </w:t>
      </w:r>
      <w:r>
        <w:rPr>
          <w:b/>
          <w:bCs/>
        </w:rPr>
        <w:t xml:space="preserve">16.2% an</w:t>
      </w:r>
      <w:r>
        <w:rPr>
          <w:b/>
          <w:bCs/>
        </w:rPr>
        <w:t xml:space="preserve"> </w:t>
      </w:r>
      <w:r>
        <w:rPr>
          <w:b/>
          <w:bCs/>
        </w:rPr>
        <w:t xml:space="preserve">over-estimate</w:t>
      </w:r>
      <w:r>
        <w:t xml:space="preserve"> </w:t>
      </w:r>
      <w:r>
        <w:t xml:space="preserve">of the rate across a complete supplement.</w:t>
      </w:r>
    </w:p>
    <w:p>
      <w:pPr>
        <w:pStyle w:val="BodyText"/>
      </w:pPr>
      <w:r>
        <w:t xml:space="preserve">Two cautions on reading it further. The test spans only the first ~15% of each</w:t>
      </w:r>
      <w:r>
        <w:t xml:space="preserve"> </w:t>
      </w:r>
      <w:r>
        <w:t xml:space="preserve">supplement and says nothing about pages beyond it, where the trend could</w:t>
      </w:r>
      <w:r>
        <w:t xml:space="preserve"> </w:t>
      </w:r>
      <w:r>
        <w:t xml:space="preserve">flatten, continue or reverse. And RCTs, the strongest predictor of publication</w:t>
      </w:r>
      <w:r>
        <w:t xml:space="preserve"> </w:t>
      </w:r>
      <w:r>
        <w:t xml:space="preserve">in the model, are</w:t>
      </w:r>
      <w:r>
        <w:t xml:space="preserve"> </w:t>
      </w:r>
      <w:r>
        <w:rPr>
          <w:i/>
          <w:iCs/>
        </w:rPr>
        <w:t xml:space="preserve">more</w:t>
      </w:r>
      <w:r>
        <w:t xml:space="preserve"> </w:t>
      </w:r>
      <w:r>
        <w:t xml:space="preserve">frequent in the last captured quintile (13.3% against</w:t>
      </w:r>
      <w:r>
        <w:t xml:space="preserve"> </w:t>
      </w:r>
      <w:r>
        <w:t xml:space="preserve">9.5% in the first), which cuts the other way. The honest summary is a weak</w:t>
      </w:r>
      <w:r>
        <w:t xml:space="preserve"> </w:t>
      </w:r>
      <w:r>
        <w:t xml:space="preserve">signal toward over-estimation with an unmeasurable magnitude.</w:t>
      </w:r>
    </w:p>
    <w:bookmarkEnd w:id="246"/>
    <w:bookmarkStart w:id="247" w:name="Xb774aff3041e1a75c5e3b24ab0d39401d35c78d"/>
    <w:p>
      <w:pPr>
        <w:pStyle w:val="Heading3"/>
      </w:pPr>
      <w:r>
        <w:t xml:space="preserve">A23.3 Why the truncation cannot currently be closed</w:t>
      </w:r>
    </w:p>
    <w:p>
      <w:pPr>
        <w:pStyle w:val="FirstParagraph"/>
      </w:pPr>
      <w:r>
        <w:t xml:space="preserve">Three routes were tried.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status</w:t>
            </w:r>
          </w:p>
        </w:tc>
      </w:tr>
      <w:tr>
        <w:tc>
          <w:tcPr/>
          <w:p>
            <w:pPr>
              <w:pStyle w:val="Compact"/>
            </w:pPr>
            <w:r>
              <w:t xml:space="preserve">ScienceDirect issue listing</w:t>
            </w:r>
          </w:p>
        </w:tc>
        <w:tc>
          <w:tcPr/>
          <w:p>
            <w:pPr>
              <w:pStyle w:val="Compact"/>
            </w:pPr>
            <w:r>
              <w:rPr>
                <w:b/>
                <w:bCs/>
              </w:rPr>
              <w:t xml:space="preserve">HTTP 403</w:t>
            </w:r>
            <w:r>
              <w:t xml:space="preserve"> </w:t>
            </w:r>
            <w:r>
              <w:t xml:space="preserve">to this machine. The origin of the cohort is no longer reachable.</w:t>
            </w:r>
          </w:p>
        </w:tc>
      </w:tr>
      <w:tr>
        <w:tc>
          <w:tcPr/>
          <w:p>
            <w:pPr>
              <w:pStyle w:val="Compact"/>
            </w:pPr>
            <w:r>
              <w:t xml:space="preserve">Supplement PDFs</w:t>
            </w:r>
          </w:p>
        </w:tc>
        <w:tc>
          <w:tcPr/>
          <w:p>
            <w:pPr>
              <w:pStyle w:val="Compact"/>
            </w:pPr>
            <w:r>
              <w:t xml:space="preserve">Not held.</w:t>
            </w:r>
            <w:r>
              <w:t xml:space="preserve"> </w:t>
            </w:r>
            <w:r>
              <w:rPr>
                <w:rStyle w:val="VerbatimChar"/>
              </w:rPr>
              <w:t xml:space="preserve">R/01_parse_pdf.R</w:t>
            </w:r>
            <w:r>
              <w:t xml:space="preserve"> </w:t>
            </w:r>
            <w:r>
              <w:t xml:space="preserve">expects one file for 2023 only, and</w:t>
            </w:r>
            <w:r>
              <w:t xml:space="preserve"> </w:t>
            </w:r>
            <w:r>
              <w:rPr>
                <w:rStyle w:val="VerbatimChar"/>
              </w:rPr>
              <w:t xml:space="preserve">data/raw/</w:t>
            </w:r>
            <w:r>
              <w:t xml:space="preserve"> </w:t>
            </w:r>
            <w:r>
              <w:t xml:space="preserve">is empty. Obtaining twelve supplements needs institutional access.</w:t>
            </w:r>
          </w:p>
        </w:tc>
      </w:tr>
      <w:tr>
        <w:tc>
          <w:tcPr/>
          <w:p>
            <w:pPr>
              <w:pStyle w:val="Compact"/>
            </w:pPr>
            <w:r>
              <w:t xml:space="preserve">Crossref deposit</w:t>
            </w:r>
          </w:p>
        </w:tc>
        <w:tc>
          <w:tcPr/>
          <w:p>
            <w:pPr>
              <w:pStyle w:val="Compact"/>
            </w:pPr>
            <w:r>
              <w:rPr>
                <w:b/>
                <w:bCs/>
              </w:rPr>
              <w:t xml:space="preserve">Complete and public</w:t>
            </w:r>
            <w:r>
              <w:t xml:space="preserve">, and already cached for all twelve congresses. It carries DOI, page, title and authors, which is enough to drive the matching pipeline. It carries</w:t>
            </w:r>
            <w:r>
              <w:t xml:space="preserve"> </w:t>
            </w:r>
            <w:r>
              <w:rPr>
                <w:b/>
                <w:bCs/>
              </w:rPr>
              <w:t xml:space="preserve">no session type</w:t>
            </w:r>
            <w:r>
              <w:t xml:space="preserve">.</w:t>
            </w:r>
          </w:p>
        </w:tc>
      </w:tr>
    </w:tbl>
    <w:p>
      <w:pPr>
        <w:pStyle w:val="BodyText"/>
      </w:pPr>
      <w:r>
        <w:t xml:space="preserve">The Crossref record was checked field by field. It exposes</w:t>
      </w:r>
      <w:r>
        <w:t xml:space="preserve"> </w:t>
      </w:r>
      <w:r>
        <w:rPr>
          <w:rStyle w:val="VerbatimChar"/>
        </w:rPr>
        <w:t xml:space="preserve">type</w:t>
      </w:r>
      <w:r>
        <w:t xml:space="preserve"> </w:t>
      </w:r>
      <w:r>
        <w:t xml:space="preserve">(</w:t>
      </w:r>
      <w:r>
        <w:rPr>
          <w:rStyle w:val="VerbatimChar"/>
        </w:rPr>
        <w:t xml:space="preserve">journal-article</w:t>
      </w:r>
      <w:r>
        <w:t xml:space="preserve"> </w:t>
      </w:r>
      <w:r>
        <w:t xml:space="preserve">for every item), an empty</w:t>
      </w:r>
      <w:r>
        <w:t xml:space="preserve"> </w:t>
      </w:r>
      <w:r>
        <w:rPr>
          <w:rStyle w:val="VerbatimChar"/>
        </w:rPr>
        <w:t xml:space="preserve">subject</w:t>
      </w:r>
      <w:r>
        <w:t xml:space="preserve">,</w:t>
      </w:r>
      <w:r>
        <w:t xml:space="preserve"> </w:t>
      </w:r>
      <w:r>
        <w:rPr>
          <w:rStyle w:val="VerbatimChar"/>
        </w:rPr>
        <w:t xml:space="preserve">special_numbering</w:t>
      </w:r>
      <w:r>
        <w:t xml:space="preserve">,</w:t>
      </w:r>
      <w:r>
        <w:t xml:space="preserve"> </w:t>
      </w:r>
      <w:r>
        <w:rPr>
          <w:rStyle w:val="VerbatimChar"/>
        </w:rPr>
        <w:t xml:space="preserve">container-title</w:t>
      </w:r>
      <w:r>
        <w:t xml:space="preserve"> </w:t>
      </w:r>
      <w:r>
        <w:t xml:space="preserve">and the author list. Nothing distinguishes an oral</w:t>
      </w:r>
      <w:r>
        <w:t xml:space="preserve"> </w:t>
      </w:r>
      <w:r>
        <w:t xml:space="preserve">presentation from a video or a poster.</w:t>
      </w:r>
    </w:p>
    <w:p>
      <w:pPr>
        <w:pStyle w:val="BodyText"/>
      </w:pPr>
      <w:r>
        <w:t xml:space="preserve">That is the blocking fact. The study population is oral presentations; videos</w:t>
      </w:r>
      <w:r>
        <w:t xml:space="preserve"> </w:t>
      </w:r>
      <w:r>
        <w:t xml:space="preserve">are excluded by design and posters were never in scope. A random sample of</w:t>
      </w:r>
      <w:r>
        <w:t xml:space="preserve"> </w:t>
      </w:r>
      <w:r>
        <w:t xml:space="preserve">uncaptured Crossref items would mix all three, and there is no reachable source</w:t>
      </w:r>
      <w:r>
        <w:t xml:space="preserve"> </w:t>
      </w:r>
      <w:r>
        <w:t xml:space="preserve">that labels them.</w:t>
      </w:r>
    </w:p>
    <w:p>
      <w:pPr>
        <w:pStyle w:val="BodyText"/>
      </w:pPr>
      <w:r>
        <w:t xml:space="preserve">Indirect inference does not rescue it. In the two congresses where the capture</w:t>
      </w:r>
      <w:r>
        <w:t xml:space="preserve"> </w:t>
      </w:r>
      <w:r>
        <w:t xml:space="preserve">window crossed the boundary, orals end at S36 (2022) and S26 (2023), suggesting</w:t>
      </w:r>
      <w:r>
        <w:t xml:space="preserve"> </w:t>
      </w:r>
      <w:r>
        <w:t xml:space="preserve">a short oral block. But the items immediately past the 2015 and 2019 boundaries</w:t>
      </w:r>
      <w:r>
        <w:t xml:space="preserve"> </w:t>
      </w:r>
      <w:r>
        <w:t xml:space="preserve">are titled as randomised trials and comparative studies, which are oral-type</w:t>
      </w:r>
      <w:r>
        <w:t xml:space="preserve"> </w:t>
      </w:r>
      <w:r>
        <w:t xml:space="preserve">research abstracts, so the boundary is not consistently placed. Item density</w:t>
      </w:r>
      <w:r>
        <w:t xml:space="preserve"> </w:t>
      </w:r>
      <w:r>
        <w:t xml:space="preserve">per page does not separate the blocks either.</w:t>
      </w:r>
    </w:p>
    <w:bookmarkEnd w:id="247"/>
    <w:bookmarkStart w:id="248" w:name="X8f84d06327ab0f9f6b7ae823a7fd9ef174cf8b3"/>
    <w:p>
      <w:pPr>
        <w:pStyle w:val="Heading3"/>
      </w:pPr>
      <w:r>
        <w:t xml:space="preserve">A23.4 What would close it, and what it would cost</w:t>
      </w:r>
    </w:p>
    <w:p>
      <w:pPr>
        <w:pStyle w:val="FirstParagraph"/>
      </w:pPr>
      <w:r>
        <w:t xml:space="preserve">A probe study is the tractable design, and it is tractable only if the session</w:t>
      </w:r>
      <w:r>
        <w:t xml:space="preserve"> </w:t>
      </w:r>
      <w:r>
        <w:t xml:space="preserve">type problem is solved first.</w:t>
      </w:r>
    </w:p>
    <w:p>
      <w:pPr>
        <w:pStyle w:val="Compact"/>
        <w:numPr>
          <w:ilvl w:val="0"/>
          <w:numId w:val="1014"/>
        </w:numPr>
      </w:pPr>
      <w:r>
        <w:t xml:space="preserve">Obtain session structure for one or two congresses, from the supplement PDF</w:t>
      </w:r>
      <w:r>
        <w:t xml:space="preserve"> </w:t>
      </w:r>
      <w:r>
        <w:t xml:space="preserve">or an authenticated ScienceDirect session. Without this, nothing else is</w:t>
      </w:r>
      <w:r>
        <w:t xml:space="preserve"> </w:t>
      </w:r>
      <w:r>
        <w:t xml:space="preserve">worth starting.</w:t>
      </w:r>
    </w:p>
    <w:p>
      <w:pPr>
        <w:pStyle w:val="Compact"/>
        <w:numPr>
          <w:ilvl w:val="0"/>
          <w:numId w:val="1014"/>
        </w:numPr>
      </w:pPr>
      <w:r>
        <w:t xml:space="preserve">Draw a random sample of uncaptured</w:t>
      </w:r>
      <w:r>
        <w:t xml:space="preserve"> </w:t>
      </w:r>
      <w:r>
        <w:rPr>
          <w:b/>
          <w:bCs/>
        </w:rPr>
        <w:t xml:space="preserve">oral</w:t>
      </w:r>
      <w:r>
        <w:t xml:space="preserve"> </w:t>
      </w:r>
      <w:r>
        <w:t xml:space="preserve">items, on the order of 150 to</w:t>
      </w:r>
      <w:r>
        <w:t xml:space="preserve"> </w:t>
      </w:r>
      <w:r>
        <w:t xml:space="preserve">200, and pull title and authors from the existing Crossref cache.</w:t>
      </w:r>
    </w:p>
    <w:p>
      <w:pPr>
        <w:pStyle w:val="Compact"/>
        <w:numPr>
          <w:ilvl w:val="0"/>
          <w:numId w:val="1014"/>
        </w:numPr>
      </w:pPr>
      <w:r>
        <w:t xml:space="preserve">Run the existing search and scoring pipeline over the sample, and adjudicate</w:t>
      </w:r>
      <w:r>
        <w:t xml:space="preserve"> </w:t>
      </w:r>
      <w:r>
        <w:t xml:space="preserve">it to the same standard as the main cohort.</w:t>
      </w:r>
    </w:p>
    <w:p>
      <w:pPr>
        <w:pStyle w:val="Compact"/>
        <w:numPr>
          <w:ilvl w:val="0"/>
          <w:numId w:val="1014"/>
        </w:numPr>
      </w:pPr>
      <w:r>
        <w:t xml:space="preserve">Compare the sample’s publication rate against 16.2%. That estimates the bias</w:t>
      </w:r>
      <w:r>
        <w:t xml:space="preserve"> </w:t>
      </w:r>
      <w:r>
        <w:t xml:space="preserve">directly, without re-ingesting several thousand abstracts.</w:t>
      </w:r>
    </w:p>
    <w:p>
      <w:pPr>
        <w:pStyle w:val="FirstParagraph"/>
      </w:pPr>
      <w:r>
        <w:t xml:space="preserve">The cost is dominated by step 3: roughly 150 to 200 human adjudications, the</w:t>
      </w:r>
      <w:r>
        <w:t xml:space="preserve"> </w:t>
      </w:r>
      <w:r>
        <w:t xml:space="preserve">same work that produced the current cohort’s decisions, plus the search</w:t>
      </w:r>
      <w:r>
        <w:t xml:space="preserve"> </w:t>
      </w:r>
      <w:r>
        <w:t xml:space="preserve">runtime. Full re-ingestion of all 7,711 items is not proposed, because the</w:t>
      </w:r>
      <w:r>
        <w:t xml:space="preserve"> </w:t>
      </w:r>
      <w:r>
        <w:t xml:space="preserve">adjudication burden scales with the cohort and the videos and posters in that</w:t>
      </w:r>
      <w:r>
        <w:t xml:space="preserve"> </w:t>
      </w:r>
      <w:r>
        <w:t xml:space="preserve">total are out of scope regardless.</w:t>
      </w:r>
    </w:p>
    <w:bookmarkEnd w:id="248"/>
    <w:bookmarkStart w:id="249" w:name="a23.5-how-this-should-be-reported"/>
    <w:p>
      <w:pPr>
        <w:pStyle w:val="Heading3"/>
      </w:pPr>
      <w:r>
        <w:t xml:space="preserve">A23.5 How this should be reported</w:t>
      </w:r>
    </w:p>
    <w:p>
      <w:pPr>
        <w:pStyle w:val="FirstParagraph"/>
      </w:pPr>
      <w:r>
        <w:t xml:space="preserve">Until a probe study is run, the limitation should be stated as it is measured:</w:t>
      </w:r>
      <w:r>
        <w:t xml:space="preserve"> </w:t>
      </w:r>
      <w:r>
        <w:t xml:space="preserve">the cohort is the first portion of each supplement rather than a sample of it;</w:t>
      </w:r>
      <w:r>
        <w:t xml:space="preserve"> </w:t>
      </w:r>
      <w:r>
        <w:t xml:space="preserve">publication rate declines weakly across the captured window (OR 0.607,</w:t>
      </w:r>
      <w:r>
        <w:t xml:space="preserve"> </w:t>
      </w:r>
      <w:r>
        <w:t xml:space="preserve">p = 0.080); and the reported 16.2% is therefore best read as an estimate for</w:t>
      </w:r>
      <w:r>
        <w:t xml:space="preserve"> </w:t>
      </w:r>
      <w:r>
        <w:t xml:space="preserve">early-programme oral presentations, with a possible downward correction of</w:t>
      </w:r>
      <w:r>
        <w:t xml:space="preserve"> </w:t>
      </w:r>
      <w:r>
        <w:t xml:space="preserve">unknown size if applied to a complete congress.</w:t>
      </w:r>
    </w:p>
    <w:bookmarkEnd w:id="249"/>
    <w:bookmarkEnd w:id="2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2026-09-05T18:58:05Z</dcterms:created>
  <dcterms:modified xsi:type="dcterms:W3CDTF">2026-09-05T18:58:05Z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