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33.3% (2023),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171 of 178), the median time from conference presentation to full publication was 13.7 months (IQR 5.7-22.6).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(p=0.041), attributable to author count; every other covariate satisfied proportional hazards. The author count effect was therefore refitted with a log-time interaction, under which the hazard ratio rose from 1.01 (95% CI 0.84-1.22) at 3 months to 1.53 (95% CI 1.26-1.86) at 24 months, so the single hazard ratio reported for it in the main model is an average over follow-up rather than a constant. Significant predictors of publication velocity were randomized design (HR 2.15, 95% CI 1.43-3.21, p&lt;0.001); academic affiliation (HR 0.64, 95% CI 0.45-0.90, p=0.009); author count (HR 1.27, 95% CI 1.10-1.46, p=0.001). The remaining covariates – US-based affiliation, inferred male first author, multicenter conduct – were not significant. In logistic regression, US-based affiliation was not significantly associated with the odds of publication (OR 1.57, 95% CI 0.93-2.71, p=0.097).</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2026-09-05T11:55:40Z</dcterms:created>
  <dcterms:modified xsi:type="dcterms:W3CDTF">2026-09-05T11:55:40Z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