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05,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58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no PubMed XML cache in this checkout (gitignored); no ScienceDirect HTML cache in this checkout (gitignored)</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no ScienceDirect HTML cache in this checkout (gitignored).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(no PubMed XML cache in this checkout (gitignored)).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2.15</w:t>
            </w:r>
          </w:p>
        </w:tc>
        <w:tc>
          <w:tcPr/>
          <w:p>
            <w:pPr>
              <w:pStyle w:val="Compact"/>
              <w:jc w:val="left"/>
            </w:pPr>
            <w:r>
              <w:t xml:space="preserve">1.43-3.21</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0.64</w:t>
            </w:r>
          </w:p>
        </w:tc>
        <w:tc>
          <w:tcPr/>
          <w:p>
            <w:pPr>
              <w:pStyle w:val="Compact"/>
              <w:jc w:val="left"/>
            </w:pPr>
            <w:r>
              <w:t xml:space="preserve">0.45-0.9</w:t>
            </w:r>
          </w:p>
        </w:tc>
        <w:tc>
          <w:tcPr/>
          <w:p>
            <w:pPr>
              <w:pStyle w:val="Compact"/>
              <w:jc w:val="right"/>
            </w:pPr>
            <w:r>
              <w:t xml:space="preserve">0.009</w:t>
            </w:r>
          </w:p>
        </w:tc>
      </w:tr>
      <w:tr>
        <w:tc>
          <w:tcPr/>
          <w:p>
            <w:pPr>
              <w:pStyle w:val="Compact"/>
              <w:jc w:val="left"/>
            </w:pPr>
            <w:r>
              <w:t xml:space="preserve">is_us_basedTRUE</w:t>
            </w:r>
          </w:p>
        </w:tc>
        <w:tc>
          <w:tcPr/>
          <w:p>
            <w:pPr>
              <w:pStyle w:val="Compact"/>
              <w:jc w:val="right"/>
            </w:pPr>
            <w:r>
              <w:t xml:space="preserve">1.37</w:t>
            </w:r>
          </w:p>
        </w:tc>
        <w:tc>
          <w:tcPr/>
          <w:p>
            <w:pPr>
              <w:pStyle w:val="Compact"/>
              <w:jc w:val="left"/>
            </w:pPr>
            <w:r>
              <w:t xml:space="preserve">0.86-2.19</w:t>
            </w:r>
          </w:p>
        </w:tc>
        <w:tc>
          <w:tcPr/>
          <w:p>
            <w:pPr>
              <w:pStyle w:val="Compact"/>
              <w:jc w:val="right"/>
            </w:pPr>
            <w:r>
              <w:t xml:space="preserve">0.184</w:t>
            </w:r>
          </w:p>
        </w:tc>
      </w:tr>
      <w:tr>
        <w:tc>
          <w:tcPr/>
          <w:p>
            <w:pPr>
              <w:pStyle w:val="Compact"/>
              <w:jc w:val="left"/>
            </w:pPr>
            <w:r>
              <w:t xml:space="preserve">n_authors</w:t>
            </w:r>
          </w:p>
        </w:tc>
        <w:tc>
          <w:tcPr/>
          <w:p>
            <w:pPr>
              <w:pStyle w:val="Compact"/>
              <w:jc w:val="right"/>
            </w:pPr>
            <w:r>
              <w:t xml:space="preserve">1.27</w:t>
            </w:r>
          </w:p>
        </w:tc>
        <w:tc>
          <w:tcPr/>
          <w:p>
            <w:pPr>
              <w:pStyle w:val="Compact"/>
              <w:jc w:val="left"/>
            </w:pPr>
            <w:r>
              <w:t xml:space="preserve">1.1-1.46</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0.78</w:t>
            </w:r>
          </w:p>
        </w:tc>
        <w:tc>
          <w:tcPr/>
          <w:p>
            <w:pPr>
              <w:pStyle w:val="Compact"/>
              <w:jc w:val="left"/>
            </w:pPr>
            <w:r>
              <w:t xml:space="preserve">0.57-1.06</w:t>
            </w:r>
          </w:p>
        </w:tc>
        <w:tc>
          <w:tcPr/>
          <w:p>
            <w:pPr>
              <w:pStyle w:val="Compact"/>
              <w:jc w:val="right"/>
            </w:pPr>
            <w:r>
              <w:t xml:space="preserve">0.110</w:t>
            </w:r>
          </w:p>
        </w:tc>
      </w:tr>
      <w:tr>
        <w:tc>
          <w:tcPr/>
          <w:p>
            <w:pPr>
              <w:pStyle w:val="Compact"/>
              <w:jc w:val="left"/>
            </w:pPr>
            <w:r>
              <w:t xml:space="preserve">is_multicenterTRUE</w:t>
            </w:r>
          </w:p>
        </w:tc>
        <w:tc>
          <w:tcPr/>
          <w:p>
            <w:pPr>
              <w:pStyle w:val="Compact"/>
              <w:jc w:val="right"/>
            </w:pPr>
            <w:r>
              <w:t xml:space="preserve">1.37</w:t>
            </w:r>
          </w:p>
        </w:tc>
        <w:tc>
          <w:tcPr/>
          <w:p>
            <w:pPr>
              <w:pStyle w:val="Compact"/>
              <w:jc w:val="left"/>
            </w:pPr>
            <w:r>
              <w:t xml:space="preserve">0.8-2.35</w:t>
            </w:r>
          </w:p>
        </w:tc>
        <w:tc>
          <w:tcPr/>
          <w:p>
            <w:pPr>
              <w:pStyle w:val="Compact"/>
              <w:jc w:val="right"/>
            </w:pPr>
            <w:r>
              <w:t xml:space="preserve">0.250</w:t>
            </w:r>
          </w:p>
        </w:tc>
      </w:tr>
    </w:tbl>
    <w:p>
      <w:pPr>
        <w:pStyle w:val="BodyText"/>
      </w:pPr>
      <w:r>
        <w:t xml:space="preserve">Proportional hazards assumption: global test p = 0.041.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178 / 1,051 =</w:t>
      </w:r>
      <w:r>
        <w:t xml:space="preserve"> </w:t>
      </w:r>
      <w:r>
        <w:rPr>
          <w:b/>
          <w:bCs/>
        </w:rPr>
        <w:t xml:space="preserve">16.9%</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2.0838</w:t>
            </w:r>
          </w:p>
        </w:tc>
        <w:tc>
          <w:tcPr/>
          <w:p>
            <w:pPr>
              <w:pStyle w:val="Compact"/>
              <w:jc w:val="right"/>
            </w:pPr>
            <w:r>
              <w:t xml:space="preserve">1</w:t>
            </w:r>
          </w:p>
        </w:tc>
        <w:tc>
          <w:tcPr/>
          <w:p>
            <w:pPr>
              <w:pStyle w:val="Compact"/>
              <w:jc w:val="right"/>
            </w:pPr>
            <w:r>
              <w:t xml:space="preserve">0.1489</w:t>
            </w:r>
          </w:p>
        </w:tc>
      </w:tr>
      <w:tr>
        <w:tc>
          <w:tcPr/>
          <w:p>
            <w:pPr>
              <w:pStyle w:val="Compact"/>
              <w:jc w:val="left"/>
            </w:pPr>
            <w:r>
              <w:t xml:space="preserve">is_academic</w:t>
            </w:r>
          </w:p>
        </w:tc>
        <w:tc>
          <w:tcPr/>
          <w:p>
            <w:pPr>
              <w:pStyle w:val="Compact"/>
              <w:jc w:val="right"/>
            </w:pPr>
            <w:r>
              <w:t xml:space="preserve">0.2114</w:t>
            </w:r>
          </w:p>
        </w:tc>
        <w:tc>
          <w:tcPr/>
          <w:p>
            <w:pPr>
              <w:pStyle w:val="Compact"/>
              <w:jc w:val="right"/>
            </w:pPr>
            <w:r>
              <w:t xml:space="preserve">1</w:t>
            </w:r>
          </w:p>
        </w:tc>
        <w:tc>
          <w:tcPr/>
          <w:p>
            <w:pPr>
              <w:pStyle w:val="Compact"/>
              <w:jc w:val="right"/>
            </w:pPr>
            <w:r>
              <w:t xml:space="preserve">0.6456</w:t>
            </w:r>
          </w:p>
        </w:tc>
      </w:tr>
      <w:tr>
        <w:tc>
          <w:tcPr/>
          <w:p>
            <w:pPr>
              <w:pStyle w:val="Compact"/>
              <w:jc w:val="left"/>
            </w:pPr>
            <w:r>
              <w:t xml:space="preserve">is_us_based</w:t>
            </w:r>
          </w:p>
        </w:tc>
        <w:tc>
          <w:tcPr/>
          <w:p>
            <w:pPr>
              <w:pStyle w:val="Compact"/>
              <w:jc w:val="right"/>
            </w:pPr>
            <w:r>
              <w:t xml:space="preserve">0.8282</w:t>
            </w:r>
          </w:p>
        </w:tc>
        <w:tc>
          <w:tcPr/>
          <w:p>
            <w:pPr>
              <w:pStyle w:val="Compact"/>
              <w:jc w:val="right"/>
            </w:pPr>
            <w:r>
              <w:t xml:space="preserve">1</w:t>
            </w:r>
          </w:p>
        </w:tc>
        <w:tc>
          <w:tcPr/>
          <w:p>
            <w:pPr>
              <w:pStyle w:val="Compact"/>
              <w:jc w:val="right"/>
            </w:pPr>
            <w:r>
              <w:t xml:space="preserve">0.3628</w:t>
            </w:r>
          </w:p>
        </w:tc>
      </w:tr>
      <w:tr>
        <w:tc>
          <w:tcPr/>
          <w:p>
            <w:pPr>
              <w:pStyle w:val="Compact"/>
              <w:jc w:val="left"/>
            </w:pPr>
            <w:r>
              <w:t xml:space="preserve">n_authors</w:t>
            </w:r>
          </w:p>
        </w:tc>
        <w:tc>
          <w:tcPr/>
          <w:p>
            <w:pPr>
              <w:pStyle w:val="Compact"/>
              <w:jc w:val="right"/>
            </w:pPr>
            <w:r>
              <w:t xml:space="preserve">9.6805</w:t>
            </w:r>
          </w:p>
        </w:tc>
        <w:tc>
          <w:tcPr/>
          <w:p>
            <w:pPr>
              <w:pStyle w:val="Compact"/>
              <w:jc w:val="right"/>
            </w:pPr>
            <w:r>
              <w:t xml:space="preserve">1</w:t>
            </w:r>
          </w:p>
        </w:tc>
        <w:tc>
          <w:tcPr/>
          <w:p>
            <w:pPr>
              <w:pStyle w:val="Compact"/>
              <w:jc w:val="right"/>
            </w:pPr>
            <w:r>
              <w:t xml:space="preserve">0.0019</w:t>
            </w:r>
          </w:p>
        </w:tc>
      </w:tr>
      <w:tr>
        <w:tc>
          <w:tcPr/>
          <w:p>
            <w:pPr>
              <w:pStyle w:val="Compact"/>
              <w:jc w:val="left"/>
            </w:pPr>
            <w:r>
              <w:t xml:space="preserve">gender_unified</w:t>
            </w:r>
          </w:p>
        </w:tc>
        <w:tc>
          <w:tcPr/>
          <w:p>
            <w:pPr>
              <w:pStyle w:val="Compact"/>
              <w:jc w:val="right"/>
            </w:pPr>
            <w:r>
              <w:t xml:space="preserve">0.0193</w:t>
            </w:r>
          </w:p>
        </w:tc>
        <w:tc>
          <w:tcPr/>
          <w:p>
            <w:pPr>
              <w:pStyle w:val="Compact"/>
              <w:jc w:val="right"/>
            </w:pPr>
            <w:r>
              <w:t xml:space="preserve">1</w:t>
            </w:r>
          </w:p>
        </w:tc>
        <w:tc>
          <w:tcPr/>
          <w:p>
            <w:pPr>
              <w:pStyle w:val="Compact"/>
              <w:jc w:val="right"/>
            </w:pPr>
            <w:r>
              <w:t xml:space="preserve">0.8894</w:t>
            </w:r>
          </w:p>
        </w:tc>
      </w:tr>
      <w:tr>
        <w:tc>
          <w:tcPr/>
          <w:p>
            <w:pPr>
              <w:pStyle w:val="Compact"/>
              <w:jc w:val="left"/>
            </w:pPr>
            <w:r>
              <w:t xml:space="preserve">is_multicenter</w:t>
            </w:r>
          </w:p>
        </w:tc>
        <w:tc>
          <w:tcPr/>
          <w:p>
            <w:pPr>
              <w:pStyle w:val="Compact"/>
              <w:jc w:val="right"/>
            </w:pPr>
            <w:r>
              <w:t xml:space="preserve">0.2563</w:t>
            </w:r>
          </w:p>
        </w:tc>
        <w:tc>
          <w:tcPr/>
          <w:p>
            <w:pPr>
              <w:pStyle w:val="Compact"/>
              <w:jc w:val="right"/>
            </w:pPr>
            <w:r>
              <w:t xml:space="preserve">1</w:t>
            </w:r>
          </w:p>
        </w:tc>
        <w:tc>
          <w:tcPr/>
          <w:p>
            <w:pPr>
              <w:pStyle w:val="Compact"/>
              <w:jc w:val="right"/>
            </w:pPr>
            <w:r>
              <w:t xml:space="preserve">0.6127</w:t>
            </w:r>
          </w:p>
        </w:tc>
      </w:tr>
      <w:tr>
        <w:tc>
          <w:tcPr/>
          <w:p>
            <w:pPr>
              <w:pStyle w:val="Compact"/>
              <w:jc w:val="left"/>
            </w:pPr>
            <w:r>
              <w:t xml:space="preserve">GLOBAL</w:t>
            </w:r>
          </w:p>
        </w:tc>
        <w:tc>
          <w:tcPr/>
          <w:p>
            <w:pPr>
              <w:pStyle w:val="Compact"/>
              <w:jc w:val="right"/>
            </w:pPr>
            <w:r>
              <w:t xml:space="preserve">13.1289</w:t>
            </w:r>
          </w:p>
        </w:tc>
        <w:tc>
          <w:tcPr/>
          <w:p>
            <w:pPr>
              <w:pStyle w:val="Compact"/>
              <w:jc w:val="right"/>
            </w:pPr>
            <w:r>
              <w:t xml:space="preserve">6</w:t>
            </w:r>
          </w:p>
        </w:tc>
        <w:tc>
          <w:tcPr/>
          <w:p>
            <w:pPr>
              <w:pStyle w:val="Compact"/>
              <w:jc w:val="right"/>
            </w:pPr>
            <w:r>
              <w:t xml:space="preserve">0.0410</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1.010</w:t>
            </w:r>
          </w:p>
        </w:tc>
        <w:tc>
          <w:tcPr/>
          <w:p>
            <w:pPr>
              <w:pStyle w:val="Compact"/>
              <w:jc w:val="right"/>
            </w:pPr>
            <w:r>
              <w:t xml:space="preserve">0.839</w:t>
            </w:r>
          </w:p>
        </w:tc>
        <w:tc>
          <w:tcPr/>
          <w:p>
            <w:pPr>
              <w:pStyle w:val="Compact"/>
              <w:jc w:val="right"/>
            </w:pPr>
            <w:r>
              <w:t xml:space="preserve">1.216</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1.160</w:t>
            </w:r>
          </w:p>
        </w:tc>
        <w:tc>
          <w:tcPr/>
          <w:p>
            <w:pPr>
              <w:pStyle w:val="Compact"/>
              <w:jc w:val="right"/>
            </w:pPr>
            <w:r>
              <w:t xml:space="preserve">1.003</w:t>
            </w:r>
          </w:p>
        </w:tc>
        <w:tc>
          <w:tcPr/>
          <w:p>
            <w:pPr>
              <w:pStyle w:val="Compact"/>
              <w:jc w:val="right"/>
            </w:pPr>
            <w:r>
              <w:t xml:space="preserve">1.342</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1.331</w:t>
            </w:r>
          </w:p>
        </w:tc>
        <w:tc>
          <w:tcPr/>
          <w:p>
            <w:pPr>
              <w:pStyle w:val="Compact"/>
              <w:jc w:val="right"/>
            </w:pPr>
            <w:r>
              <w:t xml:space="preserve">1.146</w:t>
            </w:r>
          </w:p>
        </w:tc>
        <w:tc>
          <w:tcPr/>
          <w:p>
            <w:pPr>
              <w:pStyle w:val="Compact"/>
              <w:jc w:val="right"/>
            </w:pPr>
            <w:r>
              <w:t xml:space="preserve">1.546</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1.528</w:t>
            </w:r>
          </w:p>
        </w:tc>
        <w:tc>
          <w:tcPr/>
          <w:p>
            <w:pPr>
              <w:pStyle w:val="Compact"/>
              <w:jc w:val="right"/>
            </w:pPr>
            <w:r>
              <w:t xml:space="preserve">1.258</w:t>
            </w:r>
          </w:p>
        </w:tc>
        <w:tc>
          <w:tcPr/>
          <w:p>
            <w:pPr>
              <w:pStyle w:val="Compact"/>
              <w:jc w:val="right"/>
            </w:pPr>
            <w:r>
              <w:t xml:space="preserve">1.857</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1.657</w:t>
            </w:r>
          </w:p>
        </w:tc>
        <w:tc>
          <w:tcPr/>
          <w:p>
            <w:pPr>
              <w:pStyle w:val="Compact"/>
              <w:jc w:val="right"/>
            </w:pPr>
            <w:r>
              <w:t xml:space="preserve">1.314</w:t>
            </w:r>
          </w:p>
        </w:tc>
        <w:tc>
          <w:tcPr/>
          <w:p>
            <w:pPr>
              <w:pStyle w:val="Compact"/>
              <w:jc w:val="right"/>
            </w:pPr>
            <w:r>
              <w:t xml:space="preserve">2.088</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1.754</w:t>
            </w:r>
          </w:p>
        </w:tc>
        <w:tc>
          <w:tcPr/>
          <w:p>
            <w:pPr>
              <w:pStyle w:val="Compact"/>
              <w:jc w:val="right"/>
            </w:pPr>
            <w:r>
              <w:t xml:space="preserve">1.352</w:t>
            </w:r>
          </w:p>
        </w:tc>
        <w:tc>
          <w:tcPr/>
          <w:p>
            <w:pPr>
              <w:pStyle w:val="Compact"/>
              <w:jc w:val="right"/>
            </w:pPr>
            <w:r>
              <w:t xml:space="preserve">2.276</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8d8d4764b0e45bed0b010e5adf999c2e3c3a95dd.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2026-09-05T11:55:50Z</dcterms:created>
  <dcterms:modified xsi:type="dcterms:W3CDTF">2026-09-05T11:55:50Z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