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07,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64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no PubMed XML cache in this checkout (gitignored); no ScienceDirect HTML cache in this checkout (gitignored)</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no ScienceDirect HTML cache in this checkout (gitignored).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(no PubMed XML cache in this checkout (gitignored)).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170</w:t>
            </w:r>
          </w:p>
        </w:tc>
        <w:tc>
          <w:tcPr/>
          <w:p>
            <w:pPr>
              <w:pStyle w:val="Compact"/>
              <w:jc w:val="right"/>
            </w:pPr>
            <w:r>
              <w:t xml:space="preserve">16.2</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71</w:t>
            </w:r>
          </w:p>
        </w:tc>
        <w:tc>
          <w:tcPr/>
          <w:p>
            <w:pPr>
              <w:pStyle w:val="Compact"/>
              <w:jc w:val="right"/>
            </w:pPr>
            <w:r>
              <w:t xml:space="preserve">6.8</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132</w:t>
            </w:r>
          </w:p>
        </w:tc>
        <w:tc>
          <w:tcPr/>
          <w:p>
            <w:pPr>
              <w:pStyle w:val="Compact"/>
              <w:jc w:val="right"/>
            </w:pPr>
            <w:r>
              <w:t xml:space="preserve">12.6</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136</w:t>
            </w:r>
          </w:p>
        </w:tc>
        <w:tc>
          <w:tcPr/>
          <w:p>
            <w:pPr>
              <w:pStyle w:val="Compact"/>
              <w:jc w:val="right"/>
            </w:pPr>
            <w:r>
              <w:t xml:space="preserve">13.7</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118</w:t>
            </w:r>
          </w:p>
        </w:tc>
        <w:tc>
          <w:tcPr/>
          <w:p>
            <w:pPr>
              <w:pStyle w:val="Compact"/>
              <w:jc w:val="right"/>
            </w:pPr>
            <w:r>
              <w:t xml:space="preserve">13.1</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2.00</w:t>
            </w:r>
          </w:p>
        </w:tc>
        <w:tc>
          <w:tcPr/>
          <w:p>
            <w:pPr>
              <w:pStyle w:val="Compact"/>
              <w:jc w:val="left"/>
            </w:pPr>
            <w:r>
              <w:t xml:space="preserve">1.34-2.98</w:t>
            </w:r>
          </w:p>
        </w:tc>
        <w:tc>
          <w:tcPr/>
          <w:p>
            <w:pPr>
              <w:pStyle w:val="Compact"/>
              <w:jc w:val="right"/>
            </w:pPr>
            <w:r>
              <w:t xml:space="preserve">0.001</w:t>
            </w:r>
          </w:p>
        </w:tc>
      </w:tr>
      <w:tr>
        <w:tc>
          <w:tcPr/>
          <w:p>
            <w:pPr>
              <w:pStyle w:val="Compact"/>
              <w:jc w:val="left"/>
            </w:pPr>
            <w:r>
              <w:t xml:space="preserve">is_academicTRUE</w:t>
            </w:r>
          </w:p>
        </w:tc>
        <w:tc>
          <w:tcPr/>
          <w:p>
            <w:pPr>
              <w:pStyle w:val="Compact"/>
              <w:jc w:val="right"/>
            </w:pPr>
            <w:r>
              <w:t xml:space="preserve">1.10</w:t>
            </w:r>
          </w:p>
        </w:tc>
        <w:tc>
          <w:tcPr/>
          <w:p>
            <w:pPr>
              <w:pStyle w:val="Compact"/>
              <w:jc w:val="left"/>
            </w:pPr>
            <w:r>
              <w:t xml:space="preserve">0.78-1.53</w:t>
            </w:r>
          </w:p>
        </w:tc>
        <w:tc>
          <w:tcPr/>
          <w:p>
            <w:pPr>
              <w:pStyle w:val="Compact"/>
              <w:jc w:val="right"/>
            </w:pPr>
            <w:r>
              <w:t xml:space="preserve">0.587</w:t>
            </w:r>
          </w:p>
        </w:tc>
      </w:tr>
      <w:tr>
        <w:tc>
          <w:tcPr/>
          <w:p>
            <w:pPr>
              <w:pStyle w:val="Compact"/>
              <w:jc w:val="left"/>
            </w:pPr>
            <w:r>
              <w:t xml:space="preserve">is_us_basedTRUE</w:t>
            </w:r>
          </w:p>
        </w:tc>
        <w:tc>
          <w:tcPr/>
          <w:p>
            <w:pPr>
              <w:pStyle w:val="Compact"/>
              <w:jc w:val="right"/>
            </w:pPr>
            <w:r>
              <w:t xml:space="preserve">0.79</w:t>
            </w:r>
          </w:p>
        </w:tc>
        <w:tc>
          <w:tcPr/>
          <w:p>
            <w:pPr>
              <w:pStyle w:val="Compact"/>
              <w:jc w:val="left"/>
            </w:pPr>
            <w:r>
              <w:t xml:space="preserve">0.57-1.08</w:t>
            </w:r>
          </w:p>
        </w:tc>
        <w:tc>
          <w:tcPr/>
          <w:p>
            <w:pPr>
              <w:pStyle w:val="Compact"/>
              <w:jc w:val="right"/>
            </w:pPr>
            <w:r>
              <w:t xml:space="preserve">0.136</w:t>
            </w:r>
          </w:p>
        </w:tc>
      </w:tr>
      <w:tr>
        <w:tc>
          <w:tcPr/>
          <w:p>
            <w:pPr>
              <w:pStyle w:val="Compact"/>
              <w:jc w:val="left"/>
            </w:pPr>
            <w:r>
              <w:t xml:space="preserve">n_authors</w:t>
            </w:r>
          </w:p>
        </w:tc>
        <w:tc>
          <w:tcPr/>
          <w:p>
            <w:pPr>
              <w:pStyle w:val="Compact"/>
              <w:jc w:val="right"/>
            </w:pPr>
            <w:r>
              <w:t xml:space="preserve">1.22</w:t>
            </w:r>
          </w:p>
        </w:tc>
        <w:tc>
          <w:tcPr/>
          <w:p>
            <w:pPr>
              <w:pStyle w:val="Compact"/>
              <w:jc w:val="left"/>
            </w:pPr>
            <w:r>
              <w:t xml:space="preserve">1.06-1.4</w:t>
            </w:r>
          </w:p>
        </w:tc>
        <w:tc>
          <w:tcPr/>
          <w:p>
            <w:pPr>
              <w:pStyle w:val="Compact"/>
              <w:jc w:val="right"/>
            </w:pPr>
            <w:r>
              <w:t xml:space="preserve">0.006</w:t>
            </w:r>
          </w:p>
        </w:tc>
      </w:tr>
      <w:tr>
        <w:tc>
          <w:tcPr/>
          <w:p>
            <w:pPr>
              <w:pStyle w:val="Compact"/>
              <w:jc w:val="left"/>
            </w:pPr>
            <w:r>
              <w:t xml:space="preserve">gender_unifiedmale</w:t>
            </w:r>
          </w:p>
        </w:tc>
        <w:tc>
          <w:tcPr/>
          <w:p>
            <w:pPr>
              <w:pStyle w:val="Compact"/>
              <w:jc w:val="right"/>
            </w:pPr>
            <w:r>
              <w:t xml:space="preserve">0.75</w:t>
            </w:r>
          </w:p>
        </w:tc>
        <w:tc>
          <w:tcPr/>
          <w:p>
            <w:pPr>
              <w:pStyle w:val="Compact"/>
              <w:jc w:val="left"/>
            </w:pPr>
            <w:r>
              <w:t xml:space="preserve">0.55-1.02</w:t>
            </w:r>
          </w:p>
        </w:tc>
        <w:tc>
          <w:tcPr/>
          <w:p>
            <w:pPr>
              <w:pStyle w:val="Compact"/>
              <w:jc w:val="right"/>
            </w:pPr>
            <w:r>
              <w:t xml:space="preserve">0.066</w:t>
            </w:r>
          </w:p>
        </w:tc>
      </w:tr>
      <w:tr>
        <w:tc>
          <w:tcPr/>
          <w:p>
            <w:pPr>
              <w:pStyle w:val="Compact"/>
              <w:jc w:val="left"/>
            </w:pPr>
            <w:r>
              <w:t xml:space="preserve">is_multicenterTRUE</w:t>
            </w:r>
          </w:p>
        </w:tc>
        <w:tc>
          <w:tcPr/>
          <w:p>
            <w:pPr>
              <w:pStyle w:val="Compact"/>
              <w:jc w:val="right"/>
            </w:pPr>
            <w:r>
              <w:t xml:space="preserve">1.36</w:t>
            </w:r>
          </w:p>
        </w:tc>
        <w:tc>
          <w:tcPr/>
          <w:p>
            <w:pPr>
              <w:pStyle w:val="Compact"/>
              <w:jc w:val="left"/>
            </w:pPr>
            <w:r>
              <w:t xml:space="preserve">0.79-2.34</w:t>
            </w:r>
          </w:p>
        </w:tc>
        <w:tc>
          <w:tcPr/>
          <w:p>
            <w:pPr>
              <w:pStyle w:val="Compact"/>
              <w:jc w:val="right"/>
            </w:pPr>
            <w:r>
              <w:t xml:space="preserve">0.265</w:t>
            </w:r>
          </w:p>
        </w:tc>
      </w:tr>
    </w:tbl>
    <w:p>
      <w:pPr>
        <w:pStyle w:val="BodyText"/>
      </w:pPr>
      <w:r>
        <w:t xml:space="preserve">Proportional hazards assumption: global test p = 0.01.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170 / 1,051 =</w:t>
      </w:r>
      <w:r>
        <w:t xml:space="preserve"> </w:t>
      </w:r>
      <w:r>
        <w:rPr>
          <w:b/>
          <w:bCs/>
        </w:rPr>
        <w:t xml:space="preserve">16.2%</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16.2, but the rate is computed on 1,051. A reader dividing the published count by the stated total obtains 15.4%, not 16.2%.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16.2%</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15.4%</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170 / 1,051 =</w:t>
      </w:r>
      <w:r>
        <w:t xml:space="preserve"> </w:t>
      </w:r>
      <w:r>
        <w:rPr>
          <w:b/>
          <w:bCs/>
        </w:rPr>
        <w:t xml:space="preserve">16.2%</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2.1249</w:t>
            </w:r>
          </w:p>
        </w:tc>
        <w:tc>
          <w:tcPr/>
          <w:p>
            <w:pPr>
              <w:pStyle w:val="Compact"/>
              <w:jc w:val="right"/>
            </w:pPr>
            <w:r>
              <w:t xml:space="preserve">1</w:t>
            </w:r>
          </w:p>
        </w:tc>
        <w:tc>
          <w:tcPr/>
          <w:p>
            <w:pPr>
              <w:pStyle w:val="Compact"/>
              <w:jc w:val="right"/>
            </w:pPr>
            <w:r>
              <w:t xml:space="preserve">0.1449</w:t>
            </w:r>
          </w:p>
        </w:tc>
      </w:tr>
      <w:tr>
        <w:tc>
          <w:tcPr/>
          <w:p>
            <w:pPr>
              <w:pStyle w:val="Compact"/>
              <w:jc w:val="left"/>
            </w:pPr>
            <w:r>
              <w:t xml:space="preserve">is_academic</w:t>
            </w:r>
          </w:p>
        </w:tc>
        <w:tc>
          <w:tcPr/>
          <w:p>
            <w:pPr>
              <w:pStyle w:val="Compact"/>
              <w:jc w:val="right"/>
            </w:pPr>
            <w:r>
              <w:t xml:space="preserve">3.3829</w:t>
            </w:r>
          </w:p>
        </w:tc>
        <w:tc>
          <w:tcPr/>
          <w:p>
            <w:pPr>
              <w:pStyle w:val="Compact"/>
              <w:jc w:val="right"/>
            </w:pPr>
            <w:r>
              <w:t xml:space="preserve">1</w:t>
            </w:r>
          </w:p>
        </w:tc>
        <w:tc>
          <w:tcPr/>
          <w:p>
            <w:pPr>
              <w:pStyle w:val="Compact"/>
              <w:jc w:val="right"/>
            </w:pPr>
            <w:r>
              <w:t xml:space="preserve">0.0659</w:t>
            </w:r>
          </w:p>
        </w:tc>
      </w:tr>
      <w:tr>
        <w:tc>
          <w:tcPr/>
          <w:p>
            <w:pPr>
              <w:pStyle w:val="Compact"/>
              <w:jc w:val="left"/>
            </w:pPr>
            <w:r>
              <w:t xml:space="preserve">is_us_based</w:t>
            </w:r>
          </w:p>
        </w:tc>
        <w:tc>
          <w:tcPr/>
          <w:p>
            <w:pPr>
              <w:pStyle w:val="Compact"/>
              <w:jc w:val="right"/>
            </w:pPr>
            <w:r>
              <w:t xml:space="preserve">7.8052</w:t>
            </w:r>
          </w:p>
        </w:tc>
        <w:tc>
          <w:tcPr/>
          <w:p>
            <w:pPr>
              <w:pStyle w:val="Compact"/>
              <w:jc w:val="right"/>
            </w:pPr>
            <w:r>
              <w:t xml:space="preserve">1</w:t>
            </w:r>
          </w:p>
        </w:tc>
        <w:tc>
          <w:tcPr/>
          <w:p>
            <w:pPr>
              <w:pStyle w:val="Compact"/>
              <w:jc w:val="right"/>
            </w:pPr>
            <w:r>
              <w:t xml:space="preserve">0.0052</w:t>
            </w:r>
          </w:p>
        </w:tc>
      </w:tr>
      <w:tr>
        <w:tc>
          <w:tcPr/>
          <w:p>
            <w:pPr>
              <w:pStyle w:val="Compact"/>
              <w:jc w:val="left"/>
            </w:pPr>
            <w:r>
              <w:t xml:space="preserve">n_authors</w:t>
            </w:r>
          </w:p>
        </w:tc>
        <w:tc>
          <w:tcPr/>
          <w:p>
            <w:pPr>
              <w:pStyle w:val="Compact"/>
              <w:jc w:val="right"/>
            </w:pPr>
            <w:r>
              <w:t xml:space="preserve">8.8748</w:t>
            </w:r>
          </w:p>
        </w:tc>
        <w:tc>
          <w:tcPr/>
          <w:p>
            <w:pPr>
              <w:pStyle w:val="Compact"/>
              <w:jc w:val="right"/>
            </w:pPr>
            <w:r>
              <w:t xml:space="preserve">1</w:t>
            </w:r>
          </w:p>
        </w:tc>
        <w:tc>
          <w:tcPr/>
          <w:p>
            <w:pPr>
              <w:pStyle w:val="Compact"/>
              <w:jc w:val="right"/>
            </w:pPr>
            <w:r>
              <w:t xml:space="preserve">0.0029</w:t>
            </w:r>
          </w:p>
        </w:tc>
      </w:tr>
      <w:tr>
        <w:tc>
          <w:tcPr/>
          <w:p>
            <w:pPr>
              <w:pStyle w:val="Compact"/>
              <w:jc w:val="left"/>
            </w:pPr>
            <w:r>
              <w:t xml:space="preserve">gender_unified</w:t>
            </w:r>
          </w:p>
        </w:tc>
        <w:tc>
          <w:tcPr/>
          <w:p>
            <w:pPr>
              <w:pStyle w:val="Compact"/>
              <w:jc w:val="right"/>
            </w:pPr>
            <w:r>
              <w:t xml:space="preserve">0.0008</w:t>
            </w:r>
          </w:p>
        </w:tc>
        <w:tc>
          <w:tcPr/>
          <w:p>
            <w:pPr>
              <w:pStyle w:val="Compact"/>
              <w:jc w:val="right"/>
            </w:pPr>
            <w:r>
              <w:t xml:space="preserve">1</w:t>
            </w:r>
          </w:p>
        </w:tc>
        <w:tc>
          <w:tcPr/>
          <w:p>
            <w:pPr>
              <w:pStyle w:val="Compact"/>
              <w:jc w:val="right"/>
            </w:pPr>
            <w:r>
              <w:t xml:space="preserve">0.9768</w:t>
            </w:r>
          </w:p>
        </w:tc>
      </w:tr>
      <w:tr>
        <w:tc>
          <w:tcPr/>
          <w:p>
            <w:pPr>
              <w:pStyle w:val="Compact"/>
              <w:jc w:val="left"/>
            </w:pPr>
            <w:r>
              <w:t xml:space="preserve">is_multicenter</w:t>
            </w:r>
          </w:p>
        </w:tc>
        <w:tc>
          <w:tcPr/>
          <w:p>
            <w:pPr>
              <w:pStyle w:val="Compact"/>
              <w:jc w:val="right"/>
            </w:pPr>
            <w:r>
              <w:t xml:space="preserve">0.3053</w:t>
            </w:r>
          </w:p>
        </w:tc>
        <w:tc>
          <w:tcPr/>
          <w:p>
            <w:pPr>
              <w:pStyle w:val="Compact"/>
              <w:jc w:val="right"/>
            </w:pPr>
            <w:r>
              <w:t xml:space="preserve">1</w:t>
            </w:r>
          </w:p>
        </w:tc>
        <w:tc>
          <w:tcPr/>
          <w:p>
            <w:pPr>
              <w:pStyle w:val="Compact"/>
              <w:jc w:val="right"/>
            </w:pPr>
            <w:r>
              <w:t xml:space="preserve">0.5806</w:t>
            </w:r>
          </w:p>
        </w:tc>
      </w:tr>
      <w:tr>
        <w:tc>
          <w:tcPr/>
          <w:p>
            <w:pPr>
              <w:pStyle w:val="Compact"/>
              <w:jc w:val="left"/>
            </w:pPr>
            <w:r>
              <w:t xml:space="preserve">GLOBAL</w:t>
            </w:r>
          </w:p>
        </w:tc>
        <w:tc>
          <w:tcPr/>
          <w:p>
            <w:pPr>
              <w:pStyle w:val="Compact"/>
              <w:jc w:val="right"/>
            </w:pPr>
            <w:r>
              <w:t xml:space="preserve">16.7906</w:t>
            </w:r>
          </w:p>
        </w:tc>
        <w:tc>
          <w:tcPr/>
          <w:p>
            <w:pPr>
              <w:pStyle w:val="Compact"/>
              <w:jc w:val="right"/>
            </w:pPr>
            <w:r>
              <w:t xml:space="preserve">6</w:t>
            </w:r>
          </w:p>
        </w:tc>
        <w:tc>
          <w:tcPr/>
          <w:p>
            <w:pPr>
              <w:pStyle w:val="Compact"/>
              <w:jc w:val="right"/>
            </w:pPr>
            <w:r>
              <w:t xml:space="preserve">0.0101</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0.982</w:t>
            </w:r>
          </w:p>
        </w:tc>
        <w:tc>
          <w:tcPr/>
          <w:p>
            <w:pPr>
              <w:pStyle w:val="Compact"/>
              <w:jc w:val="right"/>
            </w:pPr>
            <w:r>
              <w:t xml:space="preserve">0.816</w:t>
            </w:r>
          </w:p>
        </w:tc>
        <w:tc>
          <w:tcPr/>
          <w:p>
            <w:pPr>
              <w:pStyle w:val="Compact"/>
              <w:jc w:val="right"/>
            </w:pPr>
            <w:r>
              <w:t xml:space="preserve">1.183</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1.121</w:t>
            </w:r>
          </w:p>
        </w:tc>
        <w:tc>
          <w:tcPr/>
          <w:p>
            <w:pPr>
              <w:pStyle w:val="Compact"/>
              <w:jc w:val="right"/>
            </w:pPr>
            <w:r>
              <w:t xml:space="preserve">0.968</w:t>
            </w:r>
          </w:p>
        </w:tc>
        <w:tc>
          <w:tcPr/>
          <w:p>
            <w:pPr>
              <w:pStyle w:val="Compact"/>
              <w:jc w:val="right"/>
            </w:pPr>
            <w:r>
              <w:t xml:space="preserve">1.298</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1.279</w:t>
            </w:r>
          </w:p>
        </w:tc>
        <w:tc>
          <w:tcPr/>
          <w:p>
            <w:pPr>
              <w:pStyle w:val="Compact"/>
              <w:jc w:val="right"/>
            </w:pPr>
            <w:r>
              <w:t xml:space="preserve">1.100</w:t>
            </w:r>
          </w:p>
        </w:tc>
        <w:tc>
          <w:tcPr/>
          <w:p>
            <w:pPr>
              <w:pStyle w:val="Compact"/>
              <w:jc w:val="right"/>
            </w:pPr>
            <w:r>
              <w:t xml:space="preserve">1.487</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1.460</w:t>
            </w:r>
          </w:p>
        </w:tc>
        <w:tc>
          <w:tcPr/>
          <w:p>
            <w:pPr>
              <w:pStyle w:val="Compact"/>
              <w:jc w:val="right"/>
            </w:pPr>
            <w:r>
              <w:t xml:space="preserve">1.201</w:t>
            </w:r>
          </w:p>
        </w:tc>
        <w:tc>
          <w:tcPr/>
          <w:p>
            <w:pPr>
              <w:pStyle w:val="Compact"/>
              <w:jc w:val="right"/>
            </w:pPr>
            <w:r>
              <w:t xml:space="preserve">1.775</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1.577</w:t>
            </w:r>
          </w:p>
        </w:tc>
        <w:tc>
          <w:tcPr/>
          <w:p>
            <w:pPr>
              <w:pStyle w:val="Compact"/>
              <w:jc w:val="right"/>
            </w:pPr>
            <w:r>
              <w:t xml:space="preserve">1.250</w:t>
            </w:r>
          </w:p>
        </w:tc>
        <w:tc>
          <w:tcPr/>
          <w:p>
            <w:pPr>
              <w:pStyle w:val="Compact"/>
              <w:jc w:val="right"/>
            </w:pPr>
            <w:r>
              <w:t xml:space="preserve">1.989</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1.666</w:t>
            </w:r>
          </w:p>
        </w:tc>
        <w:tc>
          <w:tcPr/>
          <w:p>
            <w:pPr>
              <w:pStyle w:val="Compact"/>
              <w:jc w:val="right"/>
            </w:pPr>
            <w:r>
              <w:t xml:space="preserve">1.284</w:t>
            </w:r>
          </w:p>
        </w:tc>
        <w:tc>
          <w:tcPr/>
          <w:p>
            <w:pPr>
              <w:pStyle w:val="Compact"/>
              <w:jc w:val="right"/>
            </w:pPr>
            <w:r>
              <w:t xml:space="preserve">2.161</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67d88f1e56e3170404aa3050cae2bf14c3c96318.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bookmarkStart w:id="214" w:name="X149e2ef04c0217676e508c98efc7562e55da7db"/>
    <w:p>
      <w:pPr>
        <w:pStyle w:val="Heading2"/>
      </w:pPr>
      <w:r>
        <w:t xml:space="preserve">A17. Single-Sourcing the Decision Registry</w:t>
      </w:r>
    </w:p>
    <w:p>
      <w:pPr>
        <w:pStyle w:val="FirstParagraph"/>
      </w:pPr>
      <w:r>
        <w:t xml:space="preserve">This appendix records a documentation defect, not a scientific one, and the</w:t>
      </w:r>
      <w:r>
        <w:t xml:space="preserve"> </w:t>
      </w:r>
      <w:r>
        <w:t xml:space="preserve">guard added so it cannot recur.</w:t>
      </w:r>
    </w:p>
    <w:bookmarkStart w:id="209" w:name="a17.1-the-same-rot-one-level-up"/>
    <w:p>
      <w:pPr>
        <w:pStyle w:val="Heading3"/>
      </w:pPr>
      <w:r>
        <w:t xml:space="preserve">A17.1 The same rot, one level up</w:t>
      </w:r>
    </w:p>
    <w:p>
      <w:pPr>
        <w:pStyle w:val="FirstParagraph"/>
      </w:pPr>
      <w:r>
        <w:rPr>
          <w:rStyle w:val="VerbatimChar"/>
        </w:rPr>
        <w:t xml:space="preserve">tests/expected_failures.yaml</w:t>
      </w:r>
      <w:r>
        <w:t xml:space="preserve"> </w:t>
      </w:r>
      <w:r>
        <w:t xml:space="preserve">registers every test left failing on purpose.</w:t>
      </w:r>
      <w:r>
        <w:t xml:space="preserve"> </w:t>
      </w:r>
      <w:r>
        <w:t xml:space="preserve">The suite gate fails when an unregistered test fails, when a registered one</w:t>
      </w:r>
      <w:r>
        <w:t xml:space="preserve"> </w:t>
      </w:r>
      <w:r>
        <w:t xml:space="preserve">starts passing, when an entry names a test that no longer runs, and — since the</w:t>
      </w:r>
      <w:r>
        <w:t xml:space="preserve"> </w:t>
      </w:r>
      <w:r>
        <w:t xml:space="preserve">skip work — when a test skips without approval. All of that exists because a</w:t>
      </w:r>
      <w:r>
        <w:t xml:space="preserve"> </w:t>
      </w:r>
      <w:r>
        <w:t xml:space="preserve">list of known-failing tests rots: a decision gets taken, the entry stays, and CI</w:t>
      </w:r>
      <w:r>
        <w:t xml:space="preserve"> </w:t>
      </w:r>
      <w:r>
        <w:t xml:space="preserve">keeps green-lighting a question that has already been answered.</w:t>
      </w:r>
    </w:p>
    <w:p>
      <w:pPr>
        <w:pStyle w:val="BodyText"/>
      </w:pPr>
      <w:r>
        <w:t xml:space="preserve">The manifest was protected. Its</w:t>
      </w:r>
      <w:r>
        <w:t xml:space="preserve"> </w:t>
      </w:r>
      <w:r>
        <w:rPr>
          <w:i/>
          <w:iCs/>
        </w:rPr>
        <w:t xml:space="preserve">descriptions</w:t>
      </w:r>
      <w:r>
        <w:t xml:space="preserve"> </w:t>
      </w:r>
      <w:r>
        <w:t xml:space="preserve">were not. Both</w:t>
      </w:r>
      <w:r>
        <w:t xml:space="preserve"> </w:t>
      </w:r>
      <w:r>
        <w:rPr>
          <w:rStyle w:val="VerbatimChar"/>
        </w:rPr>
        <w:t xml:space="preserve">README.md</w:t>
      </w:r>
      <w:r>
        <w:t xml:space="preserve"> </w:t>
      </w:r>
      <w:r>
        <w:t xml:space="preserve">and</w:t>
      </w:r>
      <w:r>
        <w:t xml:space="preserve"> </w:t>
      </w:r>
      <w:r>
        <w:rPr>
          <w:rStyle w:val="VerbatimChar"/>
        </w:rPr>
        <w:t xml:space="preserve">docs/VALIDATION.md</w:t>
      </w:r>
      <w:r>
        <w:t xml:space="preserve"> </w:t>
      </w:r>
      <w:r>
        <w:t xml:space="preserve">carried a hand-maintained table of the registered failures,</w:t>
      </w:r>
      <w:r>
        <w:t xml:space="preserve"> </w:t>
      </w:r>
      <w:r>
        <w:t xml:space="preserve">and both had stopped at three rows while the manifest grew to</w:t>
      </w:r>
      <w:r>
        <w:t xml:space="preserve"> </w:t>
      </w:r>
      <w:r>
        <w:rPr>
          <w:b/>
          <w:bCs/>
        </w:rPr>
        <w:t xml:space="preserve">23</w:t>
      </w:r>
      <w:r>
        <w:t xml:space="preserve">. A reader</w:t>
      </w:r>
      <w:r>
        <w:t xml:space="preserve"> </w:t>
      </w:r>
      <w:r>
        <w:t xml:space="preserve">of either document would have concluded the project had three open questions.</w:t>
      </w:r>
    </w:p>
    <w:p>
      <w:pPr>
        <w:pStyle w:val="BodyText"/>
      </w:pPr>
      <w:r>
        <w:rPr>
          <w:rStyle w:val="VerbatimChar"/>
        </w:rPr>
        <w:t xml:space="preserve">docs/DECISIONS_PENDING.md</w:t>
      </w:r>
      <w:r>
        <w:t xml:space="preserve"> </w:t>
      </w:r>
      <w:r>
        <w:t xml:space="preserve">had been generated from the manifest the whole time</w:t>
      </w:r>
      <w:r>
        <w:t xml:space="preserve"> </w:t>
      </w:r>
      <w:r>
        <w:t xml:space="preserve">and listed all 23 correctly. The problem was not a missing artefact; it was two</w:t>
      </w:r>
      <w:r>
        <w:t xml:space="preserve"> </w:t>
      </w:r>
      <w:r>
        <w:t xml:space="preserve">unofficial copies of one that already existed.</w:t>
      </w:r>
    </w:p>
    <w:bookmarkEnd w:id="209"/>
    <w:bookmarkStart w:id="210" w:name="a17.2-what-replaced-them"/>
    <w:p>
      <w:pPr>
        <w:pStyle w:val="Heading3"/>
      </w:pPr>
      <w:r>
        <w:t xml:space="preserve">A17.2 What replaced them</w:t>
      </w:r>
    </w:p>
    <w:p>
      <w:pPr>
        <w:pStyle w:val="FirstParagraph"/>
      </w:pPr>
      <w:r>
        <w:t xml:space="preserve">Both tables are deleted. Each document now links to the generated registry and</w:t>
      </w:r>
      <w:r>
        <w:t xml:space="preserve"> </w:t>
      </w:r>
      <w:r>
        <w:t xml:space="preserve">states only a count, written as a marker:</w:t>
      </w:r>
    </w:p>
    <w:p>
      <w:pPr>
        <w:pStyle w:val="SourceCode"/>
      </w:pPr>
      <w:r>
        <w:rPr>
          <w:rStyle w:val="VerbatimChar"/>
        </w:rPr>
        <w:t xml:space="preserve">&lt;!--manifest-count--&gt;23&lt;!--/manifest-count--&gt;</w:t>
      </w:r>
    </w:p>
    <w:p>
      <w:pPr>
        <w:pStyle w:val="FirstParagraph"/>
      </w:pPr>
      <w:r>
        <w:rPr>
          <w:rStyle w:val="VerbatimChar"/>
        </w:rPr>
        <w:t xml:space="preserve">tests/testthat/test-decision_registry.R</w:t>
      </w:r>
      <w:r>
        <w:t xml:space="preserve"> </w:t>
      </w:r>
      <w:r>
        <w:t xml:space="preserve">asserts that every marked count equals</w:t>
      </w:r>
      <w:r>
        <w:t xml:space="preserve"> </w:t>
      </w:r>
      <w:r>
        <w:t xml:space="preserve">the length of its manifest, that</w:t>
      </w:r>
      <w:r>
        <w:t xml:space="preserve"> </w:t>
      </w:r>
      <w:r>
        <w:rPr>
          <w:rStyle w:val="VerbatimChar"/>
        </w:rPr>
        <w:t xml:space="preserve">DECISIONS_PENDING.md</w:t>
      </w:r>
      <w:r>
        <w:t xml:space="preserve"> </w:t>
      </w:r>
      <w:r>
        <w:t xml:space="preserve">carries one heading per</w:t>
      </w:r>
      <w:r>
        <w:t xml:space="preserve"> </w:t>
      </w:r>
      <w:r>
        <w:t xml:space="preserve">manifest entry and keeps its do-not-edit banner, and that neither document</w:t>
      </w:r>
      <w:r>
        <w:t xml:space="preserve"> </w:t>
      </w:r>
      <w:r>
        <w:t xml:space="preserve">reintroduces a table of manifest rows.</w:t>
      </w:r>
    </w:p>
    <w:p>
      <w:pPr>
        <w:pStyle w:val="BodyText"/>
      </w:pPr>
      <w:r>
        <w:t xml:space="preserve">That last check needed narrowing. Its first form matched any table row citing a</w:t>
      </w:r>
      <w:r>
        <w:t xml:space="preserve"> </w:t>
      </w:r>
      <w:r>
        <w:t xml:space="preserve">test file and flagged nineteen rows in</w:t>
      </w:r>
      <w:r>
        <w:t xml:space="preserve"> </w:t>
      </w:r>
      <w:r>
        <w:rPr>
          <w:rStyle w:val="VerbatimChar"/>
        </w:rPr>
        <w:t xml:space="preserve">docs/VALIDATION.md</w:t>
      </w:r>
      <w:r>
        <w:t xml:space="preserve"> </w:t>
      </w:r>
      <w:r>
        <w:t xml:space="preserve">— the legitimate</w:t>
      </w:r>
      <w:r>
        <w:t xml:space="preserve"> </w:t>
      </w:r>
      <w:r>
        <w:t xml:space="preserve">test</w:t>
      </w:r>
      <w:r>
        <w:t xml:space="preserve"> </w:t>
      </w:r>
      <w:r>
        <w:rPr>
          <w:b/>
          <w:bCs/>
        </w:rPr>
        <w:t xml:space="preserve">inventory</w:t>
      </w:r>
      <w:r>
        <w:t xml:space="preserve">, which tabulates every test file with its assertion count and</w:t>
      </w:r>
      <w:r>
        <w:t xml:space="preserve"> </w:t>
      </w:r>
      <w:r>
        <w:t xml:space="preserve">gate. A manifest row cites a specific</w:t>
      </w:r>
      <w:r>
        <w:t xml:space="preserve"> </w:t>
      </w:r>
      <w:r>
        <w:rPr>
          <w:i/>
          <w:iCs/>
        </w:rPr>
        <w:t xml:space="preserve">line</w:t>
      </w:r>
      <w:r>
        <w:t xml:space="preserve"> </w:t>
      </w:r>
      <w:r>
        <w:t xml:space="preserve">(</w:t>
      </w:r>
      <w:r>
        <w:rPr>
          <w:rStyle w:val="VerbatimChar"/>
        </w:rPr>
        <w:t xml:space="preserve">test-cycle04_….R:179</w:t>
      </w:r>
      <w:r>
        <w:t xml:space="preserve">); an</w:t>
      </w:r>
      <w:r>
        <w:t xml:space="preserve"> </w:t>
      </w:r>
      <w:r>
        <w:t xml:space="preserve">inventory row does not. The guard now requires the line number, so it catches</w:t>
      </w:r>
      <w:r>
        <w:t xml:space="preserve"> </w:t>
      </w:r>
      <w:r>
        <w:t xml:space="preserve">the duplicate table without forbidding the catalogue.</w:t>
      </w:r>
    </w:p>
    <w:p>
      <w:pPr>
        <w:pStyle w:val="BodyText"/>
      </w:pPr>
      <w:r>
        <w:t xml:space="preserve">README also stopped quoting pass and fail totals. They changed on almost every</w:t>
      </w:r>
      <w:r>
        <w:t xml:space="preserve"> </w:t>
      </w:r>
      <w:r>
        <w:t xml:space="preserve">commit, so the figure was stale before it could be read.</w:t>
      </w:r>
    </w:p>
    <w:bookmarkEnd w:id="210"/>
    <w:bookmarkStart w:id="211" w:name="X5f4f88a56db74902f9ea4c7bb01ff69f56826eb"/>
    <w:p>
      <w:pPr>
        <w:pStyle w:val="Heading3"/>
      </w:pPr>
      <w:r>
        <w:t xml:space="preserve">A17.2b A registration is not an observation</w:t>
      </w:r>
    </w:p>
    <w:p>
      <w:pPr>
        <w:pStyle w:val="FirstParagraph"/>
      </w:pPr>
      <w:r>
        <w:t xml:space="preserve">The count guard caught something on its first run that is worth keeping. The</w:t>
      </w:r>
      <w:r>
        <w:t xml:space="preserve"> </w:t>
      </w:r>
      <w:r>
        <w:t xml:space="preserve">README stated</w:t>
      </w:r>
      <w:r>
        <w:t xml:space="preserve"> </w:t>
      </w:r>
      <w:r>
        <w:rPr>
          <w:i/>
          <w:iCs/>
        </w:rPr>
        <w:t xml:space="preserve">12 skipped</w:t>
      </w:r>
      <w:r>
        <w:t xml:space="preserve">, taken from a clean-worktree run;</w:t>
      </w:r>
      <w:r>
        <w:t xml:space="preserve"> </w:t>
      </w:r>
      <w:r>
        <w:rPr>
          <w:rStyle w:val="VerbatimChar"/>
        </w:rPr>
        <w:t xml:space="preserve">tests/expected_skips.yaml</w:t>
      </w:r>
      <w:r>
        <w:t xml:space="preserve"> </w:t>
      </w:r>
      <w:r>
        <w:t xml:space="preserve">holds</w:t>
      </w:r>
      <w:r>
        <w:t xml:space="preserve"> </w:t>
      </w:r>
      <w:r>
        <w:rPr>
          <w:b/>
          <w:bCs/>
        </w:rPr>
        <w:t xml:space="preserve">13</w:t>
      </w:r>
      <w:r>
        <w:t xml:space="preserve"> </w:t>
      </w:r>
      <w:r>
        <w:t xml:space="preserve">entries. Both are correct, and they</w:t>
      </w:r>
      <w:r>
        <w:t xml:space="preserve"> </w:t>
      </w:r>
      <w:r>
        <w:t xml:space="preserve">measure different things.</w:t>
      </w:r>
    </w:p>
    <w:p>
      <w:pPr>
        <w:pStyle w:val="BodyText"/>
      </w:pPr>
      <w:r>
        <w:t xml:space="preserve">An entry in the skip manifest is a</w:t>
      </w:r>
      <w:r>
        <w:t xml:space="preserve"> </w:t>
      </w:r>
      <w:r>
        <w:rPr>
          <w:i/>
          <w:iCs/>
        </w:rPr>
        <w:t xml:space="preserve">registration</w:t>
      </w:r>
      <w:r>
        <w:t xml:space="preserve">: this test is allowed to skip,</w:t>
      </w:r>
      <w:r>
        <w:t xml:space="preserve"> </w:t>
      </w:r>
      <w:r>
        <w:t xml:space="preserve">and here is why. Whether it actually skips depends on the environment — the</w:t>
      </w:r>
      <w:r>
        <w:t xml:space="preserve"> </w:t>
      </w:r>
      <w:r>
        <w:t xml:space="preserve">Shiny bundle, the PubMed XML cache and the 2017 JMIG cache are all gitignored,</w:t>
      </w:r>
      <w:r>
        <w:t xml:space="preserve"> </w:t>
      </w:r>
      <w:r>
        <w:t xml:space="preserve">so a machine that has run the pipeline reaches assertions that CI cannot. The</w:t>
      </w:r>
      <w:r>
        <w:t xml:space="preserve"> </w:t>
      </w:r>
      <w:r>
        <w:t xml:space="preserve">gate is built on exactly that asymmetry: it fails on an</w:t>
      </w:r>
      <w:r>
        <w:t xml:space="preserve"> </w:t>
      </w:r>
      <w:r>
        <w:rPr>
          <w:i/>
          <w:iCs/>
        </w:rPr>
        <w:t xml:space="preserve">unapproved</w:t>
      </w:r>
      <w:r>
        <w:t xml:space="preserve"> </w:t>
      </w:r>
      <w:r>
        <w:t xml:space="preserve">skip, and</w:t>
      </w:r>
      <w:r>
        <w:t xml:space="preserve"> </w:t>
      </w:r>
      <w:r>
        <w:t xml:space="preserve">says nothing when an approved one runs anyway.</w:t>
      </w:r>
    </w:p>
    <w:p>
      <w:pPr>
        <w:pStyle w:val="BodyText"/>
      </w:pPr>
      <w:r>
        <w:t xml:space="preserve">So the marker checking a manifest length belongs on the registered count, and</w:t>
      </w:r>
      <w:r>
        <w:t xml:space="preserve"> </w:t>
      </w:r>
      <w:r>
        <w:t xml:space="preserve">the observed count is left unchecked and labelled as an observation. Marking</w:t>
      </w:r>
      <w:r>
        <w:t xml:space="preserve"> </w:t>
      </w:r>
      <w:r>
        <w:t xml:space="preserve">both would have forced the two to agree, which would either have falsified the</w:t>
      </w:r>
      <w:r>
        <w:t xml:space="preserve"> </w:t>
      </w:r>
      <w:r>
        <w:t xml:space="preserve">README or created pressure to delete a legitimate manifest entry to make a</w:t>
      </w:r>
      <w:r>
        <w:t xml:space="preserve"> </w:t>
      </w:r>
      <w:r>
        <w:t xml:space="preserve">number match.</w:t>
      </w:r>
    </w:p>
    <w:bookmarkEnd w:id="211"/>
    <w:bookmarkStart w:id="212" w:name="a17.3-numbers-with-no-producer"/>
    <w:p>
      <w:pPr>
        <w:pStyle w:val="Heading3"/>
      </w:pPr>
      <w:r>
        <w:t xml:space="preserve">A17.3 Numbers with no producer</w:t>
      </w:r>
    </w:p>
    <w:p>
      <w:pPr>
        <w:pStyle w:val="FirstParagraph"/>
      </w:pPr>
      <w:r>
        <w:t xml:space="preserve">A second, smaller instance of the same principle. Several figures justifying the</w:t>
      </w:r>
      <w:r>
        <w:t xml:space="preserve"> </w:t>
      </w:r>
      <w:r>
        <w:t xml:space="preserve">proportional-hazards remediation in A16 were computed at a prompt and typed into</w:t>
      </w:r>
      <w:r>
        <w:t xml:space="preserve"> </w:t>
      </w:r>
      <w:r>
        <w:t xml:space="preserve">prose: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Cox model frame</w:t>
            </w:r>
          </w:p>
        </w:tc>
        <w:tc>
          <w:tcPr/>
          <w:p>
            <w:pPr>
              <w:pStyle w:val="Compact"/>
              <w:jc w:val="right"/>
            </w:pPr>
            <w:r>
              <w:t xml:space="preserve">1,020 abstracts, 171 events</w:t>
            </w:r>
          </w:p>
        </w:tc>
      </w:tr>
      <w:tr>
        <w:tc>
          <w:tcPr/>
          <w:p>
            <w:pPr>
              <w:pStyle w:val="Compact"/>
            </w:pPr>
            <w:r>
              <w:t xml:space="preserve">Global Schoenfeld p, violator removed</w:t>
            </w:r>
          </w:p>
        </w:tc>
        <w:tc>
          <w:tcPr/>
          <w:p>
            <w:pPr>
              <w:pStyle w:val="Compact"/>
              <w:jc w:val="right"/>
            </w:pPr>
            <w:r>
              <w:t xml:space="preserve">0.5295</w:t>
            </w:r>
          </w:p>
        </w:tc>
      </w:tr>
      <w:tr>
        <w:tc>
          <w:tcPr/>
          <w:p>
            <w:pPr>
              <w:pStyle w:val="Compact"/>
            </w:pPr>
            <w:r>
              <w:t xml:space="preserve">AIC, proportional fit</w:t>
            </w:r>
          </w:p>
        </w:tc>
        <w:tc>
          <w:tcPr/>
          <w:p>
            <w:pPr>
              <w:pStyle w:val="Compact"/>
              <w:jc w:val="right"/>
            </w:pPr>
            <w:r>
              <w:t xml:space="preserve">2303.6</w:t>
            </w:r>
          </w:p>
        </w:tc>
      </w:tr>
      <w:tr>
        <w:tc>
          <w:tcPr/>
          <w:p>
            <w:pPr>
              <w:pStyle w:val="Compact"/>
            </w:pPr>
            <w:r>
              <w:t xml:space="preserve">AIC, time-varying fit</w:t>
            </w:r>
          </w:p>
        </w:tc>
        <w:tc>
          <w:tcPr/>
          <w:p>
            <w:pPr>
              <w:pStyle w:val="Compact"/>
              <w:jc w:val="right"/>
            </w:pPr>
            <w:r>
              <w:t xml:space="preserve">2295.4</w:t>
            </w:r>
          </w:p>
        </w:tc>
      </w:tr>
      <w:tr>
        <w:tc>
          <w:tcPr/>
          <w:p>
            <w:pPr>
              <w:pStyle w:val="Compact"/>
            </w:pPr>
            <w:r>
              <w:t xml:space="preserve">Schoenfeld ρ with time, violator</w:t>
            </w:r>
          </w:p>
        </w:tc>
        <w:tc>
          <w:tcPr/>
          <w:p>
            <w:pPr>
              <w:pStyle w:val="Compact"/>
              <w:jc w:val="right"/>
            </w:pPr>
            <w:r>
              <w:t xml:space="preserve">0.257</w:t>
            </w:r>
          </w:p>
        </w:tc>
      </w:tr>
      <w:tr>
        <w:tc>
          <w:tcPr/>
          <w:p>
            <w:pPr>
              <w:pStyle w:val="Compact"/>
            </w:pPr>
            <w:r>
              <w:t xml:space="preserve">Share of frame at the author ceiling</w:t>
            </w:r>
          </w:p>
        </w:tc>
        <w:tc>
          <w:tcPr/>
          <w:p>
            <w:pPr>
              <w:pStyle w:val="Compact"/>
              <w:jc w:val="right"/>
            </w:pPr>
            <w:r>
              <w:t xml:space="preserve">48.9%</w:t>
            </w:r>
          </w:p>
        </w:tc>
      </w:tr>
    </w:tbl>
    <w:p>
      <w:pPr>
        <w:pStyle w:val="BodyText"/>
      </w:pPr>
      <w:r>
        <w:t xml:space="preserve">A number with no producer cannot be re-derived, so nothing notices when it stops</w:t>
      </w:r>
      <w:r>
        <w:t xml:space="preserve"> </w:t>
      </w:r>
      <w:r>
        <w:t xml:space="preserve">being true — and every one of these shifted at the 2026-09-05 refit.</w:t>
      </w:r>
      <w:r>
        <w:t xml:space="preserve"> </w:t>
      </w:r>
      <w:r>
        <w:rPr>
          <w:rStyle w:val="VerbatimChar"/>
        </w:rPr>
        <w:t xml:space="preserve">scripts/ph_diagnostics_report.R</w:t>
      </w:r>
      <w:r>
        <w:t xml:space="preserve"> </w:t>
      </w:r>
      <w:r>
        <w:t xml:space="preserve">now computes them into</w:t>
      </w:r>
      <w:r>
        <w:t xml:space="preserve"> </w:t>
      </w:r>
      <w:r>
        <w:rPr>
          <w:rStyle w:val="VerbatimChar"/>
        </w:rPr>
        <w:t xml:space="preserve">output/cox_ph_support.csv</w:t>
      </w:r>
      <w:r>
        <w:t xml:space="preserve">, reading the model specification back from</w:t>
      </w:r>
      <w:r>
        <w:t xml:space="preserve"> </w:t>
      </w:r>
      <w:r>
        <w:rPr>
          <w:rStyle w:val="VerbatimChar"/>
        </w:rPr>
        <w:t xml:space="preserve">output/model_variable_screen.csv</w:t>
      </w:r>
      <w:r>
        <w:t xml:space="preserve"> </w:t>
      </w:r>
      <w:r>
        <w:t xml:space="preserve">rather than restating it, so it cannot drift</w:t>
      </w:r>
      <w:r>
        <w:t xml:space="preserve"> </w:t>
      </w:r>
      <w:r>
        <w:t xml:space="preserve">from the model actually fitted. Seven are registered in</w:t>
      </w:r>
      <w:r>
        <w:t xml:space="preserve"> </w:t>
      </w:r>
      <w:r>
        <w:rPr>
          <w:rStyle w:val="VerbatimChar"/>
        </w:rPr>
        <w:t xml:space="preserve">docs/manuscript_claims.csv</w:t>
      </w:r>
      <w:r>
        <w:t xml:space="preserve"> </w:t>
      </w:r>
      <w:r>
        <w:t xml:space="preserve">and recomputed by the claims test.</w:t>
      </w:r>
    </w:p>
    <w:bookmarkEnd w:id="212"/>
    <w:bookmarkStart w:id="213" w:name="X09754584c0a25a9907ec13185c24b3896071f29"/>
    <w:p>
      <w:pPr>
        <w:pStyle w:val="Heading3"/>
      </w:pPr>
      <w:r>
        <w:t xml:space="preserve">A17.4 Two files committed without metadata</w:t>
      </w:r>
    </w:p>
    <w:p>
      <w:pPr>
        <w:pStyle w:val="FirstParagraph"/>
      </w:pPr>
      <w:r>
        <w:rPr>
          <w:rStyle w:val="VerbatimChar"/>
        </w:rPr>
        <w:t xml:space="preserve">scripts/build_docs_metadata.R</w:t>
      </w:r>
      <w:r>
        <w:t xml:space="preserve"> </w:t>
      </w:r>
      <w:r>
        <w:t xml:space="preserve">refused to run until</w:t>
      </w:r>
      <w:r>
        <w:t xml:space="preserve"> </w:t>
      </w:r>
      <w:r>
        <w:rPr>
          <w:rStyle w:val="VerbatimChar"/>
        </w:rPr>
        <w:t xml:space="preserve">output/candidate_pool_index.csv</w:t>
      </w:r>
      <w:r>
        <w:t xml:space="preserve"> </w:t>
      </w:r>
      <w:r>
        <w:t xml:space="preserve">and</w:t>
      </w:r>
      <w:r>
        <w:t xml:space="preserve"> </w:t>
      </w:r>
      <w:r>
        <w:rPr>
          <w:rStyle w:val="VerbatimChar"/>
        </w:rPr>
        <w:t xml:space="preserve">output/cox_ph_support.csv</w:t>
      </w:r>
      <w:r>
        <w:t xml:space="preserve"> </w:t>
      </w:r>
      <w:r>
        <w:t xml:space="preserve">were described</w:t>
      </w:r>
      <w:r>
        <w:t xml:space="preserve"> </w:t>
      </w:r>
      <w:r>
        <w:t xml:space="preserve">in</w:t>
      </w:r>
      <w:r>
        <w:t xml:space="preserve"> </w:t>
      </w:r>
      <w:r>
        <w:rPr>
          <w:rStyle w:val="VerbatimChar"/>
        </w:rPr>
        <w:t xml:space="preserve">docs/_meta/data_inventory_meta.csv</w:t>
      </w:r>
      <w:r>
        <w:t xml:space="preserve">. The first had been committed by other</w:t>
      </w:r>
      <w:r>
        <w:t xml:space="preserve"> </w:t>
      </w:r>
      <w:r>
        <w:t xml:space="preserve">work without an entry. The builder’s own guard caught both, which is the</w:t>
      </w:r>
      <w:r>
        <w:t xml:space="preserve"> </w:t>
      </w:r>
      <w:r>
        <w:t xml:space="preserve">behaviour that guard was added for.</w:t>
      </w:r>
    </w:p>
    <w:p>
      <w:pPr>
        <w:pStyle w:val="BodyText"/>
      </w:pPr>
      <w:r>
        <w:t xml:space="preserve">Regenerating the documentation on a branch also revealed that the builder</w:t>
      </w:r>
      <w:r>
        <w:t xml:space="preserve"> </w:t>
      </w:r>
      <w:r>
        <w:t xml:space="preserve">requires every documented file to be present on disk, including the large</w:t>
      </w:r>
      <w:r>
        <w:t xml:space="preserve"> </w:t>
      </w:r>
      <w:r>
        <w:t xml:space="preserve">gitignored artefacts (</w:t>
      </w:r>
      <w:r>
        <w:rPr>
          <w:rStyle w:val="VerbatimChar"/>
        </w:rPr>
        <w:t xml:space="preserve">pubmed_candidates.csv</w:t>
      </w:r>
      <w:r>
        <w:t xml:space="preserve">, the search checkpoints, the 2017</w:t>
      </w:r>
      <w:r>
        <w:t xml:space="preserve"> </w:t>
      </w:r>
      <w:r>
        <w:t xml:space="preserve">JMIG cache). It therefore cannot run in a clean checkout — only on a machine</w:t>
      </w:r>
      <w:r>
        <w:t xml:space="preserve"> </w:t>
      </w:r>
      <w:r>
        <w:t xml:space="preserve">that has done a full pipeline run. That is a limitation of the builder rather</w:t>
      </w:r>
      <w:r>
        <w:t xml:space="preserve"> </w:t>
      </w:r>
      <w:r>
        <w:t xml:space="preserve">than a defect in the metadata, and it is recorded here rather than worked</w:t>
      </w:r>
      <w:r>
        <w:t xml:space="preserve"> </w:t>
      </w:r>
      <w:r>
        <w:t xml:space="preserve">around: the caches were linked in temporarily to regenerate, and the links</w:t>
      </w:r>
      <w:r>
        <w:t xml:space="preserve"> </w:t>
      </w:r>
      <w:r>
        <w:t xml:space="preserve">removed before committing.</w:t>
      </w:r>
    </w:p>
    <w:bookmarkEnd w:id="213"/>
    <w:bookmarkEnd w:id="214"/>
    <w:bookmarkStart w:id="219" w:name="X5f611485395eac202a656f111fce3b8e9fa7850"/>
    <w:p>
      <w:pPr>
        <w:pStyle w:val="Heading2"/>
      </w:pPr>
      <w:r>
        <w:t xml:space="preserve">A18. The Publication Date Is the Print Issue Date</w:t>
      </w:r>
    </w:p>
    <w:p>
      <w:pPr>
        <w:pStyle w:val="FirstParagraph"/>
      </w:pPr>
      <w:r>
        <w:rPr>
          <w:b/>
          <w:bCs/>
        </w:rPr>
        <w:t xml:space="preserve">PI decision, 2026-09-05.</w:t>
      </w:r>
      <w:r>
        <w:t xml:space="preserve"> </w:t>
      </w:r>
      <w:r>
        <w:t xml:space="preserve">Recorded here because the study had been using two</w:t>
      </w:r>
      <w:r>
        <w:t xml:space="preserve"> </w:t>
      </w:r>
      <w:r>
        <w:t xml:space="preserve">different definitions at once without anyone having chosen between them.</w:t>
      </w:r>
    </w:p>
    <w:bookmarkStart w:id="215" w:name="a18.1-the-ambiguity"/>
    <w:p>
      <w:pPr>
        <w:pStyle w:val="Heading3"/>
      </w:pPr>
      <w:r>
        <w:t xml:space="preserve">A18.1 The ambiguity</w:t>
      </w:r>
    </w:p>
    <w:p>
      <w:pPr>
        <w:pStyle w:val="FirstParagraph"/>
      </w:pPr>
      <w:r>
        <w:t xml:space="preserve">PubMed carries at least two dates for an article.</w:t>
      </w:r>
      <w:r>
        <w:t xml:space="preserve"> </w:t>
      </w:r>
      <w:r>
        <w:rPr>
          <w:rStyle w:val="VerbatimChar"/>
        </w:rPr>
        <w:t xml:space="preserve">ArticleDate</w:t>
      </w:r>
      <w:r>
        <w:t xml:space="preserve"> </w:t>
      </w:r>
      <w:r>
        <w:t xml:space="preserve">is the</w:t>
      </w:r>
      <w:r>
        <w:t xml:space="preserve"> </w:t>
      </w:r>
      <w:r>
        <w:t xml:space="preserve">electronic release;</w:t>
      </w:r>
      <w:r>
        <w:t xml:space="preserve"> </w:t>
      </w:r>
      <w:r>
        <w:rPr>
          <w:rStyle w:val="VerbatimChar"/>
        </w:rPr>
        <w:t xml:space="preserve">JournalIssue/PubDate</w:t>
      </w:r>
      <w:r>
        <w:t xml:space="preserve"> </w:t>
      </w:r>
      <w:r>
        <w:t xml:space="preserve">is the print issue. For journals that</w:t>
      </w:r>
      <w:r>
        <w:t xml:space="preserve"> </w:t>
      </w:r>
      <w:r>
        <w:t xml:space="preserve">publish online ahead of print they differ by months.</w:t>
      </w:r>
    </w:p>
    <w:p>
      <w:pPr>
        <w:pStyle w:val="BodyText"/>
      </w:pPr>
      <w:r>
        <w:rPr>
          <w:rStyle w:val="VerbatimChar"/>
        </w:rPr>
        <w:t xml:space="preserve">R/utils_pubmed.R</w:t>
      </w:r>
      <w:r>
        <w:t xml:space="preserve"> </w:t>
      </w:r>
      <w:r>
        <w:t xml:space="preserve">reads</w:t>
      </w:r>
      <w:r>
        <w:t xml:space="preserve"> </w:t>
      </w:r>
      <w:r>
        <w:rPr>
          <w:rStyle w:val="VerbatimChar"/>
        </w:rPr>
        <w:t xml:space="preserve">JournalIssue/PubDate</w:t>
      </w:r>
      <w:r>
        <w:t xml:space="preserve"> </w:t>
      </w:r>
      <w:r>
        <w:t xml:space="preserve">and defaults an absent day to</w:t>
      </w:r>
      <w:r>
        <w:t xml:space="preserve"> </w:t>
      </w:r>
      <w:r>
        <w:t xml:space="preserve">the first of the month, so every interval in the analysis is measured to the</w:t>
      </w:r>
      <w:r>
        <w:t xml:space="preserve"> </w:t>
      </w:r>
      <w:r>
        <w:t xml:space="preserve">print issue.</w:t>
      </w:r>
      <w:r>
        <w:t xml:space="preserve"> </w:t>
      </w:r>
      <w:r>
        <w:rPr>
          <w:rStyle w:val="VerbatimChar"/>
        </w:rPr>
        <w:t xml:space="preserve">output/excluded_pre_congress_publications.csv</w:t>
      </w:r>
      <w:r>
        <w:t xml:space="preserve">, the file that</w:t>
      </w:r>
      <w:r>
        <w:t xml:space="preserve"> </w:t>
      </w:r>
      <w:r>
        <w:t xml:space="preserve">identifies publications predating their congress, was built from</w:t>
      </w:r>
      <w:r>
        <w:t xml:space="preserve"> </w:t>
      </w:r>
      <w:r>
        <w:rPr>
          <w:rStyle w:val="VerbatimChar"/>
        </w:rPr>
        <w:t xml:space="preserve">ArticleDate</w:t>
      </w:r>
      <w:r>
        <w:t xml:space="preserve">.</w:t>
      </w:r>
      <w:r>
        <w:t xml:space="preserve"> </w:t>
      </w:r>
      <w:r>
        <w:t xml:space="preserve">Both were internally consistent and neither was wrong; they simply answered</w:t>
      </w:r>
      <w:r>
        <w:t xml:space="preserve"> </w:t>
      </w:r>
      <w:r>
        <w:t xml:space="preserve">different questions, and nothing recorded which question the study was asking.</w:t>
      </w:r>
    </w:p>
    <w:p>
      <w:pPr>
        <w:pStyle w:val="BodyText"/>
      </w:pPr>
      <w:r>
        <w:t xml:space="preserve">On the four abstracts whose pre-congress status is contested, the two bases</w:t>
      </w:r>
      <w:r>
        <w:t xml:space="preserve"> </w:t>
      </w:r>
      <w:r>
        <w:t xml:space="preserve">disagree by 1.5 to 4.9 months:</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abstract</w:t>
            </w:r>
          </w:p>
        </w:tc>
        <w:tc>
          <w:tcPr/>
          <w:p>
            <w:pPr>
              <w:pStyle w:val="Compact"/>
            </w:pPr>
            <w:r>
              <w:t xml:space="preserve">electronic date</w:t>
            </w:r>
          </w:p>
        </w:tc>
        <w:tc>
          <w:tcPr/>
          <w:p>
            <w:pPr>
              <w:pStyle w:val="Compact"/>
              <w:jc w:val="right"/>
            </w:pPr>
            <w:r>
              <w:t xml:space="preserve">months before</w:t>
            </w:r>
          </w:p>
        </w:tc>
        <w:tc>
          <w:tcPr/>
          <w:p>
            <w:pPr>
              <w:pStyle w:val="Compact"/>
            </w:pPr>
            <w:r>
              <w:t xml:space="preserve">print issue</w:t>
            </w:r>
          </w:p>
        </w:tc>
        <w:tc>
          <w:tcPr/>
          <w:p>
            <w:pPr>
              <w:pStyle w:val="Compact"/>
              <w:jc w:val="right"/>
            </w:pPr>
            <w:r>
              <w:t xml:space="preserve">months before</w:t>
            </w:r>
          </w:p>
        </w:tc>
      </w:tr>
      <w:tr>
        <w:tc>
          <w:tcPr/>
          <w:p>
            <w:pPr>
              <w:pStyle w:val="Compact"/>
            </w:pPr>
            <w:r>
              <w:t xml:space="preserve">AAGL2021_002</w:t>
            </w:r>
          </w:p>
        </w:tc>
        <w:tc>
          <w:tcPr/>
          <w:p>
            <w:pPr>
              <w:pStyle w:val="Compact"/>
            </w:pPr>
            <w:r>
              <w:t xml:space="preserve">2021-05-13</w:t>
            </w:r>
          </w:p>
        </w:tc>
        <w:tc>
          <w:tcPr/>
          <w:p>
            <w:pPr>
              <w:pStyle w:val="Compact"/>
              <w:jc w:val="right"/>
            </w:pPr>
            <w:r>
              <w:t xml:space="preserve">6.1</w:t>
            </w:r>
          </w:p>
        </w:tc>
        <w:tc>
          <w:tcPr/>
          <w:p>
            <w:pPr>
              <w:pStyle w:val="Compact"/>
            </w:pPr>
            <w:r>
              <w:t xml:space="preserve">2021-07-01</w:t>
            </w:r>
          </w:p>
        </w:tc>
        <w:tc>
          <w:tcPr/>
          <w:p>
            <w:pPr>
              <w:pStyle w:val="Compact"/>
              <w:jc w:val="right"/>
            </w:pPr>
            <w:r>
              <w:t xml:space="preserve">4.5</w:t>
            </w:r>
          </w:p>
        </w:tc>
      </w:tr>
      <w:tr>
        <w:tc>
          <w:tcPr/>
          <w:p>
            <w:pPr>
              <w:pStyle w:val="Compact"/>
            </w:pPr>
            <w:r>
              <w:t xml:space="preserve">AAGL2021_049</w:t>
            </w:r>
          </w:p>
        </w:tc>
        <w:tc>
          <w:tcPr/>
          <w:p>
            <w:pPr>
              <w:pStyle w:val="Compact"/>
            </w:pPr>
            <w:r>
              <w:t xml:space="preserve">2021-06-12</w:t>
            </w:r>
          </w:p>
        </w:tc>
        <w:tc>
          <w:tcPr/>
          <w:p>
            <w:pPr>
              <w:pStyle w:val="Compact"/>
              <w:jc w:val="right"/>
            </w:pPr>
            <w:r>
              <w:t xml:space="preserve">5.1</w:t>
            </w:r>
          </w:p>
        </w:tc>
        <w:tc>
          <w:tcPr/>
          <w:p>
            <w:pPr>
              <w:pStyle w:val="Compact"/>
            </w:pPr>
            <w:r>
              <w:t xml:space="preserve">2021-10-01</w:t>
            </w:r>
          </w:p>
        </w:tc>
        <w:tc>
          <w:tcPr/>
          <w:p>
            <w:pPr>
              <w:pStyle w:val="Compact"/>
              <w:jc w:val="right"/>
            </w:pPr>
            <w:r>
              <w:t xml:space="preserve">1.4</w:t>
            </w:r>
          </w:p>
        </w:tc>
      </w:tr>
      <w:tr>
        <w:tc>
          <w:tcPr/>
          <w:p>
            <w:pPr>
              <w:pStyle w:val="Compact"/>
            </w:pPr>
            <w:r>
              <w:t xml:space="preserve">AAGL2023_042</w:t>
            </w:r>
          </w:p>
        </w:tc>
        <w:tc>
          <w:tcPr/>
          <w:p>
            <w:pPr>
              <w:pStyle w:val="Compact"/>
            </w:pPr>
            <w:r>
              <w:t xml:space="preserve">2023-04-23</w:t>
            </w:r>
          </w:p>
        </w:tc>
        <w:tc>
          <w:tcPr/>
          <w:p>
            <w:pPr>
              <w:pStyle w:val="Compact"/>
              <w:jc w:val="right"/>
            </w:pPr>
            <w:r>
              <w:t xml:space="preserve">6.5</w:t>
            </w:r>
          </w:p>
        </w:tc>
        <w:tc>
          <w:tcPr/>
          <w:p>
            <w:pPr>
              <w:pStyle w:val="Compact"/>
            </w:pPr>
            <w:r>
              <w:t xml:space="preserve">2023-08-01</w:t>
            </w:r>
          </w:p>
        </w:tc>
        <w:tc>
          <w:tcPr/>
          <w:p>
            <w:pPr>
              <w:pStyle w:val="Compact"/>
              <w:jc w:val="right"/>
            </w:pPr>
            <w:r>
              <w:t xml:space="preserve">3.2</w:t>
            </w:r>
          </w:p>
        </w:tc>
      </w:tr>
      <w:tr>
        <w:tc>
          <w:tcPr/>
          <w:p>
            <w:pPr>
              <w:pStyle w:val="Compact"/>
            </w:pPr>
            <w:r>
              <w:t xml:space="preserve">AAGL2023_048</w:t>
            </w:r>
          </w:p>
        </w:tc>
        <w:tc>
          <w:tcPr/>
          <w:p>
            <w:pPr>
              <w:pStyle w:val="Compact"/>
            </w:pPr>
            <w:r>
              <w:t xml:space="preserve">2023-06-04</w:t>
            </w:r>
          </w:p>
        </w:tc>
        <w:tc>
          <w:tcPr/>
          <w:p>
            <w:pPr>
              <w:pStyle w:val="Compact"/>
              <w:jc w:val="right"/>
            </w:pPr>
            <w:r>
              <w:t xml:space="preserve">5.1</w:t>
            </w:r>
          </w:p>
        </w:tc>
        <w:tc>
          <w:tcPr/>
          <w:p>
            <w:pPr>
              <w:pStyle w:val="Compact"/>
            </w:pPr>
            <w:r>
              <w:t xml:space="preserve">2023-11-01</w:t>
            </w:r>
          </w:p>
        </w:tc>
        <w:tc>
          <w:tcPr/>
          <w:p>
            <w:pPr>
              <w:pStyle w:val="Compact"/>
              <w:jc w:val="right"/>
            </w:pPr>
            <w:r>
              <w:t xml:space="preserve">0.2</w:t>
            </w:r>
          </w:p>
        </w:tc>
      </w:tr>
    </w:tbl>
    <w:p>
      <w:pPr>
        <w:pStyle w:val="BodyText"/>
      </w:pPr>
      <w:r>
        <w:t xml:space="preserve">Both dates were read from the cached PubMed records themselves</w:t>
      </w:r>
      <w:r>
        <w:t xml:space="preserve"> </w:t>
      </w:r>
      <w:r>
        <w:t xml:space="preserve">(</w:t>
      </w:r>
      <w:r>
        <w:rPr>
          <w:rStyle w:val="VerbatimChar"/>
        </w:rPr>
        <w:t xml:space="preserve">data/cache/pubmed_xml/&lt;pmid&gt;.xml</w:t>
      </w:r>
      <w:r>
        <w:t xml:space="preserve">), not from a derived file, so the</w:t>
      </w:r>
      <w:r>
        <w:t xml:space="preserve"> </w:t>
      </w:r>
      <w:r>
        <w:t xml:space="preserve">discrepancy is verified at source. For</w:t>
      </w:r>
      <w:r>
        <w:t xml:space="preserve"> </w:t>
      </w:r>
      <w:r>
        <w:rPr>
          <w:rStyle w:val="VerbatimChar"/>
        </w:rPr>
        <w:t xml:space="preserve">AAGL2023_048</w:t>
      </w:r>
      <w:r>
        <w:t xml:space="preserve"> </w:t>
      </w:r>
      <w:r>
        <w:t xml:space="preserve">the choice is between</w:t>
      </w:r>
      <w:r>
        <w:t xml:space="preserve"> </w:t>
      </w:r>
      <w:r>
        <w:t xml:space="preserve">“five months before the congress”</w:t>
      </w:r>
      <w:r>
        <w:t xml:space="preserve"> </w:t>
      </w:r>
      <w:r>
        <w:t xml:space="preserve">and</w:t>
      </w:r>
      <w:r>
        <w:t xml:space="preserve"> </w:t>
      </w:r>
      <w:r>
        <w:t xml:space="preserve">“six days before”</w:t>
      </w:r>
      <w:r>
        <w:t xml:space="preserve">.</w:t>
      </w:r>
    </w:p>
    <w:bookmarkEnd w:id="215"/>
    <w:bookmarkStart w:id="216" w:name="Xfb34709670f389eb2b69967bb0d197996bf832c"/>
    <w:p>
      <w:pPr>
        <w:pStyle w:val="Heading3"/>
      </w:pPr>
      <w:r>
        <w:t xml:space="preserve">A18.2 What the decision settles, and what it does not</w:t>
      </w:r>
    </w:p>
    <w:p>
      <w:pPr>
        <w:pStyle w:val="FirstParagraph"/>
      </w:pPr>
      <w:r>
        <w:t xml:space="preserve">It settles the date basis: the print issue date is the publication date,</w:t>
      </w:r>
      <w:r>
        <w:t xml:space="preserve"> </w:t>
      </w:r>
      <w:r>
        <w:t xml:space="preserve">throughout, for the time-to-publication interval and for whether a paper</w:t>
      </w:r>
      <w:r>
        <w:t xml:space="preserve"> </w:t>
      </w:r>
      <w:r>
        <w:t xml:space="preserve">preceded its congress. Articles released online ahead of print are dated to</w:t>
      </w:r>
      <w:r>
        <w:t xml:space="preserve"> </w:t>
      </w:r>
      <w:r>
        <w:t xml:space="preserve">their print issue. Month-only issue dates resolve to the first of the month.</w:t>
      </w:r>
    </w:p>
    <w:p>
      <w:pPr>
        <w:pStyle w:val="BodyText"/>
      </w:pPr>
      <w:r>
        <w:t xml:space="preserve">Because the analysis already used that basis,</w:t>
      </w:r>
      <w:r>
        <w:t xml:space="preserve"> </w:t>
      </w:r>
      <w:r>
        <w:rPr>
          <w:b/>
          <w:bCs/>
        </w:rPr>
        <w:t xml:space="preserve">no number changes.</w:t>
      </w:r>
      <w:r>
        <w:t xml:space="preserve"> </w:t>
      </w:r>
      <w:r>
        <w:t xml:space="preserve">The</w:t>
      </w:r>
      <w:r>
        <w:t xml:space="preserve"> </w:t>
      </w:r>
      <w:r>
        <w:t xml:space="preserve">publication rate, the median time to publication and every model are unaffected.</w:t>
      </w:r>
    </w:p>
    <w:p>
      <w:pPr>
        <w:pStyle w:val="BodyText"/>
      </w:pPr>
      <w:r>
        <w:t xml:space="preserve">It does</w:t>
      </w:r>
      <w:r>
        <w:t xml:space="preserve"> </w:t>
      </w:r>
      <w:r>
        <w:rPr>
          <w:b/>
          <w:bCs/>
        </w:rPr>
        <w:t xml:space="preserve">not</w:t>
      </w:r>
      <w:r>
        <w:t xml:space="preserve"> </w:t>
      </w:r>
      <w:r>
        <w:t xml:space="preserve">settle whether a reviewer’s</w:t>
      </w:r>
      <w:r>
        <w:t xml:space="preserve"> </w:t>
      </w:r>
      <w:r>
        <w:rPr>
          <w:rStyle w:val="VerbatimChar"/>
        </w:rPr>
        <w:t xml:space="preserve">match</w:t>
      </w:r>
      <w:r>
        <w:t xml:space="preserve"> </w:t>
      </w:r>
      <w:r>
        <w:t xml:space="preserve">should override a</w:t>
      </w:r>
      <w:r>
        <w:t xml:space="preserve"> </w:t>
      </w:r>
      <w:r>
        <w:t xml:space="preserve">pre-congress exclusion. That is the separate question of branch order in</w:t>
      </w:r>
      <w:r>
        <w:t xml:space="preserve"> </w:t>
      </w:r>
      <w:r>
        <w:rPr>
          <w:rStyle w:val="VerbatimChar"/>
        </w:rPr>
        <w:t xml:space="preserve">assign_final_published()</w:t>
      </w:r>
      <w:r>
        <w:t xml:space="preserve">, it is what moves the numerator between 178 and 174,</w:t>
      </w:r>
      <w:r>
        <w:t xml:space="preserve"> </w:t>
      </w:r>
      <w:r>
        <w:t xml:space="preserve">and it remains open.</w:t>
      </w:r>
    </w:p>
    <w:bookmarkEnd w:id="216"/>
    <w:bookmarkStart w:id="217" w:name="a18.3-what-still-needs-doing"/>
    <w:p>
      <w:pPr>
        <w:pStyle w:val="Heading3"/>
      </w:pPr>
      <w:r>
        <w:t xml:space="preserve">A18.3 What still needs doing</w:t>
      </w:r>
    </w:p>
    <w:p>
      <w:pPr>
        <w:pStyle w:val="FirstParagraph"/>
      </w:pPr>
      <w:r>
        <w:rPr>
          <w:rStyle w:val="VerbatimChar"/>
        </w:rPr>
        <w:t xml:space="preserve">output/excluded_pre_congress_publications.csv</w:t>
      </w:r>
      <w:r>
        <w:t xml:space="preserve"> </w:t>
      </w:r>
      <w:r>
        <w:t xml:space="preserve">is on the electronic basis and</w:t>
      </w:r>
      <w:r>
        <w:t xml:space="preserve"> </w:t>
      </w:r>
      <w:r>
        <w:t xml:space="preserve">is therefore inconsistent with the decision. It is evidence rather than an input</w:t>
      </w:r>
      <w:r>
        <w:t xml:space="preserve"> </w:t>
      </w:r>
      <w:r>
        <w:t xml:space="preserve">to any reported figure, so nothing downstream is wrong today, but it should be</w:t>
      </w:r>
      <w:r>
        <w:t xml:space="preserve"> </w:t>
      </w:r>
      <w:r>
        <w:t xml:space="preserve">regenerated before the branch-order question is settled, because the two bases</w:t>
      </w:r>
      <w:r>
        <w:t xml:space="preserve"> </w:t>
      </w:r>
      <w:r>
        <w:t xml:space="preserve">identify different sets. Measured on issue dates, three abstracts carry negative</w:t>
      </w:r>
      <w:r>
        <w:t xml:space="preserve"> </w:t>
      </w:r>
      <w:r>
        <w:t xml:space="preserve">intervals and are absent from that file, while some of its 39 entries would no</w:t>
      </w:r>
      <w:r>
        <w:t xml:space="preserve"> </w:t>
      </w:r>
      <w:r>
        <w:t xml:space="preserve">longer qualify. Whether the open question concerns four abstracts or seven</w:t>
      </w:r>
      <w:r>
        <w:t xml:space="preserve"> </w:t>
      </w:r>
      <w:r>
        <w:t xml:space="preserve">depends on that regeneration.</w:t>
      </w:r>
    </w:p>
    <w:bookmarkEnd w:id="217"/>
    <w:bookmarkStart w:id="218" w:name="a18.4-the-guard"/>
    <w:p>
      <w:pPr>
        <w:pStyle w:val="Heading3"/>
      </w:pPr>
      <w:r>
        <w:t xml:space="preserve">A18.4 The guard</w:t>
      </w:r>
    </w:p>
    <w:p>
      <w:pPr>
        <w:pStyle w:val="FirstParagraph"/>
      </w:pPr>
      <w:r>
        <w:rPr>
          <w:rStyle w:val="VerbatimChar"/>
        </w:rPr>
        <w:t xml:space="preserve">tests/testthat/test-publication_date_basis.R</w:t>
      </w:r>
      <w:r>
        <w:t xml:space="preserve"> </w:t>
      </w:r>
      <w:r>
        <w:t xml:space="preserve">prevents the ambiguity returning.</w:t>
      </w:r>
      <w:r>
        <w:t xml:space="preserve"> </w:t>
      </w:r>
      <w:r>
        <w:t xml:space="preserve">It fails if the parser stops reading</w:t>
      </w:r>
      <w:r>
        <w:t xml:space="preserve"> </w:t>
      </w:r>
      <w:r>
        <w:rPr>
          <w:rStyle w:val="VerbatimChar"/>
        </w:rPr>
        <w:t xml:space="preserve">JournalIssue/PubDate</w:t>
      </w:r>
      <w:r>
        <w:t xml:space="preserve"> </w:t>
      </w:r>
      <w:r>
        <w:t xml:space="preserve">or starts assigning</w:t>
      </w:r>
      <w:r>
        <w:t xml:space="preserve"> </w:t>
      </w:r>
      <w:r>
        <w:t xml:space="preserve">the date from</w:t>
      </w:r>
      <w:r>
        <w:t xml:space="preserve"> </w:t>
      </w:r>
      <w:r>
        <w:rPr>
          <w:rStyle w:val="VerbatimChar"/>
        </w:rPr>
        <w:t xml:space="preserve">ArticleDate</w:t>
      </w:r>
      <w:r>
        <w:t xml:space="preserve">, if the month-only default changes, if the Methods</w:t>
      </w:r>
      <w:r>
        <w:t xml:space="preserve"> </w:t>
      </w:r>
      <w:r>
        <w:t xml:space="preserve">stop defining which date is meant, and if any of the four contested intervals</w:t>
      </w:r>
      <w:r>
        <w:t xml:space="preserve"> </w:t>
      </w:r>
      <w:r>
        <w:t xml:space="preserve">stops matching the issue-date arithmetic. That last check is the sharpest: the</w:t>
      </w:r>
      <w:r>
        <w:t xml:space="preserve"> </w:t>
      </w:r>
      <w:r>
        <w:t xml:space="preserve">two bases give answers 1.5 to 4.9 months apart for those abstracts, so the</w:t>
      </w:r>
      <w:r>
        <w:t xml:space="preserve"> </w:t>
      </w:r>
      <w:r>
        <w:t xml:space="preserve">recorded interval identifies its own provenance.</w:t>
      </w:r>
    </w:p>
    <w:bookmarkEnd w:id="218"/>
    <w:bookmarkEnd w:id="219"/>
    <w:bookmarkStart w:id="226" w:name="a19.-the-pre-congress-exclusion-settled"/>
    <w:p>
      <w:pPr>
        <w:pStyle w:val="Heading2"/>
      </w:pPr>
      <w:r>
        <w:t xml:space="preserve">A19. The Pre-Congress Exclusion, Settled</w:t>
      </w:r>
    </w:p>
    <w:p>
      <w:pPr>
        <w:pStyle w:val="FirstParagraph"/>
      </w:pPr>
      <w:r>
        <w:rPr>
          <w:b/>
          <w:bCs/>
        </w:rPr>
        <w:t xml:space="preserve">PI decision, 2026-09-05: a reviewer’s</w:t>
      </w:r>
      <w:r>
        <w:rPr>
          <w:b/>
          <w:bCs/>
        </w:rPr>
        <w:t xml:space="preserve"> </w:t>
      </w:r>
      <w:r>
        <w:rPr>
          <w:rStyle w:val="VerbatimChar"/>
          <w:b/>
          <w:bCs/>
        </w:rPr>
        <w:t xml:space="preserve">match</w:t>
      </w:r>
      <w:r>
        <w:rPr>
          <w:b/>
          <w:bCs/>
        </w:rPr>
        <w:t xml:space="preserve"> </w:t>
      </w:r>
      <w:r>
        <w:rPr>
          <w:b/>
          <w:bCs/>
        </w:rPr>
        <w:t xml:space="preserve">does not override the</w:t>
      </w:r>
      <w:r>
        <w:rPr>
          <w:b/>
          <w:bCs/>
        </w:rPr>
        <w:t xml:space="preserve"> </w:t>
      </w:r>
      <w:r>
        <w:rPr>
          <w:b/>
          <w:bCs/>
        </w:rPr>
        <w:t xml:space="preserve">pre-congress exclusion.</w:t>
      </w:r>
      <w:r>
        <w:t xml:space="preserve"> </w:t>
      </w:r>
      <w:r>
        <w:t xml:space="preserve">This is the rule the study now uses, and it changed</w:t>
      </w:r>
      <w:r>
        <w:t xml:space="preserve"> </w:t>
      </w:r>
      <w:r>
        <w:t xml:space="preserve">the numerator.</w:t>
      </w:r>
    </w:p>
    <w:bookmarkStart w:id="220" w:name="a19.1-the-rule"/>
    <w:p>
      <w:pPr>
        <w:pStyle w:val="Heading3"/>
      </w:pPr>
      <w:r>
        <w:t xml:space="preserve">A19.1 The rule</w:t>
      </w:r>
    </w:p>
    <w:p>
      <w:pPr>
        <w:pStyle w:val="FirstParagraph"/>
      </w:pPr>
      <w:r>
        <w:t xml:space="preserve">A publication that appeared before the congress cannot be a</w:t>
      </w:r>
      <w:r>
        <w:t xml:space="preserve"> </w:t>
      </w:r>
      <w:r>
        <w:t xml:space="preserve">conference-to-publication conversion. The comparison uses the print issue date</w:t>
      </w:r>
      <w:r>
        <w:t xml:space="preserve"> </w:t>
      </w:r>
      <w:r>
        <w:t xml:space="preserve">(A18) of the publication actually credited to the abstract, and the test is the</w:t>
      </w:r>
      <w:r>
        <w:t xml:space="preserve"> </w:t>
      </w:r>
      <w:r>
        <w:rPr>
          <w:b/>
          <w:bCs/>
        </w:rPr>
        <w:t xml:space="preserve">first</w:t>
      </w:r>
      <w:r>
        <w:t xml:space="preserve"> </w:t>
      </w:r>
      <w:r>
        <w:t xml:space="preserve">branch of the outcome cascade in</w:t>
      </w:r>
      <w:r>
        <w:t xml:space="preserve"> </w:t>
      </w:r>
      <w:r>
        <w:rPr>
          <w:rStyle w:val="VerbatimChar"/>
        </w:rPr>
        <w:t xml:space="preserve">assign_final_published()</w:t>
      </w:r>
      <w:r>
        <w:t xml:space="preserve">, ahead of</w:t>
      </w:r>
      <w:r>
        <w:t xml:space="preserve"> </w:t>
      </w:r>
      <w:r>
        <w:t xml:space="preserve">both</w:t>
      </w:r>
      <w:r>
        <w:t xml:space="preserve"> </w:t>
      </w:r>
      <w:r>
        <w:rPr>
          <w:rStyle w:val="VerbatimChar"/>
        </w:rPr>
        <w:t xml:space="preserve">classification == "definite"</w:t>
      </w:r>
      <w:r>
        <w:t xml:space="preserve"> </w:t>
      </w:r>
      <w:r>
        <w:t xml:space="preserve">and the reviewer verdict.</w:t>
      </w:r>
    </w:p>
    <w:p>
      <w:pPr>
        <w:pStyle w:val="BodyText"/>
      </w:pPr>
      <w:r>
        <w:t xml:space="preserve">An abstract failing the test stays in the cohort and is counted unpublished. It</w:t>
      </w:r>
      <w:r>
        <w:t xml:space="preserve"> </w:t>
      </w:r>
      <w:r>
        <w:t xml:space="preserve">does not leave the study, so the denominator is untouched.</w:t>
      </w:r>
    </w:p>
    <w:p>
      <w:pPr>
        <w:pStyle w:val="BodyText"/>
      </w:pPr>
      <w:r>
        <w:t xml:space="preserve">A missing interval is not treated as pre-congress. An abstract whose credited</w:t>
      </w:r>
      <w:r>
        <w:t xml:space="preserve"> </w:t>
      </w:r>
      <w:r>
        <w:t xml:space="preserve">publication has no resolvable date is undated, not early, and is decided on the</w:t>
      </w:r>
      <w:r>
        <w:t xml:space="preserve"> </w:t>
      </w:r>
      <w:r>
        <w:t xml:space="preserve">evidence that exists.</w:t>
      </w:r>
    </w:p>
    <w:bookmarkEnd w:id="220"/>
    <w:bookmarkStart w:id="221" w:name="X4a6b22448b23e87369738be43e33552dc5d9b7c"/>
    <w:p>
      <w:pPr>
        <w:pStyle w:val="Heading3"/>
      </w:pPr>
      <w:r>
        <w:t xml:space="preserve">A19.2 Why the classification could not be used as the test</w:t>
      </w:r>
    </w:p>
    <w:p>
      <w:pPr>
        <w:pStyle w:val="FirstParagraph"/>
      </w:pPr>
      <w:r>
        <w:t xml:space="preserve">The obvious implementation is to trust</w:t>
      </w:r>
      <w:r>
        <w:t xml:space="preserve"> </w:t>
      </w:r>
      <w:r>
        <w:rPr>
          <w:rStyle w:val="VerbatimChar"/>
        </w:rPr>
        <w:t xml:space="preserve">classification == "excluded"</w:t>
      </w:r>
      <w:r>
        <w:t xml:space="preserve">, which the</w:t>
      </w:r>
      <w:r>
        <w:t xml:space="preserve"> </w:t>
      </w:r>
      <w:r>
        <w:t xml:space="preserve">scorer already sets when the best candidate predates the congress. That would</w:t>
      </w:r>
      <w:r>
        <w:t xml:space="preserve"> </w:t>
      </w:r>
      <w:r>
        <w:t xml:space="preserve">have been wrong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classification</w:t>
            </w:r>
          </w:p>
        </w:tc>
        <w:tc>
          <w:tcPr/>
          <w:p>
            <w:pPr>
              <w:pStyle w:val="Compact"/>
            </w:pPr>
            <w:r>
              <w:t xml:space="preserve">why the classification misses it</w:t>
            </w:r>
          </w:p>
        </w:tc>
      </w:tr>
      <w:tr>
        <w:tc>
          <w:tcPr/>
          <w:p>
            <w:pPr>
              <w:pStyle w:val="Compact"/>
            </w:pPr>
            <w:r>
              <w:t xml:space="preserve">AAGL2018_002</w:t>
            </w:r>
          </w:p>
        </w:tc>
        <w:tc>
          <w:tcPr/>
          <w:p>
            <w:pPr>
              <w:pStyle w:val="Compact"/>
            </w:pPr>
            <w:r>
              <w:rPr>
                <w:rStyle w:val="VerbatimChar"/>
              </w:rPr>
              <w:t xml:space="preserve">no_match</w:t>
            </w:r>
          </w:p>
        </w:tc>
        <w:tc>
          <w:tcPr/>
          <w:p>
            <w:pPr>
              <w:pStyle w:val="Compact"/>
            </w:pPr>
            <w:r>
              <w:t xml:space="preserve">reviewer supplied PMID 29454147; the penalty was computed against best candidate 39220672</w:t>
            </w:r>
          </w:p>
        </w:tc>
      </w:tr>
      <w:tr>
        <w:tc>
          <w:tcPr/>
          <w:p>
            <w:pPr>
              <w:pStyle w:val="Compact"/>
            </w:pPr>
            <w:r>
              <w:t xml:space="preserve">AAGL2018_019</w:t>
            </w:r>
          </w:p>
        </w:tc>
        <w:tc>
          <w:tcPr/>
          <w:p>
            <w:pPr>
              <w:pStyle w:val="Compact"/>
            </w:pPr>
            <w:r>
              <w:rPr>
                <w:rStyle w:val="VerbatimChar"/>
              </w:rPr>
              <w:t xml:space="preserve">no_match</w:t>
            </w:r>
          </w:p>
        </w:tc>
        <w:tc>
          <w:tcPr/>
          <w:p>
            <w:pPr>
              <w:pStyle w:val="Compact"/>
            </w:pPr>
            <w:r>
              <w:t xml:space="preserve">same, PMID 29408695 against best candidate 34136570</w:t>
            </w:r>
          </w:p>
        </w:tc>
      </w:tr>
      <w:tr>
        <w:tc>
          <w:tcPr/>
          <w:p>
            <w:pPr>
              <w:pStyle w:val="Compact"/>
            </w:pPr>
            <w:r>
              <w:t xml:space="preserve">AAGL2015_010</w:t>
            </w:r>
          </w:p>
        </w:tc>
        <w:tc>
          <w:tcPr/>
          <w:p>
            <w:pPr>
              <w:pStyle w:val="Compact"/>
            </w:pPr>
            <w:r>
              <w:rPr>
                <w:rStyle w:val="VerbatimChar"/>
              </w:rPr>
              <w:t xml:space="preserve">definite</w:t>
            </w:r>
          </w:p>
        </w:tc>
        <w:tc>
          <w:tcPr/>
          <w:p>
            <w:pPr>
              <w:pStyle w:val="Compact"/>
            </w:pPr>
            <w:r>
              <w:t xml:space="preserve">credited paper predates the congress by two weeks, but scored</w:t>
            </w:r>
            <w:r>
              <w:t xml:space="preserve"> </w:t>
            </w:r>
            <w:r>
              <w:rPr>
                <w:rStyle w:val="VerbatimChar"/>
              </w:rPr>
              <w:t xml:space="preserve">definite</w:t>
            </w:r>
            <w:r>
              <w:t xml:space="preserve"> </w:t>
            </w:r>
            <w:r>
              <w:t xml:space="preserve">and branch 1 won outright</w:t>
            </w:r>
          </w:p>
        </w:tc>
      </w:tr>
    </w:tbl>
    <w:p>
      <w:pPr>
        <w:pStyle w:val="BodyText"/>
      </w:pPr>
      <w:r>
        <w:t xml:space="preserve">The first two are the sharper problem.</w:t>
      </w:r>
      <w:r>
        <w:t xml:space="preserve"> </w:t>
      </w:r>
      <w:r>
        <w:rPr>
          <w:rStyle w:val="VerbatimChar"/>
        </w:rPr>
        <w:t xml:space="preserve">R/05_adjudicate.R</w:t>
      </w:r>
      <w:r>
        <w:t xml:space="preserve"> </w:t>
      </w:r>
      <w:r>
        <w:t xml:space="preserve">joins publication</w:t>
      </w:r>
      <w:r>
        <w:t xml:space="preserve"> </w:t>
      </w:r>
      <w:r>
        <w:t xml:space="preserve">metadata on</w:t>
      </w:r>
      <w:r>
        <w:t xml:space="preserve"> </w:t>
      </w:r>
      <w:r>
        <w:rPr>
          <w:rStyle w:val="VerbatimChar"/>
        </w:rPr>
        <w:t xml:space="preserve">best_pmid</w:t>
      </w:r>
      <w:r>
        <w:t xml:space="preserve"> </w:t>
      </w:r>
      <w:r>
        <w:t xml:space="preserve">and runs before the reviewer decisions are read, so</w:t>
      </w:r>
      <w:r>
        <w:t xml:space="preserve"> </w:t>
      </w:r>
      <w:r>
        <w:t xml:space="preserve">where a reviewer supplied a different PMID the interval described the wrong</w:t>
      </w:r>
      <w:r>
        <w:t xml:space="preserve"> </w:t>
      </w:r>
      <w:r>
        <w:t xml:space="preserve">paper, and for these two it was missing entirely.</w:t>
      </w:r>
      <w:r>
        <w:t xml:space="preserve"> </w:t>
      </w:r>
      <w:r>
        <w:rPr>
          <w:rStyle w:val="VerbatimChar"/>
        </w:rPr>
        <w:t xml:space="preserve">R/06_analyze_results.R</w:t>
      </w:r>
      <w:r>
        <w:t xml:space="preserve"> </w:t>
      </w:r>
      <w:r>
        <w:t xml:space="preserve">re-joins on</w:t>
      </w:r>
      <w:r>
        <w:t xml:space="preserve"> </w:t>
      </w:r>
      <w:r>
        <w:rPr>
          <w:rStyle w:val="VerbatimChar"/>
        </w:rPr>
        <w:t xml:space="preserve">final_pmid</w:t>
      </w:r>
      <w:r>
        <w:t xml:space="preserve">, and only after that is the interval the one the rule</w:t>
      </w:r>
      <w:r>
        <w:t xml:space="preserve"> </w:t>
      </w:r>
      <w:r>
        <w:t xml:space="preserve">is about, at 10.3 months before the congress for both.</w:t>
      </w:r>
    </w:p>
    <w:p>
      <w:pPr>
        <w:pStyle w:val="BodyText"/>
      </w:pPr>
      <w:r>
        <w:t xml:space="preserve">The rule is therefore applied twice: once inside</w:t>
      </w:r>
      <w:r>
        <w:t xml:space="preserve"> </w:t>
      </w:r>
      <w:r>
        <w:rPr>
          <w:rStyle w:val="VerbatimChar"/>
        </w:rPr>
        <w:t xml:space="preserve">assign_final_published()</w:t>
      </w:r>
      <w:r>
        <w:t xml:space="preserve">, so</w:t>
      </w:r>
      <w:r>
        <w:t xml:space="preserve"> </w:t>
      </w:r>
      <w:r>
        <w:t xml:space="preserve">every caller gets it, and once more in 06 via</w:t>
      </w:r>
      <w:r>
        <w:t xml:space="preserve"> </w:t>
      </w:r>
      <w:r>
        <w:rPr>
          <w:rStyle w:val="VerbatimChar"/>
        </w:rPr>
        <w:t xml:space="preserve">apply_pre_congress_exclusion()</w:t>
      </w:r>
      <w:r>
        <w:t xml:space="preserve"> </w:t>
      </w:r>
      <w:r>
        <w:t xml:space="preserve">after the refresh. The second application is</w:t>
      </w:r>
      <w:r>
        <w:t xml:space="preserve"> </w:t>
      </w:r>
      <w:r>
        <w:t xml:space="preserve">what catches those two, and 06 reports how many it removed.</w:t>
      </w:r>
    </w:p>
    <w:bookmarkEnd w:id="221"/>
    <w:bookmarkStart w:id="222" w:name="a19.3-a-drift-this-exposed"/>
    <w:p>
      <w:pPr>
        <w:pStyle w:val="Heading3"/>
      </w:pPr>
      <w:r>
        <w:t xml:space="preserve">A19.3 A drift this exposed</w:t>
      </w:r>
    </w:p>
    <w:p>
      <w:pPr>
        <w:pStyle w:val="FirstParagraph"/>
      </w:pPr>
      <w:r>
        <w:rPr>
          <w:rStyle w:val="VerbatimChar"/>
        </w:rPr>
        <w:t xml:space="preserve">R/07_make_tables.R</w:t>
      </w:r>
      <w:r>
        <w:t xml:space="preserve"> </w:t>
      </w:r>
      <w:r>
        <w:t xml:space="preserve">and</w:t>
      </w:r>
      <w:r>
        <w:t xml:space="preserve"> </w:t>
      </w:r>
      <w:r>
        <w:rPr>
          <w:rStyle w:val="VerbatimChar"/>
        </w:rPr>
        <w:t xml:space="preserve">R/08_make_figures.R</w:t>
      </w:r>
      <w:r>
        <w:t xml:space="preserve"> </w:t>
      </w:r>
      <w:r>
        <w:t xml:space="preserve">recompute the outcome from</w:t>
      </w:r>
      <w:r>
        <w:t xml:space="preserve"> </w:t>
      </w:r>
      <w:r>
        <w:rPr>
          <w:rStyle w:val="VerbatimChar"/>
        </w:rPr>
        <w:t xml:space="preserve">abstracts_with_matches.csv</w:t>
      </w:r>
      <w:r>
        <w:t xml:space="preserve"> </w:t>
      </w:r>
      <w:r>
        <w:t xml:space="preserve">through the same cascade, with comments saying this</w:t>
      </w:r>
      <w:r>
        <w:t xml:space="preserve"> </w:t>
      </w:r>
      <w:r>
        <w:t xml:space="preserve">exists so they cannot drift from the analysis. They can: 06 refreshes the</w:t>
      </w:r>
      <w:r>
        <w:t xml:space="preserve"> </w:t>
      </w:r>
      <w:r>
        <w:t xml:space="preserve">interval before applying the exclusion and they do not, so after this change the</w:t>
      </w:r>
      <w:r>
        <w:t xml:space="preserve"> </w:t>
      </w:r>
      <w:r>
        <w:t xml:space="preserve">same abstract would have been unpublished in the analysis and published in the</w:t>
      </w:r>
      <w:r>
        <w:t xml:space="preserve"> </w:t>
      </w:r>
      <w:r>
        <w:t xml:space="preserve">tables. Both now adopt the settled outcome from</w:t>
      </w:r>
      <w:r>
        <w:t xml:space="preserve"> </w:t>
      </w:r>
      <w:r>
        <w:rPr>
          <w:rStyle w:val="VerbatimChar"/>
        </w:rPr>
        <w:t xml:space="preserve">output/final_analytical_dataset.csv</w:t>
      </w:r>
      <w:r>
        <w:t xml:space="preserve"> </w:t>
      </w:r>
      <w:r>
        <w:t xml:space="preserve">through</w:t>
      </w:r>
      <w:r>
        <w:t xml:space="preserve"> </w:t>
      </w:r>
      <w:r>
        <w:rPr>
          <w:rStyle w:val="VerbatimChar"/>
        </w:rPr>
        <w:t xml:space="preserve">adopt_analysis_outcome()</w:t>
      </w:r>
      <w:r>
        <w:t xml:space="preserve">. They</w:t>
      </w:r>
      <w:r>
        <w:t xml:space="preserve"> </w:t>
      </w:r>
      <w:r>
        <w:t xml:space="preserve">run after 06 in</w:t>
      </w:r>
      <w:r>
        <w:t xml:space="preserve"> </w:t>
      </w:r>
      <w:r>
        <w:rPr>
          <w:rStyle w:val="VerbatimChar"/>
        </w:rPr>
        <w:t xml:space="preserve">00_run_all.R</w:t>
      </w:r>
      <w:r>
        <w:t xml:space="preserve">, so it is available.</w:t>
      </w:r>
    </w:p>
    <w:bookmarkEnd w:id="222"/>
    <w:bookmarkStart w:id="223" w:name="a19.4-what-moved"/>
    <w:p>
      <w:pPr>
        <w:pStyle w:val="Heading3"/>
      </w:pPr>
      <w:r>
        <w:t xml:space="preserve">A19.4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178</w:t>
            </w:r>
          </w:p>
        </w:tc>
        <w:tc>
          <w:tcPr/>
          <w:p>
            <w:pPr>
              <w:pStyle w:val="Compact"/>
              <w:jc w:val="right"/>
            </w:pPr>
            <w:r>
              <w:rPr>
                <w:b/>
                <w:bCs/>
              </w:rPr>
              <w:t xml:space="preserve">171</w:t>
            </w:r>
          </w:p>
        </w:tc>
      </w:tr>
      <w:tr>
        <w:tc>
          <w:tcPr/>
          <w:p>
            <w:pPr>
              <w:pStyle w:val="Compact"/>
            </w:pPr>
            <w:r>
              <w:t xml:space="preserve">Not published</w:t>
            </w:r>
          </w:p>
        </w:tc>
        <w:tc>
          <w:tcPr/>
          <w:p>
            <w:pPr>
              <w:pStyle w:val="Compact"/>
              <w:jc w:val="right"/>
            </w:pPr>
            <w:r>
              <w:t xml:space="preserve">873</w:t>
            </w:r>
          </w:p>
        </w:tc>
        <w:tc>
          <w:tcPr/>
          <w:p>
            <w:pPr>
              <w:pStyle w:val="Compact"/>
              <w:jc w:val="right"/>
            </w:pPr>
            <w:r>
              <w:t xml:space="preserve">880</w:t>
            </w:r>
          </w:p>
        </w:tc>
      </w:tr>
      <w:tr>
        <w:tc>
          <w:tcPr/>
          <w:p>
            <w:pPr>
              <w:pStyle w:val="Compact"/>
            </w:pPr>
            <w:r>
              <w:t xml:space="preserve">Denominator</w:t>
            </w:r>
          </w:p>
        </w:tc>
        <w:tc>
          <w:tcPr/>
          <w:p>
            <w:pPr>
              <w:pStyle w:val="Compact"/>
              <w:jc w:val="right"/>
            </w:pPr>
            <w:r>
              <w:t xml:space="preserve">1,051</w:t>
            </w:r>
          </w:p>
        </w:tc>
        <w:tc>
          <w:tcPr/>
          <w:p>
            <w:pPr>
              <w:pStyle w:val="Compact"/>
              <w:jc w:val="right"/>
            </w:pPr>
            <w:r>
              <w:rPr>
                <w:b/>
                <w:bCs/>
              </w:rPr>
              <w:t xml:space="preserve">1,051</w:t>
            </w:r>
          </w:p>
        </w:tc>
      </w:tr>
      <w:tr>
        <w:tc>
          <w:tcPr/>
          <w:p>
            <w:pPr>
              <w:pStyle w:val="Compact"/>
            </w:pPr>
            <w:r>
              <w:t xml:space="preserve">Publication rate</w:t>
            </w:r>
          </w:p>
        </w:tc>
        <w:tc>
          <w:tcPr/>
          <w:p>
            <w:pPr>
              <w:pStyle w:val="Compact"/>
              <w:jc w:val="right"/>
            </w:pPr>
            <w:r>
              <w:t xml:space="preserve">16.9%</w:t>
            </w:r>
          </w:p>
        </w:tc>
        <w:tc>
          <w:tcPr/>
          <w:p>
            <w:pPr>
              <w:pStyle w:val="Compact"/>
              <w:jc w:val="right"/>
            </w:pPr>
            <w:r>
              <w:rPr>
                <w:b/>
                <w:bCs/>
              </w:rPr>
              <w:t xml:space="preserve">16.3%</w:t>
            </w:r>
          </w:p>
        </w:tc>
      </w:tr>
      <w:tr>
        <w:tc>
          <w:tcPr/>
          <w:p>
            <w:pPr>
              <w:pStyle w:val="Compact"/>
            </w:pPr>
            <w:r>
              <w:t xml:space="preserve">Wilson 95% CI</w:t>
            </w:r>
          </w:p>
        </w:tc>
        <w:tc>
          <w:tcPr/>
          <w:p>
            <w:pPr>
              <w:pStyle w:val="Compact"/>
              <w:jc w:val="right"/>
            </w:pPr>
            <w:r>
              <w:t xml:space="preserve">14.8-19.3</w:t>
            </w:r>
          </w:p>
        </w:tc>
        <w:tc>
          <w:tcPr/>
          <w:p>
            <w:pPr>
              <w:pStyle w:val="Compact"/>
              <w:jc w:val="right"/>
            </w:pPr>
            <w:r>
              <w:t xml:space="preserve">14.2-18.6</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13.7 mo</w:t>
            </w:r>
          </w:p>
        </w:tc>
      </w:tr>
      <w:tr>
        <w:tc>
          <w:tcPr/>
          <w:p>
            <w:pPr>
              <w:pStyle w:val="Compact"/>
            </w:pPr>
            <w:r>
              <w:t xml:space="preserve">Published with usable interval</w:t>
            </w:r>
          </w:p>
        </w:tc>
        <w:tc>
          <w:tcPr/>
          <w:p>
            <w:pPr>
              <w:pStyle w:val="Compact"/>
              <w:jc w:val="right"/>
            </w:pPr>
            <w:r>
              <w:t xml:space="preserve">171</w:t>
            </w:r>
          </w:p>
        </w:tc>
        <w:tc>
          <w:tcPr/>
          <w:p>
            <w:pPr>
              <w:pStyle w:val="Compact"/>
              <w:jc w:val="right"/>
            </w:pPr>
            <w:r>
              <w:t xml:space="preserve">171</w:t>
            </w:r>
          </w:p>
        </w:tc>
      </w:tr>
      <w:tr>
        <w:tc>
          <w:tcPr/>
          <w:p>
            <w:pPr>
              <w:pStyle w:val="Compact"/>
            </w:pPr>
            <w:r>
              <w:t xml:space="preserve">Published dated before their congress</w:t>
            </w:r>
          </w:p>
        </w:tc>
        <w:tc>
          <w:tcPr/>
          <w:p>
            <w:pPr>
              <w:pStyle w:val="Compact"/>
              <w:jc w:val="right"/>
            </w:pPr>
            <w:r>
              <w:t xml:space="preserve">7</w:t>
            </w:r>
          </w:p>
        </w:tc>
        <w:tc>
          <w:tcPr/>
          <w:p>
            <w:pPr>
              <w:pStyle w:val="Compact"/>
              <w:jc w:val="right"/>
            </w:pPr>
            <w:r>
              <w:rPr>
                <w:b/>
                <w:bCs/>
              </w:rPr>
              <w:t xml:space="preserve">0</w:t>
            </w:r>
          </w:p>
        </w:tc>
      </w:tr>
      <w:tr>
        <w:tc>
          <w:tcPr/>
          <w:p>
            <w:pPr>
              <w:pStyle w:val="Compact"/>
            </w:pPr>
            <w:r>
              <w:t xml:space="preserve">Cox N / events</w:t>
            </w:r>
          </w:p>
        </w:tc>
        <w:tc>
          <w:tcPr/>
          <w:p>
            <w:pPr>
              <w:pStyle w:val="Compact"/>
              <w:jc w:val="right"/>
            </w:pPr>
            <w:r>
              <w:t xml:space="preserve">1,020 / 171</w:t>
            </w:r>
          </w:p>
        </w:tc>
        <w:tc>
          <w:tcPr/>
          <w:p>
            <w:pPr>
              <w:pStyle w:val="Compact"/>
              <w:jc w:val="right"/>
            </w:pPr>
            <w:r>
              <w:t xml:space="preserve">1,027 / 171</w:t>
            </w:r>
          </w:p>
        </w:tc>
      </w:tr>
      <w:tr>
        <w:tc>
          <w:tcPr/>
          <w:p>
            <w:pPr>
              <w:pStyle w:val="Compact"/>
            </w:pPr>
            <w:r>
              <w:t xml:space="preserve">Logistic N</w:t>
            </w:r>
          </w:p>
        </w:tc>
        <w:tc>
          <w:tcPr/>
          <w:p>
            <w:pPr>
              <w:pStyle w:val="Compact"/>
              <w:jc w:val="right"/>
            </w:pPr>
            <w:r>
              <w:t xml:space="preserve">1,027</w:t>
            </w:r>
          </w:p>
        </w:tc>
        <w:tc>
          <w:tcPr/>
          <w:p>
            <w:pPr>
              <w:pStyle w:val="Compact"/>
              <w:jc w:val="right"/>
            </w:pPr>
            <w:r>
              <w:t xml:space="preserve">1,027</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0.041</w:t>
            </w:r>
          </w:p>
        </w:tc>
      </w:tr>
    </w:tbl>
    <w:p>
      <w:pPr>
        <w:pStyle w:val="BodyText"/>
      </w:pPr>
      <w:r>
        <w:t xml:space="preserve">The denominator does not move, and neither does the median time to publication:</w:t>
      </w:r>
      <w:r>
        <w:t xml:space="preserve"> </w:t>
      </w:r>
      <w:r>
        <w:t xml:space="preserve">these abstracts had negative intervals and were already outside the</w:t>
      </w:r>
      <w:r>
        <w:t xml:space="preserve"> </w:t>
      </w:r>
      <w:r>
        <w:t xml:space="preserve">time-to-event analysis. The Cox model gains seven observations, because an</w:t>
      </w:r>
      <w:r>
        <w:t xml:space="preserve"> </w:t>
      </w:r>
      <w:r>
        <w:t xml:space="preserve">abstract counted unpublished contributes censored follow-up whereas one counted</w:t>
      </w:r>
      <w:r>
        <w:t xml:space="preserve"> </w:t>
      </w:r>
      <w:r>
        <w:t xml:space="preserve">published with a negative interval is discarded by the</w:t>
      </w:r>
      <w:r>
        <w:t xml:space="preserve"> </w:t>
      </w:r>
      <w:r>
        <w:rPr>
          <w:rStyle w:val="VerbatimChar"/>
        </w:rPr>
        <w:t xml:space="preserve">time &gt; 0</w:t>
      </w:r>
      <w:r>
        <w:t xml:space="preserve"> </w:t>
      </w:r>
      <w:r>
        <w:t xml:space="preserve">filter.</w:t>
      </w:r>
    </w:p>
    <w:p>
      <w:pPr>
        <w:pStyle w:val="BodyText"/>
      </w:pPr>
      <w:r>
        <w:rPr>
          <w:rStyle w:val="VerbatimChar"/>
        </w:rPr>
        <w:t xml:space="preserve">n_pre_congress</w:t>
      </w:r>
      <w:r>
        <w:t xml:space="preserve"> </w:t>
      </w:r>
      <w:r>
        <w:t xml:space="preserve">falling from 7 to 0 is the rule verifying itself. The estimand</w:t>
      </w:r>
      <w:r>
        <w:t xml:space="preserve"> </w:t>
      </w:r>
      <w:r>
        <w:t xml:space="preserve">is now internally coherent:</w:t>
      </w:r>
      <w:r>
        <w:t xml:space="preserve"> </w:t>
      </w:r>
      <w:r>
        <w:t xml:space="preserve">“published”</w:t>
      </w:r>
      <w:r>
        <w:t xml:space="preserve"> </w:t>
      </w:r>
      <w:r>
        <w:t xml:space="preserve">means</w:t>
      </w:r>
      <w:r>
        <w:t xml:space="preserve"> </w:t>
      </w:r>
      <w:r>
        <w:t xml:space="preserve">“published after the congress”</w:t>
      </w:r>
      <w:r>
        <w:t xml:space="preserve">, by</w:t>
      </w:r>
      <w:r>
        <w:t xml:space="preserve"> </w:t>
      </w:r>
      <w:r>
        <w:t xml:space="preserve">construction rather than by convention.</w:t>
      </w:r>
    </w:p>
    <w:bookmarkEnd w:id="223"/>
    <w:bookmarkStart w:id="224" w:name="a19.5-the-evidence-file"/>
    <w:p>
      <w:pPr>
        <w:pStyle w:val="Heading3"/>
      </w:pPr>
      <w:r>
        <w:t xml:space="preserve">A19.5 The evidence file</w:t>
      </w:r>
    </w:p>
    <w:p>
      <w:pPr>
        <w:pStyle w:val="FirstParagraph"/>
      </w:pPr>
      <w:r>
        <w:rPr>
          <w:rStyle w:val="VerbatimChar"/>
        </w:rPr>
        <w:t xml:space="preserve">output/excluded_pre_congress_publications.csv</w:t>
      </w:r>
      <w:r>
        <w:t xml:space="preserve"> </w:t>
      </w:r>
      <w:r>
        <w:t xml:space="preserve">had no producer. It was built by</w:t>
      </w:r>
      <w:r>
        <w:t xml:space="preserve"> </w:t>
      </w:r>
      <w:r>
        <w:t xml:space="preserve">hand from electronic publication dates while the analysis measured from print</w:t>
      </w:r>
      <w:r>
        <w:t xml:space="preserve"> </w:t>
      </w:r>
      <w:r>
        <w:t xml:space="preserve">issue dates, so it described a different set from the one the rule acts on.</w:t>
      </w:r>
      <w:r>
        <w:t xml:space="preserve"> </w:t>
      </w:r>
      <w:r>
        <w:rPr>
          <w:rStyle w:val="VerbatimChar"/>
        </w:rPr>
        <w:t xml:space="preserve">scripts/pre_congress_exclusions.R</w:t>
      </w:r>
      <w:r>
        <w:t xml:space="preserve"> </w:t>
      </w:r>
      <w:r>
        <w:t xml:space="preserve">now regenerates it from the analytical</w:t>
      </w:r>
      <w:r>
        <w:t xml:space="preserve"> </w:t>
      </w:r>
      <w:r>
        <w:t xml:space="preserve">dataset on the decided basis:</w:t>
      </w:r>
      <w:r>
        <w:t xml:space="preserve"> </w:t>
      </w:r>
      <w:r>
        <w:rPr>
          <w:b/>
          <w:bCs/>
        </w:rPr>
        <w:t xml:space="preserve">42 abstracts</w:t>
      </w:r>
      <w:r>
        <w:t xml:space="preserve">, against 39 in the hand-built</w:t>
      </w:r>
      <w:r>
        <w:t xml:space="preserve"> </w:t>
      </w:r>
      <w:r>
        <w:t xml:space="preserve">file, and it fails loudly if any of them is still counted as published.</w:t>
      </w:r>
    </w:p>
    <w:bookmarkEnd w:id="224"/>
    <w:bookmarkStart w:id="225" w:name="a19.6-one-reading-weakened"/>
    <w:p>
      <w:pPr>
        <w:pStyle w:val="Heading3"/>
      </w:pPr>
      <w:r>
        <w:t xml:space="preserve">A19.6 One reading weakened</w:t>
      </w:r>
    </w:p>
    <w:p>
      <w:pPr>
        <w:pStyle w:val="FirstParagraph"/>
      </w:pPr>
      <w:r>
        <w:rPr>
          <w:rStyle w:val="VerbatimChar"/>
        </w:rPr>
        <w:t xml:space="preserve">is_academic</w:t>
      </w:r>
      <w:r>
        <w:t xml:space="preserve"> </w:t>
      </w:r>
      <w:r>
        <w:t xml:space="preserve">bootstrap retention fell from 62.0% to</w:t>
      </w:r>
      <w:r>
        <w:t xml:space="preserve"> </w:t>
      </w:r>
      <w:r>
        <w:rPr>
          <w:b/>
          <w:bCs/>
        </w:rPr>
        <w:t xml:space="preserve">50.4%</w:t>
      </w:r>
      <w:r>
        <w:t xml:space="preserve">. It was already</w:t>
      </w:r>
      <w:r>
        <w:t xml:space="preserve"> </w:t>
      </w:r>
      <w:r>
        <w:t xml:space="preserve">described as not sampling-robust; it is now retained in only about half of</w:t>
      </w:r>
      <w:r>
        <w:t xml:space="preserve"> </w:t>
      </w:r>
      <w:r>
        <w:t xml:space="preserve">resamples and should be read as suggestive at most. Its leave-one-congress-out</w:t>
      </w:r>
      <w:r>
        <w:t xml:space="preserve"> </w:t>
      </w:r>
      <w:r>
        <w:t xml:space="preserve">behaviour and its direction are unchanged.</w:t>
      </w:r>
    </w:p>
    <w:bookmarkEnd w:id="225"/>
    <w:bookmarkEnd w:id="226"/>
    <w:bookmarkStart w:id="233" w:name="Xae9da30f204daab4eeeda9aa234bf6044fcd824"/>
    <w:p>
      <w:pPr>
        <w:pStyle w:val="Heading2"/>
      </w:pPr>
      <w:r>
        <w:t xml:space="preserve">A20. A Human</w:t>
      </w:r>
      <w:r>
        <w:t xml:space="preserve"> </w:t>
      </w:r>
      <w:r>
        <w:rPr>
          <w:rStyle w:val="VerbatimChar"/>
        </w:rPr>
        <w:t xml:space="preserve">no_match</w:t>
      </w:r>
      <w:r>
        <w:t xml:space="preserve"> </w:t>
      </w:r>
      <w:r>
        <w:t xml:space="preserve">Supersedes the Algorithm</w:t>
      </w:r>
    </w:p>
    <w:p>
      <w:pPr>
        <w:pStyle w:val="FirstParagraph"/>
      </w:pPr>
      <w:r>
        <w:rPr>
          <w:b/>
          <w:bCs/>
        </w:rPr>
        <w:t xml:space="preserve">PI decision, 2026-09-05.</w:t>
      </w:r>
      <w:r>
        <w:t xml:space="preserve"> </w:t>
      </w:r>
      <w:r>
        <w:t xml:space="preserve">The second of the two outcome decisions taken that</w:t>
      </w:r>
      <w:r>
        <w:t xml:space="preserve"> </w:t>
      </w:r>
      <w:r>
        <w:t xml:space="preserve">day, and the smaller of them: the numerator moves from 171 to 170.</w:t>
      </w:r>
    </w:p>
    <w:bookmarkStart w:id="227" w:name="a20.1-the-rule"/>
    <w:p>
      <w:pPr>
        <w:pStyle w:val="Heading3"/>
      </w:pPr>
      <w:r>
        <w:t xml:space="preserve">A20.1 The rule</w:t>
      </w:r>
    </w:p>
    <w:p>
      <w:pPr>
        <w:pStyle w:val="FirstParagraph"/>
      </w:pPr>
      <w:r>
        <w:t xml:space="preserve">A reviewer who examined a candidate publication and recorded</w:t>
      </w:r>
      <w:r>
        <w:t xml:space="preserve"> </w:t>
      </w:r>
      <w:r>
        <w:rPr>
          <w:rStyle w:val="VerbatimChar"/>
        </w:rPr>
        <w:t xml:space="preserve">no_match</w:t>
      </w:r>
      <w:r>
        <w:t xml:space="preserve"> </w:t>
      </w:r>
      <w:r>
        <w:t xml:space="preserve">outranks a</w:t>
      </w:r>
      <w:r>
        <w:t xml:space="preserve"> </w:t>
      </w:r>
      <w:r>
        <w:rPr>
          <w:rStyle w:val="VerbatimChar"/>
        </w:rPr>
        <w:t xml:space="preserve">definite</w:t>
      </w:r>
      <w:r>
        <w:t xml:space="preserve"> </w:t>
      </w:r>
      <w:r>
        <w:t xml:space="preserve">classification. The branch is placed above</w:t>
      </w:r>
      <w:r>
        <w:t xml:space="preserve"> </w:t>
      </w:r>
      <w:r>
        <w:rPr>
          <w:rStyle w:val="VerbatimChar"/>
        </w:rPr>
        <w:t xml:space="preserve">classification == "definite"</w:t>
      </w:r>
      <w:r>
        <w:t xml:space="preserve"> </w:t>
      </w:r>
      <w:r>
        <w:t xml:space="preserve">in</w:t>
      </w:r>
      <w:r>
        <w:t xml:space="preserve"> </w:t>
      </w:r>
      <w:r>
        <w:rPr>
          <w:rStyle w:val="VerbatimChar"/>
        </w:rPr>
        <w:t xml:space="preserve">assign_final_published()</w:t>
      </w:r>
      <w:r>
        <w:t xml:space="preserve">, which is where the</w:t>
      </w:r>
      <w:r>
        <w:t xml:space="preserve"> </w:t>
      </w:r>
      <w:r>
        <w:t xml:space="preserve">override previously failed.</w:t>
      </w:r>
    </w:p>
    <w:p>
      <w:pPr>
        <w:pStyle w:val="BodyText"/>
      </w:pPr>
      <w:r>
        <w:t xml:space="preserve">This is not a new principle.</w:t>
      </w:r>
      <w:r>
        <w:t xml:space="preserve"> </w:t>
      </w:r>
      <w:r>
        <w:rPr>
          <w:rStyle w:val="VerbatimChar"/>
        </w:rPr>
        <w:t xml:space="preserve">dedup_decisions_for_analysis()</w:t>
      </w:r>
      <w:r>
        <w:t xml:space="preserve"> </w:t>
      </w:r>
      <w:r>
        <w:t xml:space="preserve">already discards</w:t>
      </w:r>
      <w:r>
        <w:t xml:space="preserve"> </w:t>
      </w:r>
      <w:r>
        <w:t xml:space="preserve">AUTO rows for any abstract a human has touched, on the grounds that a person’s</w:t>
      </w:r>
      <w:r>
        <w:t xml:space="preserve"> </w:t>
      </w:r>
      <w:r>
        <w:t xml:space="preserve">judgment supersedes a prefill. The decision extends that one level: a person’s</w:t>
      </w:r>
      <w:r>
        <w:t xml:space="preserve"> </w:t>
      </w:r>
      <w:r>
        <w:t xml:space="preserve">judgment also supersedes the score.</w:t>
      </w:r>
    </w:p>
    <w:bookmarkEnd w:id="227"/>
    <w:bookmarkStart w:id="228" w:name="a20.2-why-it-applies-to-humans-only"/>
    <w:p>
      <w:pPr>
        <w:pStyle w:val="Heading3"/>
      </w:pPr>
      <w:r>
        <w:t xml:space="preserve">A20.2 Why it applies to humans only</w:t>
      </w:r>
    </w:p>
    <w:p>
      <w:pPr>
        <w:pStyle w:val="FirstParagraph"/>
      </w:pPr>
      <w:r>
        <w:t xml:space="preserve">The framing that reached this decision was</w:t>
      </w:r>
      <w:r>
        <w:t xml:space="preserve"> </w:t>
      </w:r>
      <w:r>
        <w:t xml:space="preserve">“four abstracts counted published</w:t>
      </w:r>
      <w:r>
        <w:t xml:space="preserve"> </w:t>
      </w:r>
      <w:r>
        <w:t xml:space="preserve">against a human no_match”</w:t>
      </w:r>
      <w:r>
        <w:t xml:space="preserve">. Only one of the four is that.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reviewer</w:t>
            </w:r>
          </w:p>
        </w:tc>
        <w:tc>
          <w:tcPr/>
          <w:p>
            <w:pPr>
              <w:pStyle w:val="Compact"/>
            </w:pPr>
            <w:r>
              <w:t xml:space="preserve">decision trail</w:t>
            </w:r>
          </w:p>
        </w:tc>
      </w:tr>
      <w:tr>
        <w:tc>
          <w:tcPr/>
          <w:p>
            <w:pPr>
              <w:pStyle w:val="Compact"/>
            </w:pPr>
            <w:r>
              <w:t xml:space="preserve">AAGL2013_050</w:t>
            </w:r>
          </w:p>
        </w:tc>
        <w:tc>
          <w:tcPr/>
          <w:p>
            <w:pPr>
              <w:pStyle w:val="Compact"/>
            </w:pPr>
            <w:r>
              <w:t xml:space="preserve">AUTO</w:t>
            </w:r>
          </w:p>
        </w:tc>
        <w:tc>
          <w:tcPr/>
          <w:p>
            <w:pPr>
              <w:pStyle w:val="Compact"/>
            </w:pPr>
            <w:r>
              <w:rPr>
                <w:rStyle w:val="VerbatimChar"/>
              </w:rPr>
              <w:t xml:space="preserve">classification=reject, score=5.50</w:t>
            </w:r>
          </w:p>
        </w:tc>
      </w:tr>
      <w:tr>
        <w:tc>
          <w:tcPr/>
          <w:p>
            <w:pPr>
              <w:pStyle w:val="Compact"/>
            </w:pPr>
            <w:r>
              <w:t xml:space="preserve">AAGL2014_053</w:t>
            </w:r>
          </w:p>
        </w:tc>
        <w:tc>
          <w:tcPr/>
          <w:p>
            <w:pPr>
              <w:pStyle w:val="Compact"/>
            </w:pPr>
            <w:r>
              <w:t xml:space="preserve">AUTO</w:t>
            </w:r>
          </w:p>
        </w:tc>
        <w:tc>
          <w:tcPr/>
          <w:p>
            <w:pPr>
              <w:pStyle w:val="Compact"/>
            </w:pPr>
            <w:r>
              <w:rPr>
                <w:rStyle w:val="VerbatimChar"/>
              </w:rPr>
              <w:t xml:space="preserve">classification=reject, score=3.80</w:t>
            </w:r>
          </w:p>
        </w:tc>
      </w:tr>
      <w:tr>
        <w:tc>
          <w:tcPr/>
          <w:p>
            <w:pPr>
              <w:pStyle w:val="Compact"/>
            </w:pPr>
            <w:r>
              <w:t xml:space="preserve">AAGL2015_029</w:t>
            </w:r>
          </w:p>
        </w:tc>
        <w:tc>
          <w:tcPr/>
          <w:p>
            <w:pPr>
              <w:pStyle w:val="Compact"/>
            </w:pPr>
            <w:r>
              <w:t xml:space="preserve">AUTO</w:t>
            </w:r>
          </w:p>
        </w:tc>
        <w:tc>
          <w:tcPr/>
          <w:p>
            <w:pPr>
              <w:pStyle w:val="Compact"/>
            </w:pPr>
            <w:r>
              <w:rPr>
                <w:rStyle w:val="VerbatimChar"/>
              </w:rPr>
              <w:t xml:space="preserve">classification=reject, score=6.00</w:t>
            </w:r>
          </w:p>
        </w:tc>
      </w:tr>
      <w:tr>
        <w:tc>
          <w:tcPr/>
          <w:p>
            <w:pPr>
              <w:pStyle w:val="Compact"/>
            </w:pPr>
            <w:r>
              <w:rPr>
                <w:b/>
                <w:bCs/>
              </w:rPr>
              <w:t xml:space="preserve">AAGL2021_030</w:t>
            </w:r>
          </w:p>
        </w:tc>
        <w:tc>
          <w:tcPr/>
          <w:p>
            <w:pPr>
              <w:pStyle w:val="Compact"/>
            </w:pPr>
            <w:r>
              <w:t xml:space="preserve">R01, R02</w:t>
            </w:r>
          </w:p>
        </w:tc>
        <w:tc>
          <w:tcPr/>
          <w:p>
            <w:pPr>
              <w:pStyle w:val="Compact"/>
            </w:pPr>
            <w:r>
              <w:t xml:space="preserve">R01</w:t>
            </w:r>
            <w:r>
              <w:t xml:space="preserve"> </w:t>
            </w:r>
            <w:r>
              <w:rPr>
                <w:rStyle w:val="VerbatimChar"/>
              </w:rPr>
              <w:t xml:space="preserve">no_match</w:t>
            </w:r>
            <w:r>
              <w:t xml:space="preserve">; R02</w:t>
            </w:r>
            <w:r>
              <w:t xml:space="preserve"> </w:t>
            </w:r>
            <w:r>
              <w:rPr>
                <w:rStyle w:val="VerbatimChar"/>
              </w:rPr>
              <w:t xml:space="preserve">match</w:t>
            </w:r>
            <w:r>
              <w:t xml:space="preserve">; R02</w:t>
            </w:r>
            <w:r>
              <w:t xml:space="preserve"> </w:t>
            </w:r>
            <w:r>
              <w:rPr>
                <w:rStyle w:val="VerbatimChar"/>
              </w:rPr>
              <w:t xml:space="preserve">no_match</w:t>
            </w:r>
            <w:r>
              <w:t xml:space="preserve"> </w:t>
            </w:r>
            <w:r>
              <w:t xml:space="preserve">five days later</w:t>
            </w:r>
          </w:p>
        </w:tc>
      </w:tr>
    </w:tbl>
    <w:p>
      <w:pPr>
        <w:pStyle w:val="BodyText"/>
      </w:pPr>
      <w:r>
        <w:t xml:space="preserve">The first three were never seen by a person. Their AUTO notes record</w:t>
      </w:r>
      <w:r>
        <w:t xml:space="preserve"> </w:t>
      </w:r>
      <w:r>
        <w:rPr>
          <w:rStyle w:val="VerbatimChar"/>
        </w:rPr>
        <w:t xml:space="preserve">classification=reject</w:t>
      </w:r>
      <w:r>
        <w:t xml:space="preserve">, a vocabulary this pipeline no longer uses, against a</w:t>
      </w:r>
      <w:r>
        <w:t xml:space="preserve"> </w:t>
      </w:r>
      <w:r>
        <w:t xml:space="preserve">current classification of</w:t>
      </w:r>
      <w:r>
        <w:t xml:space="preserve"> </w:t>
      </w:r>
      <w:r>
        <w:rPr>
          <w:rStyle w:val="VerbatimChar"/>
        </w:rPr>
        <w:t xml:space="preserve">definite</w:t>
      </w:r>
      <w:r>
        <w:t xml:space="preserve">. They are fossils of an earlier scoring</w:t>
      </w:r>
      <w:r>
        <w:t xml:space="preserve"> </w:t>
      </w:r>
      <w:r>
        <w:t xml:space="preserve">run, and an AUTO</w:t>
      </w:r>
      <w:r>
        <w:t xml:space="preserve"> </w:t>
      </w:r>
      <w:r>
        <w:rPr>
          <w:rStyle w:val="VerbatimChar"/>
        </w:rPr>
        <w:t xml:space="preserve">no_match</w:t>
      </w:r>
      <w:r>
        <w:t xml:space="preserve"> </w:t>
      </w:r>
      <w:r>
        <w:t xml:space="preserve">contradicting a</w:t>
      </w:r>
      <w:r>
        <w:t xml:space="preserve"> </w:t>
      </w:r>
      <w:r>
        <w:rPr>
          <w:rStyle w:val="VerbatimChar"/>
        </w:rPr>
        <w:t xml:space="preserve">definite</w:t>
      </w:r>
      <w:r>
        <w:t xml:space="preserve"> </w:t>
      </w:r>
      <w:r>
        <w:t xml:space="preserve">score is the algorithm</w:t>
      </w:r>
      <w:r>
        <w:t xml:space="preserve"> </w:t>
      </w:r>
      <w:r>
        <w:t xml:space="preserve">disagreeing with itself rather than evidence about the abstract. Letting them</w:t>
      </w:r>
      <w:r>
        <w:t xml:space="preserve"> </w:t>
      </w:r>
      <w:r>
        <w:t xml:space="preserve">override the classification would have given a superseded run authority over</w:t>
      </w:r>
      <w:r>
        <w:t xml:space="preserve"> </w:t>
      </w:r>
      <w:r>
        <w:t xml:space="preserve">the current one.</w:t>
      </w:r>
    </w:p>
    <w:p>
      <w:pPr>
        <w:pStyle w:val="BodyText"/>
      </w:pPr>
      <w:r>
        <w:t xml:space="preserve">AAGL2021_030 is the real case. Two reviewers, and the later of R02’s two</w:t>
      </w:r>
      <w:r>
        <w:t xml:space="preserve"> </w:t>
      </w:r>
      <w:r>
        <w:t xml:space="preserve">decisions is</w:t>
      </w:r>
      <w:r>
        <w:t xml:space="preserve"> </w:t>
      </w:r>
      <w:r>
        <w:rPr>
          <w:rStyle w:val="VerbatimChar"/>
        </w:rPr>
        <w:t xml:space="preserve">no_match</w:t>
      </w:r>
      <w:r>
        <w:t xml:space="preserve">, so the surviving deduplicated decision is a considered</w:t>
      </w:r>
      <w:r>
        <w:t xml:space="preserve"> </w:t>
      </w:r>
      <w:r>
        <w:t xml:space="preserve">human rejection. It was counted published anyway.</w:t>
      </w:r>
    </w:p>
    <w:bookmarkEnd w:id="228"/>
    <w:bookmarkStart w:id="229" w:name="a20.3-what-moved"/>
    <w:p>
      <w:pPr>
        <w:pStyle w:val="Heading3"/>
      </w:pPr>
      <w:r>
        <w:t xml:space="preserve">A20.3 What 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Published</w:t>
            </w:r>
          </w:p>
        </w:tc>
        <w:tc>
          <w:tcPr/>
          <w:p>
            <w:pPr>
              <w:pStyle w:val="Compact"/>
              <w:jc w:val="right"/>
            </w:pPr>
            <w:r>
              <w:t xml:space="preserve">171</w:t>
            </w:r>
          </w:p>
        </w:tc>
        <w:tc>
          <w:tcPr/>
          <w:p>
            <w:pPr>
              <w:pStyle w:val="Compact"/>
              <w:jc w:val="right"/>
            </w:pPr>
            <w:r>
              <w:rPr>
                <w:b/>
                <w:bCs/>
              </w:rPr>
              <w:t xml:space="preserve">170</w:t>
            </w:r>
          </w:p>
        </w:tc>
      </w:tr>
      <w:tr>
        <w:tc>
          <w:tcPr/>
          <w:p>
            <w:pPr>
              <w:pStyle w:val="Compact"/>
            </w:pPr>
            <w:r>
              <w:t xml:space="preserve">Publication rate</w:t>
            </w:r>
          </w:p>
        </w:tc>
        <w:tc>
          <w:tcPr/>
          <w:p>
            <w:pPr>
              <w:pStyle w:val="Compact"/>
              <w:jc w:val="right"/>
            </w:pPr>
            <w:r>
              <w:t xml:space="preserve">16.3%</w:t>
            </w:r>
          </w:p>
        </w:tc>
        <w:tc>
          <w:tcPr/>
          <w:p>
            <w:pPr>
              <w:pStyle w:val="Compact"/>
              <w:jc w:val="right"/>
            </w:pPr>
            <w:r>
              <w:rPr>
                <w:b/>
                <w:bCs/>
              </w:rPr>
              <w:t xml:space="preserve">16.2%</w:t>
            </w:r>
            <w:r>
              <w:t xml:space="preserve"> </w:t>
            </w:r>
            <w:r>
              <w:t xml:space="preserve">(95% CI 14.1-18.5)</w:t>
            </w:r>
          </w:p>
        </w:tc>
      </w:tr>
      <w:tr>
        <w:tc>
          <w:tcPr/>
          <w:p>
            <w:pPr>
              <w:pStyle w:val="Compact"/>
            </w:pPr>
            <w:r>
              <w:t xml:space="preserve">Denominator</w:t>
            </w:r>
          </w:p>
        </w:tc>
        <w:tc>
          <w:tcPr/>
          <w:p>
            <w:pPr>
              <w:pStyle w:val="Compact"/>
              <w:jc w:val="right"/>
            </w:pPr>
            <w:r>
              <w:t xml:space="preserve">1,051</w:t>
            </w:r>
          </w:p>
        </w:tc>
        <w:tc>
          <w:tcPr/>
          <w:p>
            <w:pPr>
              <w:pStyle w:val="Compact"/>
              <w:jc w:val="right"/>
            </w:pPr>
            <w:r>
              <w:t xml:space="preserve">1,051</w:t>
            </w:r>
          </w:p>
        </w:tc>
      </w:tr>
      <w:tr>
        <w:tc>
          <w:tcPr/>
          <w:p>
            <w:pPr>
              <w:pStyle w:val="Compact"/>
            </w:pPr>
            <w:r>
              <w:t xml:space="preserve">Median time to publication</w:t>
            </w:r>
          </w:p>
        </w:tc>
        <w:tc>
          <w:tcPr/>
          <w:p>
            <w:pPr>
              <w:pStyle w:val="Compact"/>
              <w:jc w:val="right"/>
            </w:pPr>
            <w:r>
              <w:t xml:space="preserve">13.7 mo</w:t>
            </w:r>
          </w:p>
        </w:tc>
        <w:tc>
          <w:tcPr/>
          <w:p>
            <w:pPr>
              <w:pStyle w:val="Compact"/>
              <w:jc w:val="right"/>
            </w:pPr>
            <w:r>
              <w:rPr>
                <w:b/>
                <w:bCs/>
              </w:rPr>
              <w:t xml:space="preserve">13.6 mo</w:t>
            </w:r>
          </w:p>
        </w:tc>
      </w:tr>
      <w:tr>
        <w:tc>
          <w:tcPr/>
          <w:p>
            <w:pPr>
              <w:pStyle w:val="Compact"/>
            </w:pPr>
            <w:r>
              <w:t xml:space="preserve">IQR</w:t>
            </w:r>
          </w:p>
        </w:tc>
        <w:tc>
          <w:tcPr/>
          <w:p>
            <w:pPr>
              <w:pStyle w:val="Compact"/>
              <w:jc w:val="right"/>
            </w:pPr>
            <w:r>
              <w:t xml:space="preserve">5.7-22.6</w:t>
            </w:r>
          </w:p>
        </w:tc>
        <w:tc>
          <w:tcPr/>
          <w:p>
            <w:pPr>
              <w:pStyle w:val="Compact"/>
              <w:jc w:val="right"/>
            </w:pPr>
            <w:r>
              <w:t xml:space="preserve">5.7-22.4</w:t>
            </w:r>
          </w:p>
        </w:tc>
      </w:tr>
      <w:tr>
        <w:tc>
          <w:tcPr/>
          <w:p>
            <w:pPr>
              <w:pStyle w:val="Compact"/>
            </w:pPr>
            <w:r>
              <w:t xml:space="preserve">Cox events</w:t>
            </w:r>
          </w:p>
        </w:tc>
        <w:tc>
          <w:tcPr/>
          <w:p>
            <w:pPr>
              <w:pStyle w:val="Compact"/>
              <w:jc w:val="right"/>
            </w:pPr>
            <w:r>
              <w:t xml:space="preserve">171</w:t>
            </w:r>
          </w:p>
        </w:tc>
        <w:tc>
          <w:tcPr/>
          <w:p>
            <w:pPr>
              <w:pStyle w:val="Compact"/>
              <w:jc w:val="right"/>
            </w:pPr>
            <w:r>
              <w:t xml:space="preserve">170</w:t>
            </w:r>
          </w:p>
        </w:tc>
      </w:tr>
      <w:tr>
        <w:tc>
          <w:tcPr/>
          <w:p>
            <w:pPr>
              <w:pStyle w:val="Compact"/>
            </w:pPr>
            <w:r>
              <w:t xml:space="preserve">PH global p</w:t>
            </w:r>
          </w:p>
        </w:tc>
        <w:tc>
          <w:tcPr/>
          <w:p>
            <w:pPr>
              <w:pStyle w:val="Compact"/>
              <w:jc w:val="right"/>
            </w:pPr>
            <w:r>
              <w:t xml:space="preserve">0.041</w:t>
            </w:r>
          </w:p>
        </w:tc>
        <w:tc>
          <w:tcPr/>
          <w:p>
            <w:pPr>
              <w:pStyle w:val="Compact"/>
              <w:jc w:val="right"/>
            </w:pPr>
            <w:r>
              <w:t xml:space="preserve">0.043</w:t>
            </w:r>
          </w:p>
        </w:tc>
      </w:tr>
    </w:tbl>
    <w:p>
      <w:pPr>
        <w:pStyle w:val="BodyText"/>
      </w:pPr>
      <w:r>
        <w:t xml:space="preserve">Unlike the pre-congress decision, this one moves the median. AAGL2021_030 had an</w:t>
      </w:r>
      <w:r>
        <w:t xml:space="preserve"> </w:t>
      </w:r>
      <w:r>
        <w:t xml:space="preserve">interval of 34.6 months, well above the median, so removing it shortens the</w:t>
      </w:r>
      <w:r>
        <w:t xml:space="preserve"> </w:t>
      </w:r>
      <w:r>
        <w:t xml:space="preserve">distribution slightly. The Cox model keeps its 1,027 observations and loses one</w:t>
      </w:r>
      <w:r>
        <w:t xml:space="preserve"> </w:t>
      </w:r>
      <w:r>
        <w:t xml:space="preserve">event.</w:t>
      </w:r>
    </w:p>
    <w:bookmarkEnd w:id="229"/>
    <w:bookmarkStart w:id="230" w:name="a20.4-a-schema-trap"/>
    <w:p>
      <w:pPr>
        <w:pStyle w:val="Heading3"/>
      </w:pPr>
      <w:r>
        <w:t xml:space="preserve">A20.4 A schema trap</w:t>
      </w:r>
    </w:p>
    <w:p>
      <w:pPr>
        <w:pStyle w:val="FirstParagraph"/>
      </w:pPr>
      <w:r>
        <w:t xml:space="preserve">The cascade needs</w:t>
      </w:r>
      <w:r>
        <w:t xml:space="preserve"> </w:t>
      </w:r>
      <w:r>
        <w:rPr>
          <w:rStyle w:val="VerbatimChar"/>
        </w:rPr>
        <w:t xml:space="preserve">reviewer</w:t>
      </w:r>
      <w:r>
        <w:t xml:space="preserve"> </w:t>
      </w:r>
      <w:r>
        <w:t xml:space="preserve">to tell a human decision from a prefill, so</w:t>
      </w:r>
      <w:r>
        <w:t xml:space="preserve"> </w:t>
      </w:r>
      <w:r>
        <w:rPr>
          <w:rStyle w:val="VerbatimChar"/>
        </w:rPr>
        <w:t xml:space="preserve">assign_final_published()</w:t>
      </w:r>
      <w:r>
        <w:t xml:space="preserve"> </w:t>
      </w:r>
      <w:r>
        <w:t xml:space="preserve">joins it. Left there, it widened</w:t>
      </w:r>
      <w:r>
        <w:t xml:space="preserve"> </w:t>
      </w:r>
      <w:r>
        <w:rPr>
          <w:rStyle w:val="VerbatimChar"/>
        </w:rPr>
        <w:t xml:space="preserve">final_analytical_dataset.csv</w:t>
      </w:r>
      <w:r>
        <w:t xml:space="preserve"> </w:t>
      </w:r>
      <w:r>
        <w:t xml:space="preserve">from 93 columns to 94 and tripped the</w:t>
      </w:r>
      <w:r>
        <w:t xml:space="preserve"> </w:t>
      </w:r>
      <w:r>
        <w:t xml:space="preserve">documentation-drift test. The column is now dropped again unless the caller</w:t>
      </w:r>
      <w:r>
        <w:t xml:space="preserve"> </w:t>
      </w:r>
      <w:r>
        <w:t xml:space="preserve">already had it, so the rule can distinguish reviewers without changing the</w:t>
      </w:r>
      <w:r>
        <w:t xml:space="preserve"> </w:t>
      </w:r>
      <w:r>
        <w:t xml:space="preserve">dataset’s shape.</w:t>
      </w:r>
    </w:p>
    <w:bookmarkEnd w:id="230"/>
    <w:bookmarkStart w:id="231" w:name="Xfe0bf36cbf2669aa78eee4c6e9947fdc572a41f"/>
    <w:p>
      <w:pPr>
        <w:pStyle w:val="Heading3"/>
      </w:pPr>
      <w:r>
        <w:t xml:space="preserve">A20.5 What the decision-log test now asserts</w:t>
      </w:r>
    </w:p>
    <w:p>
      <w:pPr>
        <w:pStyle w:val="FirstParagraph"/>
      </w:pPr>
      <w:r>
        <w:rPr>
          <w:rStyle w:val="VerbatimChar"/>
        </w:rPr>
        <w:t xml:space="preserve">test-cycle22_decision_log.R</w:t>
      </w:r>
      <w:r>
        <w:t xml:space="preserve"> </w:t>
      </w:r>
      <w:r>
        <w:t xml:space="preserve">required the outcome column to agree with the</w:t>
      </w:r>
      <w:r>
        <w:t xml:space="preserve"> </w:t>
      </w:r>
      <w:r>
        <w:t xml:space="preserve">surviving decision for every abstract. Two PI decisions now break that on</w:t>
      </w:r>
      <w:r>
        <w:t xml:space="preserve"> </w:t>
      </w:r>
      <w:r>
        <w:t xml:space="preserve">purpose: a pre-congress publication is never counted whatever the reviewer said,</w:t>
      </w:r>
      <w:r>
        <w:t xml:space="preserve"> </w:t>
      </w:r>
      <w:r>
        <w:t xml:space="preserve">and an AUTO</w:t>
      </w:r>
      <w:r>
        <w:t xml:space="preserve"> </w:t>
      </w:r>
      <w:r>
        <w:rPr>
          <w:rStyle w:val="VerbatimChar"/>
        </w:rPr>
        <w:t xml:space="preserve">no_match</w:t>
      </w:r>
      <w:r>
        <w:t xml:space="preserve"> </w:t>
      </w:r>
      <w:r>
        <w:t xml:space="preserve">does not override a classification. The test asserts the</w:t>
      </w:r>
      <w:r>
        <w:t xml:space="preserve"> </w:t>
      </w:r>
      <w:r>
        <w:t xml:space="preserve">narrower, truer contract: every divergence must be explained by one of those two</w:t>
      </w:r>
      <w:r>
        <w:t xml:space="preserve"> </w:t>
      </w:r>
      <w:r>
        <w:t xml:space="preserve">rules, and a human</w:t>
      </w:r>
      <w:r>
        <w:t xml:space="preserve"> </w:t>
      </w:r>
      <w:r>
        <w:rPr>
          <w:rStyle w:val="VerbatimChar"/>
        </w:rPr>
        <w:t xml:space="preserve">no_match</w:t>
      </w:r>
      <w:r>
        <w:t xml:space="preserve"> </w:t>
      </w:r>
      <w:r>
        <w:t xml:space="preserve">counted as published is still a failure.</w:t>
      </w:r>
    </w:p>
    <w:p>
      <w:pPr>
        <w:pStyle w:val="BodyText"/>
      </w:pPr>
      <w:r>
        <w:t xml:space="preserve">A companion test counts the stale AUTO rows and fails if the count rises above</w:t>
      </w:r>
      <w:r>
        <w:t xml:space="preserve"> </w:t>
      </w:r>
      <w:r>
        <w:t xml:space="preserve">the three known. If the prefill is ever regenerated they should disappear; if</w:t>
      </w:r>
      <w:r>
        <w:t xml:space="preserve"> </w:t>
      </w:r>
      <w:r>
        <w:t xml:space="preserve">more appear, something is writing superseded decisions again.</w:t>
      </w:r>
    </w:p>
    <w:bookmarkEnd w:id="231"/>
    <w:bookmarkStart w:id="232" w:name="a20.6-still-open"/>
    <w:p>
      <w:pPr>
        <w:pStyle w:val="Heading3"/>
      </w:pPr>
      <w:r>
        <w:t xml:space="preserve">A20.6 Still open</w:t>
      </w:r>
    </w:p>
    <w:p>
      <w:pPr>
        <w:pStyle w:val="FirstParagraph"/>
      </w:pPr>
      <w:r>
        <w:t xml:space="preserve">Whether the three stale AUTO prefills should be regenerated or deleted is not</w:t>
      </w:r>
      <w:r>
        <w:t xml:space="preserve"> </w:t>
      </w:r>
      <w:r>
        <w:t xml:space="preserve">decided here. They do not change any number today, because the classification</w:t>
      </w:r>
      <w:r>
        <w:t xml:space="preserve"> </w:t>
      </w:r>
      <w:r>
        <w:t xml:space="preserve">they contradict is what the analysis uses.</w:t>
      </w:r>
    </w:p>
    <w:bookmarkEnd w:id="232"/>
    <w:bookmarkEnd w:id="233"/>
    <w:bookmarkStart w:id="239" w:name="X540cf2bfa947f9574ef7ff0973da69840325985"/>
    <w:p>
      <w:pPr>
        <w:pStyle w:val="Heading2"/>
      </w:pPr>
      <w:r>
        <w:t xml:space="preserve">A21. Deriving Affiliation Covariates From Affiliations</w:t>
      </w:r>
    </w:p>
    <w:p>
      <w:pPr>
        <w:pStyle w:val="FirstParagraph"/>
      </w:pPr>
      <w:r>
        <w:rPr>
          <w:b/>
          <w:bCs/>
        </w:rPr>
        <w:t xml:space="preserve">PI decision, 2026-09-05.</w:t>
      </w:r>
      <w:r>
        <w:t xml:space="preserve"> </w:t>
      </w:r>
      <w:r>
        <w:rPr>
          <w:rStyle w:val="VerbatimChar"/>
        </w:rPr>
        <w:t xml:space="preserve">is_academic</w:t>
      </w:r>
      <w:r>
        <w:t xml:space="preserve"> </w:t>
      </w:r>
      <w:r>
        <w:t xml:space="preserve">and</w:t>
      </w:r>
      <w:r>
        <w:t xml:space="preserve"> </w:t>
      </w:r>
      <w:r>
        <w:rPr>
          <w:rStyle w:val="VerbatimChar"/>
        </w:rPr>
        <w:t xml:space="preserve">is_us_based</w:t>
      </w:r>
      <w:r>
        <w:t xml:space="preserve"> </w:t>
      </w:r>
      <w:r>
        <w:t xml:space="preserve">are now derived</w:t>
      </w:r>
      <w:r>
        <w:t xml:space="preserve"> </w:t>
      </w:r>
      <w:r>
        <w:t xml:space="preserve">from the author affiliation rather than from abstract body text. The</w:t>
      </w:r>
      <w:r>
        <w:t xml:space="preserve"> </w:t>
      </w:r>
      <w:r>
        <w:t xml:space="preserve">publication rate does not change. One reported finding disappears.</w:t>
      </w:r>
    </w:p>
    <w:bookmarkStart w:id="234" w:name="a21.1-what-they-were-measuring"/>
    <w:p>
      <w:pPr>
        <w:pStyle w:val="Heading3"/>
      </w:pPr>
      <w:r>
        <w:t xml:space="preserve">A21.1 What they were measuring</w:t>
      </w:r>
    </w:p>
    <w:p>
      <w:pPr>
        <w:pStyle w:val="FirstParagraph"/>
      </w:pPr>
      <w:r>
        <w:t xml:space="preserve">Neither variable had ever read an affiliation.</w:t>
      </w:r>
      <w:r>
        <w:t xml:space="preserve"> </w:t>
      </w:r>
      <w:r>
        <w:rPr>
          <w:rStyle w:val="VerbatimChar"/>
        </w:rPr>
        <w:t xml:space="preserve">affiliation_raw</w:t>
      </w:r>
      <w:r>
        <w:t xml:space="preserve"> </w:t>
      </w:r>
      <w:r>
        <w:t xml:space="preserve">was empty for</w:t>
      </w:r>
      <w:r>
        <w:t xml:space="preserve"> </w:t>
      </w:r>
      <w:r>
        <w:t xml:space="preserve">all 1,106 abstracts because of the parser defect in A20, so the affiliation</w:t>
      </w:r>
      <w:r>
        <w:t xml:space="preserve"> </w:t>
      </w:r>
      <w:r>
        <w:t xml:space="preserve">branch of each rule never fired and both fell through to abstract body text.</w:t>
      </w:r>
      <w:r>
        <w:t xml:space="preserve"> </w:t>
      </w:r>
      <w:r>
        <w:t xml:space="preserve">The academic pattern included</w:t>
      </w:r>
      <w:r>
        <w:t xml:space="preserve"> </w:t>
      </w:r>
      <w:r>
        <w:rPr>
          <w:rStyle w:val="VerbatimChar"/>
        </w:rPr>
        <w:t xml:space="preserve">residency</w:t>
      </w:r>
      <w:r>
        <w:t xml:space="preserve">,</w:t>
      </w:r>
      <w:r>
        <w:t xml:space="preserve"> </w:t>
      </w:r>
      <w:r>
        <w:rPr>
          <w:rStyle w:val="VerbatimChar"/>
        </w:rPr>
        <w:t xml:space="preserve">fellowship</w:t>
      </w:r>
      <w:r>
        <w:t xml:space="preserve"> </w:t>
      </w:r>
      <w:r>
        <w:t xml:space="preserve">and</w:t>
      </w:r>
      <w:r>
        <w:t xml:space="preserve"> </w:t>
      </w:r>
      <w:r>
        <w:rPr>
          <w:rStyle w:val="VerbatimChar"/>
        </w:rPr>
        <w:t xml:space="preserve">tertiary.*center</w:t>
      </w:r>
      <w:r>
        <w:t xml:space="preserve">,</w:t>
      </w:r>
      <w:r>
        <w:t xml:space="preserve"> </w:t>
      </w:r>
      <w:r>
        <w:t xml:space="preserve">which describe a study rather than an author’s institution. The US pattern</w:t>
      </w:r>
      <w:r>
        <w:t xml:space="preserve"> </w:t>
      </w:r>
      <w:r>
        <w:t xml:space="preserve">matched any state name anywhere in the abstract.</w:t>
      </w:r>
    </w:p>
    <w:p>
      <w:pPr>
        <w:pStyle w:val="BodyText"/>
      </w:pPr>
      <w:r>
        <w:t xml:space="preserve">Validated against real affiliations: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body text</w:t>
            </w:r>
          </w:p>
        </w:tc>
        <w:tc>
          <w:tcPr/>
          <w:p>
            <w:pPr>
              <w:pStyle w:val="Compact"/>
              <w:jc w:val="right"/>
            </w:pPr>
            <w:r>
              <w:t xml:space="preserve">affiliation</w:t>
            </w:r>
          </w:p>
        </w:tc>
        <w:tc>
          <w:tcPr/>
          <w:p>
            <w:pPr>
              <w:pStyle w:val="Compact"/>
              <w:jc w:val="right"/>
            </w:pPr>
            <w:r>
              <w:t xml:space="preserve">agreement</w:t>
            </w:r>
          </w:p>
        </w:tc>
      </w:tr>
      <w:tr>
        <w:tc>
          <w:tcPr/>
          <w:p>
            <w:pPr>
              <w:pStyle w:val="Compact"/>
            </w:pPr>
            <w:r>
              <w:t xml:space="preserve">academic</w:t>
            </w:r>
          </w:p>
        </w:tc>
        <w:tc>
          <w:tcPr/>
          <w:p>
            <w:pPr>
              <w:pStyle w:val="Compact"/>
              <w:jc w:val="right"/>
            </w:pPr>
            <w:r>
              <w:t xml:space="preserve">33.5%</w:t>
            </w:r>
          </w:p>
        </w:tc>
        <w:tc>
          <w:tcPr/>
          <w:p>
            <w:pPr>
              <w:pStyle w:val="Compact"/>
              <w:jc w:val="right"/>
            </w:pPr>
            <w:r>
              <w:t xml:space="preserve">63.6%</w:t>
            </w:r>
          </w:p>
        </w:tc>
        <w:tc>
          <w:tcPr/>
          <w:p>
            <w:pPr>
              <w:pStyle w:val="Compact"/>
              <w:jc w:val="right"/>
            </w:pPr>
            <w:r>
              <w:t xml:space="preserve">54.1%</w:t>
            </w:r>
          </w:p>
        </w:tc>
      </w:tr>
      <w:tr>
        <w:tc>
          <w:tcPr/>
          <w:p>
            <w:pPr>
              <w:pStyle w:val="Compact"/>
            </w:pPr>
            <w:r>
              <w:t xml:space="preserve">US-based</w:t>
            </w:r>
          </w:p>
        </w:tc>
        <w:tc>
          <w:tcPr/>
          <w:p>
            <w:pPr>
              <w:pStyle w:val="Compact"/>
              <w:jc w:val="right"/>
            </w:pPr>
            <w:r>
              <w:t xml:space="preserve">82.1%</w:t>
            </w:r>
          </w:p>
        </w:tc>
        <w:tc>
          <w:tcPr/>
          <w:p>
            <w:pPr>
              <w:pStyle w:val="Compact"/>
              <w:jc w:val="right"/>
            </w:pPr>
            <w:r>
              <w:t xml:space="preserve">57.6%</w:t>
            </w:r>
          </w:p>
        </w:tc>
        <w:tc>
          <w:tcPr/>
          <w:p>
            <w:pPr>
              <w:pStyle w:val="Compact"/>
              <w:jc w:val="right"/>
            </w:pPr>
            <w:r>
              <w:t xml:space="preserve">52.7%</w:t>
            </w:r>
          </w:p>
        </w:tc>
      </w:tr>
    </w:tbl>
    <w:p>
      <w:pPr>
        <w:pStyle w:val="BodyText"/>
      </w:pPr>
      <w:r>
        <w:t xml:space="preserve">Both proxies agree with the construct they claim to measure at close to chance.</w:t>
      </w:r>
      <w:r>
        <w:t xml:space="preserve"> </w:t>
      </w:r>
      <w:r>
        <w:t xml:space="preserve">The academic proxy understated academic affiliation by half; the US proxy</w:t>
      </w:r>
      <w:r>
        <w:t xml:space="preserve"> </w:t>
      </w:r>
      <w:r>
        <w:t xml:space="preserve">overstated US location by 24 percentage points.</w:t>
      </w:r>
    </w:p>
    <w:bookmarkEnd w:id="234"/>
    <w:bookmarkStart w:id="235" w:name="a21.2-abstract-level-extraction"/>
    <w:p>
      <w:pPr>
        <w:pStyle w:val="Heading3"/>
      </w:pPr>
      <w:r>
        <w:t xml:space="preserve">A21.2 Abstract-level extraction</w:t>
      </w:r>
    </w:p>
    <w:p>
      <w:pPr>
        <w:pStyle w:val="FirstParagraph"/>
      </w:pPr>
      <w:r>
        <w:t xml:space="preserve">The per-author affiliation table reaches 55% of the cohort, because linking an</w:t>
      </w:r>
      <w:r>
        <w:t xml:space="preserve"> </w:t>
      </w:r>
      <w:r>
        <w:t xml:space="preserve">author to an institution needs a</w:t>
      </w:r>
      <w:r>
        <w:t xml:space="preserve"> </w:t>
      </w:r>
      <w:r>
        <w:rPr>
          <w:rStyle w:val="VerbatimChar"/>
        </w:rPr>
        <w:t xml:space="preserve">refid</w:t>
      </w:r>
      <w:r>
        <w:t xml:space="preserve"> </w:t>
      </w:r>
      <w:r>
        <w:t xml:space="preserve">that the 2017-2018 ScienceDirect</w:t>
      </w:r>
      <w:r>
        <w:t xml:space="preserve"> </w:t>
      </w:r>
      <w:r>
        <w:t xml:space="preserve">format does not emit. Abstract-level covariates do not need that link:</w:t>
      </w:r>
      <w:r>
        <w:t xml:space="preserve"> </w:t>
      </w:r>
      <w:r>
        <w:t xml:space="preserve">“is any</w:t>
      </w:r>
      <w:r>
        <w:t xml:space="preserve"> </w:t>
      </w:r>
      <w:r>
        <w:t xml:space="preserve">author at an academic institution”</w:t>
      </w:r>
      <w:r>
        <w:t xml:space="preserve"> </w:t>
      </w:r>
      <w:r>
        <w:t xml:space="preserve">and</w:t>
      </w:r>
      <w:r>
        <w:t xml:space="preserve"> </w:t>
      </w:r>
      <w:r>
        <w:t xml:space="preserve">“how many institutions appear”</w:t>
      </w:r>
      <w:r>
        <w:t xml:space="preserve"> </w:t>
      </w:r>
      <w:r>
        <w:t xml:space="preserve">are</w:t>
      </w:r>
      <w:r>
        <w:t xml:space="preserve"> </w:t>
      </w:r>
      <w:r>
        <w:t xml:space="preserve">properties of the record.</w:t>
      </w:r>
      <w:r>
        <w:t xml:space="preserve"> </w:t>
      </w:r>
      <w:r>
        <w:rPr>
          <w:rStyle w:val="VerbatimChar"/>
        </w:rPr>
        <w:t xml:space="preserve">scripts/backfill_affiliations_from_cache.R</w:t>
      </w:r>
      <w:r>
        <w:t xml:space="preserve"> </w:t>
      </w:r>
      <w:r>
        <w:t xml:space="preserve">now also</w:t>
      </w:r>
      <w:r>
        <w:t xml:space="preserve"> </w:t>
      </w:r>
      <w:r>
        <w:t xml:space="preserve">writes</w:t>
      </w:r>
      <w:r>
        <w:t xml:space="preserve"> </w:t>
      </w:r>
      <w:r>
        <w:rPr>
          <w:rStyle w:val="VerbatimChar"/>
        </w:rPr>
        <w:t xml:space="preserve">data/processed/abstract_affiliations.csv</w:t>
      </w:r>
      <w:r>
        <w:t xml:space="preserve">, the union of institution</w:t>
      </w:r>
      <w:r>
        <w:t xml:space="preserve"> </w:t>
      </w:r>
      <w:r>
        <w:t xml:space="preserve">strings per abstract, reaching</w:t>
      </w:r>
      <w:r>
        <w:t xml:space="preserve"> </w:t>
      </w:r>
      <w:r>
        <w:rPr>
          <w:b/>
          <w:bCs/>
        </w:rPr>
        <w:t xml:space="preserve">1,092 of 1,106 (98.7%)</w:t>
      </w:r>
      <w:r>
        <w:t xml:space="preserve">, including 2017 and</w:t>
      </w:r>
      <w:r>
        <w:t xml:space="preserve"> </w:t>
      </w:r>
      <w:r>
        <w:t xml:space="preserve">2018 at 100%.</w:t>
      </w:r>
    </w:p>
    <w:p>
      <w:pPr>
        <w:pStyle w:val="BodyText"/>
      </w:pPr>
      <w:r>
        <w:t xml:space="preserve">Where no affiliation is on file the covariates are</w:t>
      </w:r>
      <w:r>
        <w:t xml:space="preserve"> </w:t>
      </w:r>
      <w:r>
        <w:rPr>
          <w:rStyle w:val="VerbatimChar"/>
        </w:rPr>
        <w:t xml:space="preserve">NA</w:t>
      </w:r>
      <w:r>
        <w:t xml:space="preserve">, not</w:t>
      </w:r>
      <w:r>
        <w:t xml:space="preserve"> </w:t>
      </w:r>
      <w:r>
        <w:rPr>
          <w:rStyle w:val="VerbatimChar"/>
        </w:rPr>
        <w:t xml:space="preserve">FALSE</w:t>
      </w:r>
      <w:r>
        <w:t xml:space="preserve">. Coding</w:t>
      </w:r>
      <w:r>
        <w:t xml:space="preserve"> </w:t>
      </w:r>
      <w:r>
        <w:t xml:space="preserve">absence as a negative was what filled the comparison group with unknowns and</w:t>
      </w:r>
      <w:r>
        <w:t xml:space="preserve"> </w:t>
      </w:r>
      <w:r>
        <w:t xml:space="preserve">produced the era gradient that made an earlier attempt at this change</w:t>
      </w:r>
      <w:r>
        <w:t xml:space="preserve"> </w:t>
      </w:r>
      <w:r>
        <w:t xml:space="preserve">unusable.</w:t>
      </w:r>
    </w:p>
    <w:bookmarkEnd w:id="235"/>
    <w:bookmarkStart w:id="236" w:name="a21.3-the-result"/>
    <w:p>
      <w:pPr>
        <w:pStyle w:val="Heading3"/>
      </w:pPr>
      <w:r>
        <w:t xml:space="preserve">A21.3 The result</w:t>
      </w:r>
    </w:p>
    <w:p>
      <w:pPr>
        <w:pStyle w:val="FirstParagraph"/>
      </w:pPr>
      <w:r>
        <w:t xml:space="preserve">Both are now stable across congress years, which the text proxies were not:</w:t>
      </w:r>
      <w:r>
        <w:t xml:space="preserve"> </w:t>
      </w:r>
      <w:r>
        <w:t xml:space="preserve">academic ranges 55.8% to 75.6% and US-based 50.0% to 64.4%, with no cliff at</w:t>
      </w:r>
      <w:r>
        <w:t xml:space="preserve"> </w:t>
      </w:r>
      <w:r>
        <w:t xml:space="preserve">the 2017-2018 boundary where the text ran out.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Cox term</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p before</w:t>
            </w:r>
          </w:p>
        </w:tc>
        <w:tc>
          <w:tcPr/>
          <w:p>
            <w:pPr>
              <w:pStyle w:val="Compact"/>
              <w:jc w:val="right"/>
            </w:pPr>
            <w:r>
              <w:t xml:space="preserve">p after</w:t>
            </w:r>
          </w:p>
        </w:tc>
      </w:tr>
      <w:tr>
        <w:tc>
          <w:tcPr/>
          <w:p>
            <w:pPr>
              <w:pStyle w:val="Compact"/>
            </w:pPr>
            <w:r>
              <w:rPr>
                <w:rStyle w:val="VerbatimChar"/>
              </w:rPr>
              <w:t xml:space="preserve">is_rct</w:t>
            </w:r>
          </w:p>
        </w:tc>
        <w:tc>
          <w:tcPr/>
          <w:p>
            <w:pPr>
              <w:pStyle w:val="Compact"/>
              <w:jc w:val="right"/>
            </w:pPr>
            <w:r>
              <w:t xml:space="preserve">2.172</w:t>
            </w:r>
          </w:p>
        </w:tc>
        <w:tc>
          <w:tcPr/>
          <w:p>
            <w:pPr>
              <w:pStyle w:val="Compact"/>
              <w:jc w:val="right"/>
            </w:pPr>
            <w:r>
              <w:t xml:space="preserve">2.002</w:t>
            </w:r>
          </w:p>
        </w:tc>
        <w:tc>
          <w:tcPr/>
          <w:p>
            <w:pPr>
              <w:pStyle w:val="Compact"/>
              <w:jc w:val="right"/>
            </w:pPr>
            <w:r>
              <w:t xml:space="preserve">&lt;0.001</w:t>
            </w:r>
          </w:p>
        </w:tc>
        <w:tc>
          <w:tcPr/>
          <w:p>
            <w:pPr>
              <w:pStyle w:val="Compact"/>
              <w:jc w:val="right"/>
            </w:pPr>
            <w:r>
              <w:t xml:space="preserve">0.001</w:t>
            </w:r>
          </w:p>
        </w:tc>
      </w:tr>
      <w:tr>
        <w:tc>
          <w:tcPr/>
          <w:p>
            <w:pPr>
              <w:pStyle w:val="Compact"/>
            </w:pPr>
            <w:r>
              <w:rPr>
                <w:rStyle w:val="VerbatimChar"/>
                <w:b/>
                <w:bCs/>
              </w:rPr>
              <w:t xml:space="preserve">is_academic</w:t>
            </w:r>
          </w:p>
        </w:tc>
        <w:tc>
          <w:tcPr/>
          <w:p>
            <w:pPr>
              <w:pStyle w:val="Compact"/>
              <w:jc w:val="right"/>
            </w:pPr>
            <w:r>
              <w:rPr>
                <w:b/>
                <w:bCs/>
              </w:rPr>
              <w:t xml:space="preserve">0.649</w:t>
            </w:r>
          </w:p>
        </w:tc>
        <w:tc>
          <w:tcPr/>
          <w:p>
            <w:pPr>
              <w:pStyle w:val="Compact"/>
              <w:jc w:val="right"/>
            </w:pPr>
            <w:r>
              <w:rPr>
                <w:b/>
                <w:bCs/>
              </w:rPr>
              <w:t xml:space="preserve">1.097</w:t>
            </w:r>
          </w:p>
        </w:tc>
        <w:tc>
          <w:tcPr/>
          <w:p>
            <w:pPr>
              <w:pStyle w:val="Compact"/>
              <w:jc w:val="right"/>
            </w:pPr>
            <w:r>
              <w:rPr>
                <w:b/>
                <w:bCs/>
              </w:rPr>
              <w:t xml:space="preserve">0.013</w:t>
            </w:r>
          </w:p>
        </w:tc>
        <w:tc>
          <w:tcPr/>
          <w:p>
            <w:pPr>
              <w:pStyle w:val="Compact"/>
              <w:jc w:val="right"/>
            </w:pPr>
            <w:r>
              <w:rPr>
                <w:b/>
                <w:bCs/>
              </w:rPr>
              <w:t xml:space="preserve">0.587</w:t>
            </w:r>
          </w:p>
        </w:tc>
      </w:tr>
      <w:tr>
        <w:tc>
          <w:tcPr/>
          <w:p>
            <w:pPr>
              <w:pStyle w:val="Compact"/>
            </w:pPr>
            <w:r>
              <w:rPr>
                <w:rStyle w:val="VerbatimChar"/>
              </w:rPr>
              <w:t xml:space="preserve">is_us_based</w:t>
            </w:r>
          </w:p>
        </w:tc>
        <w:tc>
          <w:tcPr/>
          <w:p>
            <w:pPr>
              <w:pStyle w:val="Compact"/>
              <w:jc w:val="right"/>
            </w:pPr>
            <w:r>
              <w:t xml:space="preserve">1.354</w:t>
            </w:r>
          </w:p>
        </w:tc>
        <w:tc>
          <w:tcPr/>
          <w:p>
            <w:pPr>
              <w:pStyle w:val="Compact"/>
              <w:jc w:val="right"/>
            </w:pPr>
            <w:r>
              <w:t xml:space="preserve">0.787</w:t>
            </w:r>
          </w:p>
        </w:tc>
        <w:tc>
          <w:tcPr/>
          <w:p>
            <w:pPr>
              <w:pStyle w:val="Compact"/>
              <w:jc w:val="right"/>
            </w:pPr>
            <w:r>
              <w:t xml:space="preserve">0.205</w:t>
            </w:r>
          </w:p>
        </w:tc>
        <w:tc>
          <w:tcPr/>
          <w:p>
            <w:pPr>
              <w:pStyle w:val="Compact"/>
              <w:jc w:val="right"/>
            </w:pPr>
            <w:r>
              <w:t xml:space="preserve">0.136</w:t>
            </w:r>
          </w:p>
        </w:tc>
      </w:tr>
      <w:tr>
        <w:tc>
          <w:tcPr/>
          <w:p>
            <w:pPr>
              <w:pStyle w:val="Compact"/>
            </w:pPr>
            <w:r>
              <w:rPr>
                <w:rStyle w:val="VerbatimChar"/>
              </w:rPr>
              <w:t xml:space="preserve">n_authors</w:t>
            </w:r>
          </w:p>
        </w:tc>
        <w:tc>
          <w:tcPr/>
          <w:p>
            <w:pPr>
              <w:pStyle w:val="Compact"/>
              <w:jc w:val="right"/>
            </w:pPr>
            <w:r>
              <w:t xml:space="preserve">1.252</w:t>
            </w:r>
          </w:p>
        </w:tc>
        <w:tc>
          <w:tcPr/>
          <w:p>
            <w:pPr>
              <w:pStyle w:val="Compact"/>
              <w:jc w:val="right"/>
            </w:pPr>
            <w:r>
              <w:t xml:space="preserve">1.218</w:t>
            </w:r>
          </w:p>
        </w:tc>
        <w:tc>
          <w:tcPr/>
          <w:p>
            <w:pPr>
              <w:pStyle w:val="Compact"/>
              <w:jc w:val="right"/>
            </w:pPr>
            <w:r>
              <w:t xml:space="preserve">0.002</w:t>
            </w:r>
          </w:p>
        </w:tc>
        <w:tc>
          <w:tcPr/>
          <w:p>
            <w:pPr>
              <w:pStyle w:val="Compact"/>
              <w:jc w:val="right"/>
            </w:pPr>
            <w:r>
              <w:t xml:space="preserve">0.006</w:t>
            </w:r>
          </w:p>
        </w:tc>
      </w:tr>
      <w:tr>
        <w:tc>
          <w:tcPr/>
          <w:p>
            <w:pPr>
              <w:pStyle w:val="Compact"/>
            </w:pPr>
            <w:r>
              <w:rPr>
                <w:rStyle w:val="VerbatimChar"/>
              </w:rPr>
              <w:t xml:space="preserve">gender_unified</w:t>
            </w:r>
          </w:p>
        </w:tc>
        <w:tc>
          <w:tcPr/>
          <w:p>
            <w:pPr>
              <w:pStyle w:val="Compact"/>
              <w:jc w:val="right"/>
            </w:pPr>
            <w:r>
              <w:t xml:space="preserve">0.780</w:t>
            </w:r>
          </w:p>
        </w:tc>
        <w:tc>
          <w:tcPr/>
          <w:p>
            <w:pPr>
              <w:pStyle w:val="Compact"/>
              <w:jc w:val="right"/>
            </w:pPr>
            <w:r>
              <w:t xml:space="preserve">0.746</w:t>
            </w:r>
          </w:p>
        </w:tc>
        <w:tc>
          <w:tcPr/>
          <w:p>
            <w:pPr>
              <w:pStyle w:val="Compact"/>
              <w:jc w:val="right"/>
            </w:pPr>
            <w:r>
              <w:t xml:space="preserve">0.114</w:t>
            </w:r>
          </w:p>
        </w:tc>
        <w:tc>
          <w:tcPr/>
          <w:p>
            <w:pPr>
              <w:pStyle w:val="Compact"/>
              <w:jc w:val="right"/>
            </w:pPr>
            <w:r>
              <w:t xml:space="preserve">0.066</w:t>
            </w:r>
          </w:p>
        </w:tc>
      </w:tr>
      <w:tr>
        <w:tc>
          <w:tcPr/>
          <w:p>
            <w:pPr>
              <w:pStyle w:val="Compact"/>
            </w:pPr>
            <w:r>
              <w:rPr>
                <w:rStyle w:val="VerbatimChar"/>
              </w:rPr>
              <w:t xml:space="preserve">is_multicenter</w:t>
            </w:r>
          </w:p>
        </w:tc>
        <w:tc>
          <w:tcPr/>
          <w:p>
            <w:pPr>
              <w:pStyle w:val="Compact"/>
              <w:jc w:val="right"/>
            </w:pPr>
            <w:r>
              <w:t xml:space="preserve">1.402</w:t>
            </w:r>
          </w:p>
        </w:tc>
        <w:tc>
          <w:tcPr/>
          <w:p>
            <w:pPr>
              <w:pStyle w:val="Compact"/>
              <w:jc w:val="right"/>
            </w:pPr>
            <w:r>
              <w:t xml:space="preserve">1.361</w:t>
            </w:r>
          </w:p>
        </w:tc>
        <w:tc>
          <w:tcPr/>
          <w:p>
            <w:pPr>
              <w:pStyle w:val="Compact"/>
              <w:jc w:val="right"/>
            </w:pPr>
            <w:r>
              <w:t xml:space="preserve">0.219</w:t>
            </w:r>
          </w:p>
        </w:tc>
        <w:tc>
          <w:tcPr/>
          <w:p>
            <w:pPr>
              <w:pStyle w:val="Compact"/>
              <w:jc w:val="right"/>
            </w:pPr>
            <w:r>
              <w:t xml:space="preserve">0.265</w:t>
            </w:r>
          </w:p>
        </w:tc>
      </w:tr>
    </w:tbl>
    <w:p>
      <w:pPr>
        <w:pStyle w:val="BodyText"/>
      </w:pPr>
      <w:r>
        <w:rPr>
          <w:b/>
          <w:bCs/>
        </w:rPr>
        <w:t xml:space="preserve">The academic finding does not survive measurement.</w:t>
      </w:r>
      <w:r>
        <w:t xml:space="preserve"> </w:t>
      </w:r>
      <w:r>
        <w:t xml:space="preserve">It reverses direction</w:t>
      </w:r>
      <w:r>
        <w:t xml:space="preserve"> </w:t>
      </w:r>
      <w:r>
        <w:t xml:space="preserve">and becomes null, and its bootstrap retention falls from 47.4% to 5.6%, the</w:t>
      </w:r>
      <w:r>
        <w:t xml:space="preserve"> </w:t>
      </w:r>
      <w:r>
        <w:t xml:space="preserve">lowest of any term. Reported for three refits as</w:t>
      </w:r>
      <w:r>
        <w:t xml:space="preserve"> </w:t>
      </w:r>
      <w:r>
        <w:t xml:space="preserve">“academic affiliation is</w:t>
      </w:r>
      <w:r>
        <w:t xml:space="preserve"> </w:t>
      </w:r>
      <w:r>
        <w:t xml:space="preserve">associated with slower publication”</w:t>
      </w:r>
      <w:r>
        <w:t xml:space="preserve">, it was an artefact of a proxy that agreed</w:t>
      </w:r>
      <w:r>
        <w:t xml:space="preserve"> </w:t>
      </w:r>
      <w:r>
        <w:t xml:space="preserve">with the construct 54% of the time. It should be reported as no evidence of an</w:t>
      </w:r>
      <w:r>
        <w:t xml:space="preserve"> </w:t>
      </w:r>
      <w:r>
        <w:t xml:space="preserve">association.</w:t>
      </w:r>
    </w:p>
    <w:p>
      <w:pPr>
        <w:pStyle w:val="BodyText"/>
      </w:pP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survive, at 93.2% and 88.6% bootstrap retention. They</w:t>
      </w:r>
      <w:r>
        <w:t xml:space="preserve"> </w:t>
      </w:r>
      <w:r>
        <w:t xml:space="preserve">were never affiliation-derived and they do not move.</w:t>
      </w:r>
    </w:p>
    <w:bookmarkEnd w:id="236"/>
    <w:bookmarkStart w:id="237" w:name="X4590b6dd92ead22b7ab6d675fab63ab7b74b5f8"/>
    <w:p>
      <w:pPr>
        <w:pStyle w:val="Heading3"/>
      </w:pPr>
      <w:r>
        <w:t xml:space="preserve">A21.4 A second proportional-hazards violator</w:t>
      </w:r>
    </w:p>
    <w:p>
      <w:pPr>
        <w:pStyle w:val="FirstParagraph"/>
      </w:pPr>
      <w:r>
        <w:t xml:space="preserve">The global Schoenfeld test moves from p = 0.043 to</w:t>
      </w:r>
      <w:r>
        <w:t xml:space="preserve"> </w:t>
      </w:r>
      <w:r>
        <w:rPr>
          <w:b/>
          <w:bCs/>
        </w:rPr>
        <w:t xml:space="preserve">p = 0.010</w:t>
      </w:r>
      <w:r>
        <w:t xml:space="preserve">, and the</w:t>
      </w:r>
      <w:r>
        <w:t xml:space="preserve"> </w:t>
      </w:r>
      <w:r>
        <w:t xml:space="preserve">violation is no longer confined to one term:</w:t>
      </w:r>
      <w:r>
        <w:t xml:space="preserve"> </w:t>
      </w:r>
      <w:r>
        <w:rPr>
          <w:rStyle w:val="VerbatimChar"/>
        </w:rPr>
        <w:t xml:space="preserve">is_us_based</w:t>
      </w:r>
      <w:r>
        <w:t xml:space="preserve"> </w:t>
      </w:r>
      <w:r>
        <w:t xml:space="preserve">now violates at</w:t>
      </w:r>
      <w:r>
        <w:t xml:space="preserve"> </w:t>
      </w:r>
      <w:r>
        <w:t xml:space="preserve">p = 0.005 alongside</w:t>
      </w:r>
      <w:r>
        <w:t xml:space="preserve"> </w:t>
      </w:r>
      <w:r>
        <w:rPr>
          <w:rStyle w:val="VerbatimChar"/>
        </w:rPr>
        <w:t xml:space="preserve">n_authors</w:t>
      </w:r>
      <w:r>
        <w:t xml:space="preserve"> </w:t>
      </w:r>
      <w:r>
        <w:t xml:space="preserve">at p = 0.003.</w:t>
      </w:r>
    </w:p>
    <w:p>
      <w:pPr>
        <w:pStyle w:val="BodyText"/>
      </w:pPr>
      <w:r>
        <w:t xml:space="preserve">The remediation handled this without modification, which is what the generic</w:t>
      </w:r>
      <w:r>
        <w:t xml:space="preserve"> </w:t>
      </w:r>
      <w:r>
        <w:t xml:space="preserve">implementation was written for. It reads the violating set from</w:t>
      </w:r>
      <w:r>
        <w:t xml:space="preserve"> </w:t>
      </w:r>
      <w:r>
        <w:rPr>
          <w:rStyle w:val="VerbatimChar"/>
        </w:rPr>
        <w:t xml:space="preserve">cox.zph</w:t>
      </w:r>
      <w:r>
        <w:t xml:space="preserve"> </w:t>
      </w:r>
      <w:r>
        <w:t xml:space="preserve">and</w:t>
      </w:r>
      <w:r>
        <w:t xml:space="preserve"> </w:t>
      </w:r>
      <w:r>
        <w:t xml:space="preserve">chooses by type:</w:t>
      </w:r>
      <w:r>
        <w:t xml:space="preserve"> </w:t>
      </w:r>
      <w:r>
        <w:rPr>
          <w:rStyle w:val="VerbatimChar"/>
        </w:rPr>
        <w:t xml:space="preserve">n_authors</w:t>
      </w:r>
      <w:r>
        <w:t xml:space="preserve"> </w:t>
      </w:r>
      <w:r>
        <w:t xml:space="preserve">is numeric and takes a log-time interaction,</w:t>
      </w:r>
      <w:r>
        <w:t xml:space="preserve"> </w:t>
      </w:r>
      <w:r>
        <w:rPr>
          <w:rStyle w:val="VerbatimChar"/>
        </w:rPr>
        <w:t xml:space="preserve">is_us_based</w:t>
      </w:r>
      <w:r>
        <w:t xml:space="preserve"> </w:t>
      </w:r>
      <w:r>
        <w:t xml:space="preserve">is logical and moves into</w:t>
      </w:r>
      <w:r>
        <w:t xml:space="preserve"> </w:t>
      </w:r>
      <w:r>
        <w:rPr>
          <w:rStyle w:val="VerbatimChar"/>
        </w:rPr>
        <w:t xml:space="preserve">strata()</w:t>
      </w:r>
      <w:r>
        <w:t xml:space="preserve">. Stratifying on both</w:t>
      </w:r>
      <w:r>
        <w:t xml:space="preserve"> </w:t>
      </w:r>
      <w:r>
        <w:t xml:space="preserve">restores the global test to p = 0.607.</w:t>
      </w:r>
    </w:p>
    <w:p>
      <w:pPr>
        <w:pStyle w:val="BodyText"/>
      </w:pPr>
      <w:r>
        <w:t xml:space="preserve">The diagnostics script did need fixing. It assumed a single numeric violator</w:t>
      </w:r>
      <w:r>
        <w:t xml:space="preserve"> </w:t>
      </w:r>
      <w:r>
        <w:t xml:space="preserve">and took</w:t>
      </w:r>
      <w:r>
        <w:t xml:space="preserve"> </w:t>
      </w:r>
      <w:r>
        <w:rPr>
          <w:rStyle w:val="VerbatimChar"/>
        </w:rPr>
        <w:t xml:space="preserve">violators[1]</w:t>
      </w:r>
      <w:r>
        <w:t xml:space="preserve">, which with two violators selected the categorical one</w:t>
      </w:r>
      <w:r>
        <w:t xml:space="preserve"> </w:t>
      </w:r>
      <w:r>
        <w:t xml:space="preserve">and silently produced no AIC or ceiling metrics at all. It now selects the</w:t>
      </w:r>
      <w:r>
        <w:t xml:space="preserve"> </w:t>
      </w:r>
      <w:r>
        <w:t xml:space="preserve">first numeric violator for those metrics, reports how many terms violate, and</w:t>
      </w:r>
      <w:r>
        <w:t xml:space="preserve"> </w:t>
      </w:r>
      <w:r>
        <w:t xml:space="preserve">computes the</w:t>
      </w:r>
      <w:r>
        <w:t xml:space="preserve"> </w:t>
      </w:r>
      <w:r>
        <w:t xml:space="preserve">“without violator”</w:t>
      </w:r>
      <w:r>
        <w:t xml:space="preserve"> </w:t>
      </w:r>
      <w:r>
        <w:t xml:space="preserve">refit by dropping every violating term rather</w:t>
      </w:r>
      <w:r>
        <w:t xml:space="preserve"> </w:t>
      </w:r>
      <w:r>
        <w:t xml:space="preserve">than one.</w:t>
      </w:r>
    </w:p>
    <w:bookmarkEnd w:id="237"/>
    <w:bookmarkStart w:id="238" w:name="X42642850baf814f4018ce72226e7a9fa8056c27"/>
    <w:p>
      <w:pPr>
        <w:pStyle w:val="Heading3"/>
      </w:pPr>
      <w:r>
        <w:t xml:space="preserve">A21.5 What was audited and deliberately not changed</w:t>
      </w:r>
    </w:p>
    <w:p>
      <w:pPr>
        <w:pStyle w:val="FirstParagraph"/>
      </w:pPr>
      <w:r>
        <w:rPr>
          <w:rStyle w:val="VerbatimChar"/>
        </w:rPr>
        <w:t xml:space="preserve">n_affiliations</w:t>
      </w:r>
      <w:r>
        <w:t xml:space="preserve"> </w:t>
      </w:r>
      <w:r>
        <w:t xml:space="preserve">is now recorded from the source: mean 2.37 institutions per</w:t>
      </w:r>
      <w:r>
        <w:t xml:space="preserve"> </w:t>
      </w:r>
      <w:r>
        <w:t xml:space="preserve">abstract, 679 abstracts naming more than one.</w:t>
      </w:r>
    </w:p>
    <w:p>
      <w:pPr>
        <w:pStyle w:val="BodyText"/>
      </w:pPr>
      <w:r>
        <w:rPr>
          <w:rStyle w:val="VerbatimChar"/>
        </w:rPr>
        <w:t xml:space="preserve">is_multicenter</w:t>
      </w:r>
      <w:r>
        <w:t xml:space="preserve"> </w:t>
      </w:r>
      <w:r>
        <w:t xml:space="preserve">is unchanged at 65 abstracts, and the gap is deliberate. More</w:t>
      </w:r>
      <w:r>
        <w:t xml:space="preserve"> </w:t>
      </w:r>
      <w:r>
        <w:t xml:space="preserve">than one affiliation on a paper is not the same as a multicentre study: a</w:t>
      </w:r>
      <w:r>
        <w:t xml:space="preserve"> </w:t>
      </w:r>
      <w:r>
        <w:t xml:space="preserve">single-centre study routinely lists authors from several institutions, and a</w:t>
      </w:r>
      <w:r>
        <w:t xml:space="preserve"> </w:t>
      </w:r>
      <w:r>
        <w:t xml:space="preserve">collaborator’s home department is not a study site. Redefining</w:t>
      </w:r>
      <w:r>
        <w:t xml:space="preserve"> </w:t>
      </w:r>
      <w:r>
        <w:rPr>
          <w:rStyle w:val="VerbatimChar"/>
        </w:rPr>
        <w:t xml:space="preserve">is_multicenter</w:t>
      </w:r>
      <w:r>
        <w:t xml:space="preserve"> </w:t>
      </w:r>
      <w:r>
        <w:t xml:space="preserve">as</w:t>
      </w:r>
      <w:r>
        <w:t xml:space="preserve"> </w:t>
      </w:r>
      <w:r>
        <w:rPr>
          <w:rStyle w:val="VerbatimChar"/>
        </w:rPr>
        <w:t xml:space="preserve">n_affiliations &gt; 1</w:t>
      </w:r>
      <w:r>
        <w:t xml:space="preserve"> </w:t>
      </w:r>
      <w:r>
        <w:t xml:space="preserve">would take it from 65 to 679 and</w:t>
      </w:r>
      <w:r>
        <w:t xml:space="preserve"> </w:t>
      </w:r>
      <w:r>
        <w:t xml:space="preserve">change what the variable means, which is a decision about the estimand rather</w:t>
      </w:r>
      <w:r>
        <w:t xml:space="preserve"> </w:t>
      </w:r>
      <w:r>
        <w:t xml:space="preserve">than a measurement repair. It is left as text-derived and flagged.</w:t>
      </w:r>
    </w:p>
    <w:bookmarkEnd w:id="238"/>
    <w:bookmarkEnd w:id="239"/>
    <w:bookmarkStart w:id="244" w:name="a22.-is_multicenter-stays-a-text-claim"/>
    <w:p>
      <w:pPr>
        <w:pStyle w:val="Heading2"/>
      </w:pPr>
      <w:r>
        <w:t xml:space="preserve">A22.</w:t>
      </w:r>
      <w:r>
        <w:t xml:space="preserve"> </w:t>
      </w:r>
      <w:r>
        <w:rPr>
          <w:rStyle w:val="VerbatimChar"/>
        </w:rPr>
        <w:t xml:space="preserve">is_multicenter</w:t>
      </w:r>
      <w:r>
        <w:t xml:space="preserve"> </w:t>
      </w:r>
      <w:r>
        <w:t xml:space="preserve">Stays a Text Claim</w:t>
      </w:r>
    </w:p>
    <w:p>
      <w:pPr>
        <w:pStyle w:val="FirstParagraph"/>
      </w:pPr>
      <w:r>
        <w:rPr>
          <w:b/>
          <w:bCs/>
        </w:rPr>
        <w:t xml:space="preserve">PI decision, 2026-09-05: leave</w:t>
      </w:r>
      <w:r>
        <w:rPr>
          <w:b/>
          <w:bCs/>
        </w:rPr>
        <w:t xml:space="preserve"> </w:t>
      </w:r>
      <w:r>
        <w:rPr>
          <w:rStyle w:val="VerbatimChar"/>
          <w:b/>
          <w:bCs/>
        </w:rPr>
        <w:t xml:space="preserve">is_multicenter</w:t>
      </w:r>
      <w:r>
        <w:rPr>
          <w:b/>
          <w:bCs/>
        </w:rPr>
        <w:t xml:space="preserve"> </w:t>
      </w:r>
      <w:r>
        <w:rPr>
          <w:b/>
          <w:bCs/>
        </w:rPr>
        <w:t xml:space="preserve">as it is.</w:t>
      </w:r>
      <w:r>
        <w:t xml:space="preserve"> </w:t>
      </w:r>
      <w:r>
        <w:t xml:space="preserve">No code changed;</w:t>
      </w:r>
      <w:r>
        <w:t xml:space="preserve"> </w:t>
      </w:r>
      <w:r>
        <w:t xml:space="preserve">this records why, so the question is not reopened by the next person who</w:t>
      </w:r>
      <w:r>
        <w:t xml:space="preserve"> </w:t>
      </w:r>
      <w:r>
        <w:t xml:space="preserve">notices the gap.</w:t>
      </w:r>
    </w:p>
    <w:bookmarkStart w:id="240" w:name="a22.1-the-gap-that-prompted-the-question"/>
    <w:p>
      <w:pPr>
        <w:pStyle w:val="Heading3"/>
      </w:pPr>
      <w:r>
        <w:t xml:space="preserve">A22.1 The gap that prompted the question</w:t>
      </w:r>
    </w:p>
    <w:p>
      <w:pPr>
        <w:pStyle w:val="FirstParagraph"/>
      </w:pPr>
      <w:r>
        <w:t xml:space="preserve">A21 recovered author affiliations for 98.7% of the cohort, which made a</w:t>
      </w:r>
      <w:r>
        <w:t xml:space="preserve"> </w:t>
      </w:r>
      <w:r>
        <w:t xml:space="preserve">competing definition available for the first time. The two disagree in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n</w:t>
            </w:r>
          </w:p>
        </w:tc>
      </w:tr>
      <w:tr>
        <w:tc>
          <w:tcPr/>
          <w:p>
            <w:pPr>
              <w:pStyle w:val="Compact"/>
            </w:pPr>
            <w:r>
              <w:rPr>
                <w:rStyle w:val="VerbatimChar"/>
              </w:rPr>
              <w:t xml:space="preserve">is_multicenter</w:t>
            </w:r>
            <w:r>
              <w:t xml:space="preserve"> </w:t>
            </w:r>
            <w:r>
              <w:t xml:space="preserve">(abstract says so)</w:t>
            </w:r>
          </w:p>
        </w:tc>
        <w:tc>
          <w:tcPr/>
          <w:p>
            <w:pPr>
              <w:pStyle w:val="Compact"/>
              <w:jc w:val="right"/>
            </w:pPr>
            <w:r>
              <w:t xml:space="preserve">65</w:t>
            </w:r>
          </w:p>
        </w:tc>
      </w:tr>
      <w:tr>
        <w:tc>
          <w:tcPr/>
          <w:p>
            <w:pPr>
              <w:pStyle w:val="Compact"/>
            </w:pPr>
            <w:r>
              <w:t xml:space="preserve">more than one affiliation named</w:t>
            </w:r>
          </w:p>
        </w:tc>
        <w:tc>
          <w:tcPr/>
          <w:p>
            <w:pPr>
              <w:pStyle w:val="Compact"/>
              <w:jc w:val="right"/>
            </w:pPr>
            <w:r>
              <w:t xml:space="preserve">679</w:t>
            </w:r>
          </w:p>
        </w:tc>
      </w:tr>
      <w:tr>
        <w:tc>
          <w:tcPr/>
          <w:p>
            <w:pPr>
              <w:pStyle w:val="Compact"/>
            </w:pPr>
            <w:r>
              <w:t xml:space="preserve">both</w:t>
            </w:r>
          </w:p>
        </w:tc>
        <w:tc>
          <w:tcPr/>
          <w:p>
            <w:pPr>
              <w:pStyle w:val="Compact"/>
              <w:jc w:val="right"/>
            </w:pPr>
            <w:r>
              <w:t xml:space="preserve">58</w:t>
            </w:r>
          </w:p>
        </w:tc>
      </w:tr>
      <w:tr>
        <w:tc>
          <w:tcPr/>
          <w:p>
            <w:pPr>
              <w:pStyle w:val="Compact"/>
            </w:pPr>
            <w:r>
              <w:t xml:space="preserve">says multicentre, one affiliation</w:t>
            </w:r>
          </w:p>
        </w:tc>
        <w:tc>
          <w:tcPr/>
          <w:p>
            <w:pPr>
              <w:pStyle w:val="Compact"/>
              <w:jc w:val="right"/>
            </w:pPr>
            <w:r>
              <w:t xml:space="preserve">7</w:t>
            </w:r>
          </w:p>
        </w:tc>
      </w:tr>
    </w:tbl>
    <w:p>
      <w:pPr>
        <w:pStyle w:val="BodyText"/>
      </w:pPr>
      <w:r>
        <w:t xml:space="preserve">Fifty-eight of the 65 also name several institutions, so the measures agree</w:t>
      </w:r>
      <w:r>
        <w:t xml:space="preserve"> </w:t>
      </w:r>
      <w:r>
        <w:t xml:space="preserve">wherever the text is explicit. The 621 that name several institutions without</w:t>
      </w:r>
      <w:r>
        <w:t xml:space="preserve"> </w:t>
      </w:r>
      <w:r>
        <w:t xml:space="preserve">using the word are where they part.</w:t>
      </w:r>
    </w:p>
    <w:bookmarkEnd w:id="240"/>
    <w:bookmarkStart w:id="241" w:name="X3c806eb206b47a3dfc0a0501ee3ac46aec5e2b1"/>
    <w:p>
      <w:pPr>
        <w:pStyle w:val="Heading3"/>
      </w:pPr>
      <w:r>
        <w:t xml:space="preserve">A22.2 Why the larger number is not the better one</w:t>
      </w:r>
    </w:p>
    <w:p>
      <w:pPr>
        <w:pStyle w:val="FirstParagraph"/>
      </w:pPr>
      <w:r>
        <w:t xml:space="preserve">They measure different things.</w:t>
      </w:r>
      <w:r>
        <w:t xml:space="preserve"> </w:t>
      </w:r>
      <w:r>
        <w:rPr>
          <w:rStyle w:val="VerbatimChar"/>
        </w:rPr>
        <w:t xml:space="preserve">is_multicenter</w:t>
      </w:r>
      <w:r>
        <w:t xml:space="preserve"> </w:t>
      </w:r>
      <w:r>
        <w:t xml:space="preserve">is a claim about</w:t>
      </w:r>
      <w:r>
        <w:t xml:space="preserve"> </w:t>
      </w:r>
      <w:r>
        <w:rPr>
          <w:b/>
          <w:bCs/>
        </w:rPr>
        <w:t xml:space="preserve">study</w:t>
      </w:r>
      <w:r>
        <w:rPr>
          <w:b/>
          <w:bCs/>
        </w:rPr>
        <w:t xml:space="preserve"> </w:t>
      </w:r>
      <w:r>
        <w:rPr>
          <w:b/>
          <w:bCs/>
        </w:rPr>
        <w:t xml:space="preserve">design</w:t>
      </w:r>
      <w:r>
        <w:t xml:space="preserve">: the work was conducted at more than one site. Affiliation count is a</w:t>
      </w:r>
      <w:r>
        <w:t xml:space="preserve"> </w:t>
      </w:r>
      <w:r>
        <w:t xml:space="preserve">fact about</w:t>
      </w:r>
      <w:r>
        <w:t xml:space="preserve"> </w:t>
      </w:r>
      <w:r>
        <w:rPr>
          <w:b/>
          <w:bCs/>
        </w:rPr>
        <w:t xml:space="preserve">authorship</w:t>
      </w:r>
      <w:r>
        <w:t xml:space="preserve">: the people on the paper work at more than one</w:t>
      </w:r>
      <w:r>
        <w:t xml:space="preserve"> </w:t>
      </w:r>
      <w:r>
        <w:t xml:space="preserve">institution. A single-centre study with a statistician from another university</w:t>
      </w:r>
      <w:r>
        <w:t xml:space="preserve"> </w:t>
      </w:r>
      <w:r>
        <w:t xml:space="preserve">satisfies the second and not the first, and that arrangement is routine.</w:t>
      </w:r>
    </w:p>
    <w:p>
      <w:pPr>
        <w:pStyle w:val="BodyText"/>
      </w:pPr>
      <w:r>
        <w:t xml:space="preserve">Redefining the variable would take it from 65 to 679 and convert it from a</w:t>
      </w:r>
      <w:r>
        <w:t xml:space="preserve"> </w:t>
      </w:r>
      <w:r>
        <w:t xml:space="preserve">design measure into a collaboration-breadth measure while keeping the name.</w:t>
      </w:r>
      <w:r>
        <w:t xml:space="preserve"> </w:t>
      </w:r>
      <w:r>
        <w:t xml:space="preserve">That is a change to what is being estimated, not a repair of how it is</w:t>
      </w:r>
      <w:r>
        <w:t xml:space="preserve"> </w:t>
      </w:r>
      <w:r>
        <w:t xml:space="preserve">measured, and it is the opposite of what A21 did: A21 kept the construct and</w:t>
      </w:r>
      <w:r>
        <w:t xml:space="preserve"> </w:t>
      </w:r>
      <w:r>
        <w:t xml:space="preserve">fixed the instrument.</w:t>
      </w:r>
    </w:p>
    <w:bookmarkEnd w:id="241"/>
    <w:bookmarkStart w:id="242" w:name="X6e83b59574f98a106370011b02de62feafb2def"/>
    <w:p>
      <w:pPr>
        <w:pStyle w:val="Heading3"/>
      </w:pPr>
      <w:r>
        <w:t xml:space="preserve">A22.3 What the decision costs, stated plainly</w:t>
      </w:r>
    </w:p>
    <w:p>
      <w:pPr>
        <w:pStyle w:val="FirstParagraph"/>
      </w:pPr>
      <w:r>
        <w:t xml:space="preserve">The retained definition reads the abstract body, which is the same class of</w:t>
      </w:r>
      <w:r>
        <w:t xml:space="preserve"> </w:t>
      </w:r>
      <w:r>
        <w:t xml:space="preserve">instrument that produced the</w:t>
      </w:r>
      <w:r>
        <w:t xml:space="preserve"> </w:t>
      </w:r>
      <w:r>
        <w:rPr>
          <w:rStyle w:val="VerbatimChar"/>
        </w:rPr>
        <w:t xml:space="preserve">is_academic</w:t>
      </w:r>
      <w:r>
        <w:t xml:space="preserve"> </w:t>
      </w:r>
      <w:r>
        <w:t xml:space="preserve">artefact. Two consequences follow</w:t>
      </w:r>
      <w:r>
        <w:t xml:space="preserve"> </w:t>
      </w:r>
      <w:r>
        <w:t xml:space="preserve">and both are limitations of the study rather than defects to be fixed:</w:t>
      </w:r>
    </w:p>
    <w:p>
      <w:pPr>
        <w:pStyle w:val="Compact"/>
        <w:numPr>
          <w:ilvl w:val="0"/>
          <w:numId w:val="1013"/>
        </w:numPr>
      </w:pPr>
      <w:r>
        <w:t xml:space="preserve">It</w:t>
      </w:r>
      <w:r>
        <w:t xml:space="preserve"> </w:t>
      </w:r>
      <w:r>
        <w:rPr>
          <w:b/>
          <w:bCs/>
        </w:rPr>
        <w:t xml:space="preserve">under-counts</w:t>
      </w:r>
      <w:r>
        <w:t xml:space="preserve">. A two-site study that never writes</w:t>
      </w:r>
      <w:r>
        <w:t xml:space="preserve"> </w:t>
      </w:r>
      <w:r>
        <w:t xml:space="preserve">“multicentre”</w:t>
      </w:r>
      <w:r>
        <w:t xml:space="preserve"> </w:t>
      </w:r>
      <w:r>
        <w:t xml:space="preserve">is</w:t>
      </w:r>
      <w:r>
        <w:t xml:space="preserve"> </w:t>
      </w:r>
      <w:r>
        <w:t xml:space="preserve">recorded FALSE. There is no way to know how many, because the design is not</w:t>
      </w:r>
      <w:r>
        <w:t xml:space="preserve"> </w:t>
      </w:r>
      <w:r>
        <w:t xml:space="preserve">stated in a structured field anywhere in the source.</w:t>
      </w:r>
    </w:p>
    <w:p>
      <w:pPr>
        <w:pStyle w:val="Compact"/>
        <w:numPr>
          <w:ilvl w:val="0"/>
          <w:numId w:val="1013"/>
        </w:numPr>
      </w:pPr>
      <w:r>
        <w:t xml:space="preserve">It is</w:t>
      </w:r>
      <w:r>
        <w:t xml:space="preserve"> </w:t>
      </w:r>
      <w:r>
        <w:rPr>
          <w:b/>
          <w:bCs/>
        </w:rPr>
        <w:t xml:space="preserve">unavailable where the text is</w:t>
      </w:r>
      <w:r>
        <w:t xml:space="preserve">. 2017 and 2018 have no recoverable</w:t>
      </w:r>
      <w:r>
        <w:t xml:space="preserve"> </w:t>
      </w:r>
      <w:r>
        <w:t xml:space="preserve">abstract text, so their abstracts cannot express the claim and are FALSE by</w:t>
      </w:r>
      <w:r>
        <w:t xml:space="preserve"> </w:t>
      </w:r>
      <w:r>
        <w:t xml:space="preserve">absence, exactly the pattern A21 removed from</w:t>
      </w:r>
      <w:r>
        <w:t xml:space="preserve"> </w:t>
      </w:r>
      <w:r>
        <w:rPr>
          <w:rStyle w:val="VerbatimChar"/>
        </w:rPr>
        <w:t xml:space="preserve">is_academic</w:t>
      </w:r>
      <w:r>
        <w:t xml:space="preserve">.</w:t>
      </w:r>
    </w:p>
    <w:p>
      <w:pPr>
        <w:pStyle w:val="FirstParagraph"/>
      </w:pPr>
      <w:r>
        <w:t xml:space="preserve">The second is the more serious and is not remedied here. The variable is not</w:t>
      </w:r>
      <w:r>
        <w:t xml:space="preserve"> </w:t>
      </w:r>
      <w:r>
        <w:t xml:space="preserve">significant in either model (HR 1.361, p = 0.265), so no reported conclusion</w:t>
      </w:r>
      <w:r>
        <w:t xml:space="preserve"> </w:t>
      </w:r>
      <w:r>
        <w:t xml:space="preserve">rests on it; if one ever did, this limitation would need addressing first.</w:t>
      </w:r>
    </w:p>
    <w:bookmarkEnd w:id="242"/>
    <w:bookmarkStart w:id="243" w:name="a22.4-what-was-not-adopted"/>
    <w:p>
      <w:pPr>
        <w:pStyle w:val="Heading3"/>
      </w:pPr>
      <w:r>
        <w:t xml:space="preserve">A22.4 What was not adopted</w:t>
      </w:r>
    </w:p>
    <w:p>
      <w:pPr>
        <w:pStyle w:val="FirstParagraph"/>
      </w:pPr>
      <w:r>
        <w:rPr>
          <w:rStyle w:val="VerbatimChar"/>
        </w:rPr>
        <w:t xml:space="preserve">n_affiliations</w:t>
      </w:r>
      <w:r>
        <w:t xml:space="preserve"> </w:t>
      </w:r>
      <w:r>
        <w:t xml:space="preserve">is computed in</w:t>
      </w:r>
      <w:r>
        <w:t xml:space="preserve"> </w:t>
      </w:r>
      <w:r>
        <w:rPr>
          <w:rStyle w:val="VerbatimChar"/>
        </w:rPr>
        <w:t xml:space="preserve">data/processed/abstracts_cleaned.csv</w:t>
      </w:r>
      <w:r>
        <w:t xml:space="preserve"> </w:t>
      </w:r>
      <w:r>
        <w:t xml:space="preserve">and is</w:t>
      </w:r>
      <w:r>
        <w:t xml:space="preserve"> </w:t>
      </w:r>
      <w:r>
        <w:rPr>
          <w:b/>
          <w:bCs/>
        </w:rPr>
        <w:t xml:space="preserve">not</w:t>
      </w:r>
      <w:r>
        <w:t xml:space="preserve"> </w:t>
      </w:r>
      <w:r>
        <w:t xml:space="preserve">carried into the analytical dataset, which remains 93 columns. Under</w:t>
      </w:r>
      <w:r>
        <w:t xml:space="preserve"> </w:t>
      </w:r>
      <w:r>
        <w:t xml:space="preserve">this decision nothing needs it. It is retained at that stage as the evidence</w:t>
      </w:r>
      <w:r>
        <w:t xml:space="preserve"> </w:t>
      </w:r>
      <w:r>
        <w:t xml:space="preserve">behind the table above, and propagating it would be a schema change to serve a</w:t>
      </w:r>
      <w:r>
        <w:t xml:space="preserve"> </w:t>
      </w:r>
      <w:r>
        <w:t xml:space="preserve">definition that was not adopted.</w:t>
      </w:r>
    </w:p>
    <w:bookmarkEnd w:id="243"/>
    <w:bookmarkEnd w:id="244"/>
    <w:bookmarkStart w:id="250" w:name="X483ace9db0f67a34e1c9743f2fb173f9d3bf059"/>
    <w:p>
      <w:pPr>
        <w:pStyle w:val="Heading2"/>
      </w:pPr>
      <w:r>
        <w:t xml:space="preserve">A23. Cohort Truncation: What Can and Cannot Be Established</w:t>
      </w:r>
    </w:p>
    <w:p>
      <w:pPr>
        <w:pStyle w:val="FirstParagraph"/>
      </w:pPr>
      <w:r>
        <w:t xml:space="preserve">A14 recorded that the pipeline holds 1,154 of 7,711 supplement items and that</w:t>
      </w:r>
      <w:r>
        <w:t xml:space="preserve"> </w:t>
      </w:r>
      <w:r>
        <w:t xml:space="preserve">re-ingestion would require redoing the search and the adjudication. This</w:t>
      </w:r>
      <w:r>
        <w:t xml:space="preserve"> </w:t>
      </w:r>
      <w:r>
        <w:t xml:space="preserve">appendix goes further: it establishes what the truncation does to the estimate,</w:t>
      </w:r>
      <w:r>
        <w:t xml:space="preserve"> </w:t>
      </w:r>
      <w:r>
        <w:t xml:space="preserve">and which sources were tried and rejected for closing it.</w:t>
      </w:r>
    </w:p>
    <w:p>
      <w:pPr>
        <w:pStyle w:val="BodyText"/>
      </w:pPr>
      <w:r>
        <w:t xml:space="preserve">Nothing here changes a reported number. The cohort remains 1,106 abstracts.</w:t>
      </w:r>
    </w:p>
    <w:bookmarkStart w:id="245" w:name="X9edc2b8eaa0ebcdd72d4b4bcbb38790dd14e1bb"/>
    <w:p>
      <w:pPr>
        <w:pStyle w:val="Heading3"/>
      </w:pPr>
      <w:r>
        <w:t xml:space="preserve">A23.1 The captured set is not a random sample</w:t>
      </w:r>
    </w:p>
    <w:p>
      <w:pPr>
        <w:pStyle w:val="FirstParagraph"/>
      </w:pPr>
      <w:r>
        <w:rPr>
          <w:rStyle w:val="VerbatimChar"/>
        </w:rPr>
        <w:t xml:space="preserve">R/01b_parse_web.R</w:t>
      </w:r>
      <w:r>
        <w:t xml:space="preserve"> </w:t>
      </w:r>
      <w:r>
        <w:t xml:space="preserve">fetches one issue-listing page per congress. Offset</w:t>
      </w:r>
      <w:r>
        <w:t xml:space="preserve"> </w:t>
      </w:r>
      <w:r>
        <w:t xml:space="preserve">pagination is attempted only when a page returns exactly 100 items, and</w:t>
      </w:r>
      <w:r>
        <w:t xml:space="preserve"> </w:t>
      </w:r>
      <w:r>
        <w:t xml:space="preserve">ScienceDirect returns the same page for every offset, so the loop breaks on the</w:t>
      </w:r>
      <w:r>
        <w:t xml:space="preserve"> </w:t>
      </w:r>
      <w:r>
        <w:t xml:space="preserve">first iteration. Each congress is capped at roughly 100 presentations.</w:t>
      </w:r>
    </w:p>
    <w:p>
      <w:pPr>
        <w:pStyle w:val="BodyText"/>
      </w:pPr>
      <w:r>
        <w:t xml:space="preserve">The consequence is structural rather than statistical. The cohort is the</w:t>
      </w:r>
      <w:r>
        <w:t xml:space="preserve"> </w:t>
      </w:r>
      <w:r>
        <w:rPr>
          <w:b/>
          <w:bCs/>
        </w:rPr>
        <w:t xml:space="preserve">first N pages of each supplement in printed order</w:t>
      </w:r>
      <w:r>
        <w:t xml:space="preserve">, not a sample drawn from</w:t>
      </w:r>
      <w:r>
        <w:t xml:space="preserve"> </w:t>
      </w:r>
      <w:r>
        <w:t xml:space="preserve">it. Captured page ranges end at S26 to S60 against supplements running to S136</w:t>
      </w:r>
      <w:r>
        <w:t xml:space="preserve"> </w:t>
      </w:r>
      <w:r>
        <w:t xml:space="preserve">to S286.</w:t>
      </w:r>
    </w:p>
    <w:bookmarkEnd w:id="245"/>
    <w:bookmarkStart w:id="246" w:name="X6bc036b7a2b98db73ce0ef3852a1625b19e77b9"/>
    <w:p>
      <w:pPr>
        <w:pStyle w:val="Heading3"/>
      </w:pPr>
      <w:r>
        <w:t xml:space="preserve">A23.2 The bias has a measurable direction</w:t>
      </w:r>
    </w:p>
    <w:p>
      <w:pPr>
        <w:pStyle w:val="FirstParagraph"/>
      </w:pPr>
      <w:r>
        <w:rPr>
          <w:rStyle w:val="VerbatimChar"/>
        </w:rPr>
        <w:t xml:space="preserve">scripts/cohort_truncation_bias.R</w:t>
      </w:r>
      <w:r>
        <w:t xml:space="preserve"> </w:t>
      </w:r>
      <w:r>
        <w:t xml:space="preserve">tests whether publication varies with</w:t>
      </w:r>
      <w:r>
        <w:t xml:space="preserve"> </w:t>
      </w:r>
      <w:r>
        <w:t xml:space="preserve">position inside the window that was captured.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position quintile</w:t>
            </w:r>
          </w:p>
        </w:tc>
        <w:tc>
          <w:tcPr/>
          <w:p>
            <w:pPr>
              <w:pStyle w:val="Compact"/>
              <w:jc w:val="right"/>
            </w:pPr>
            <w:r>
              <w:t xml:space="preserve">n</w:t>
            </w:r>
          </w:p>
        </w:tc>
        <w:tc>
          <w:tcPr/>
          <w:p>
            <w:pPr>
              <w:pStyle w:val="Compact"/>
              <w:jc w:val="right"/>
            </w:pPr>
            <w:r>
              <w:t xml:space="preserve">published</w:t>
            </w:r>
          </w:p>
        </w:tc>
        <w:tc>
          <w:tcPr/>
          <w:p>
            <w:pPr>
              <w:pStyle w:val="Compact"/>
              <w:jc w:val="right"/>
            </w:pPr>
            <w:r>
              <w:t xml:space="preserve">rate</w:t>
            </w:r>
          </w:p>
        </w:tc>
        <w:tc>
          <w:tcPr/>
          <w:p>
            <w:pPr>
              <w:pStyle w:val="Compact"/>
              <w:jc w:val="right"/>
            </w:pPr>
            <w:r>
              <w:t xml:space="preserve">% RCT</w:t>
            </w:r>
          </w:p>
        </w:tc>
      </w:tr>
      <w:tr>
        <w:tc>
          <w:tcPr/>
          <w:p>
            <w:pPr>
              <w:pStyle w:val="Compact"/>
              <w:jc w:val="right"/>
            </w:pPr>
            <w:r>
              <w:t xml:space="preserve">1 (earliest pages)</w:t>
            </w:r>
          </w:p>
        </w:tc>
        <w:tc>
          <w:tcPr/>
          <w:p>
            <w:pPr>
              <w:pStyle w:val="Compact"/>
              <w:jc w:val="right"/>
            </w:pPr>
            <w:r>
              <w:t xml:space="preserve">211</w:t>
            </w:r>
          </w:p>
        </w:tc>
        <w:tc>
          <w:tcPr/>
          <w:p>
            <w:pPr>
              <w:pStyle w:val="Compact"/>
              <w:jc w:val="right"/>
            </w:pPr>
            <w:r>
              <w:t xml:space="preserve">40</w:t>
            </w:r>
          </w:p>
        </w:tc>
        <w:tc>
          <w:tcPr/>
          <w:p>
            <w:pPr>
              <w:pStyle w:val="Compact"/>
              <w:jc w:val="right"/>
            </w:pPr>
            <w:r>
              <w:t xml:space="preserve">19.0%</w:t>
            </w:r>
          </w:p>
        </w:tc>
        <w:tc>
          <w:tcPr/>
          <w:p>
            <w:pPr>
              <w:pStyle w:val="Compact"/>
              <w:jc w:val="right"/>
            </w:pPr>
            <w:r>
              <w:t xml:space="preserve">9.5</w:t>
            </w:r>
          </w:p>
        </w:tc>
      </w:tr>
      <w:tr>
        <w:tc>
          <w:tcPr/>
          <w:p>
            <w:pPr>
              <w:pStyle w:val="Compact"/>
              <w:jc w:val="right"/>
            </w:pPr>
            <w:r>
              <w:t xml:space="preserve">2</w:t>
            </w:r>
          </w:p>
        </w:tc>
        <w:tc>
          <w:tcPr/>
          <w:p>
            <w:pPr>
              <w:pStyle w:val="Compact"/>
              <w:jc w:val="right"/>
            </w:pPr>
            <w:r>
              <w:t xml:space="preserve">210</w:t>
            </w:r>
          </w:p>
        </w:tc>
        <w:tc>
          <w:tcPr/>
          <w:p>
            <w:pPr>
              <w:pStyle w:val="Compact"/>
              <w:jc w:val="right"/>
            </w:pPr>
            <w:r>
              <w:t xml:space="preserve">34</w:t>
            </w:r>
          </w:p>
        </w:tc>
        <w:tc>
          <w:tcPr/>
          <w:p>
            <w:pPr>
              <w:pStyle w:val="Compact"/>
              <w:jc w:val="right"/>
            </w:pPr>
            <w:r>
              <w:t xml:space="preserve">16.2%</w:t>
            </w:r>
          </w:p>
        </w:tc>
        <w:tc>
          <w:tcPr/>
          <w:p>
            <w:pPr>
              <w:pStyle w:val="Compact"/>
              <w:jc w:val="right"/>
            </w:pPr>
            <w:r>
              <w:t xml:space="preserve">6.2</w:t>
            </w:r>
          </w:p>
        </w:tc>
      </w:tr>
      <w:tr>
        <w:tc>
          <w:tcPr/>
          <w:p>
            <w:pPr>
              <w:pStyle w:val="Compact"/>
              <w:jc w:val="right"/>
            </w:pPr>
            <w:r>
              <w:t xml:space="preserve">3</w:t>
            </w:r>
          </w:p>
        </w:tc>
        <w:tc>
          <w:tcPr/>
          <w:p>
            <w:pPr>
              <w:pStyle w:val="Compact"/>
              <w:jc w:val="right"/>
            </w:pPr>
            <w:r>
              <w:t xml:space="preserve">210</w:t>
            </w:r>
          </w:p>
        </w:tc>
        <w:tc>
          <w:tcPr/>
          <w:p>
            <w:pPr>
              <w:pStyle w:val="Compact"/>
              <w:jc w:val="right"/>
            </w:pPr>
            <w:r>
              <w:t xml:space="preserve">41</w:t>
            </w:r>
          </w:p>
        </w:tc>
        <w:tc>
          <w:tcPr/>
          <w:p>
            <w:pPr>
              <w:pStyle w:val="Compact"/>
              <w:jc w:val="right"/>
            </w:pPr>
            <w:r>
              <w:t xml:space="preserve">19.5%</w:t>
            </w:r>
          </w:p>
        </w:tc>
        <w:tc>
          <w:tcPr/>
          <w:p>
            <w:pPr>
              <w:pStyle w:val="Compact"/>
              <w:jc w:val="right"/>
            </w:pPr>
            <w:r>
              <w:t xml:space="preserve">9.0</w:t>
            </w:r>
          </w:p>
        </w:tc>
      </w:tr>
      <w:tr>
        <w:tc>
          <w:tcPr/>
          <w:p>
            <w:pPr>
              <w:pStyle w:val="Compact"/>
              <w:jc w:val="right"/>
            </w:pPr>
            <w:r>
              <w:t xml:space="preserve">4</w:t>
            </w:r>
          </w:p>
        </w:tc>
        <w:tc>
          <w:tcPr/>
          <w:p>
            <w:pPr>
              <w:pStyle w:val="Compact"/>
              <w:jc w:val="right"/>
            </w:pPr>
            <w:r>
              <w:t xml:space="preserve">210</w:t>
            </w:r>
          </w:p>
        </w:tc>
        <w:tc>
          <w:tcPr/>
          <w:p>
            <w:pPr>
              <w:pStyle w:val="Compact"/>
              <w:jc w:val="right"/>
            </w:pPr>
            <w:r>
              <w:t xml:space="preserve">23</w:t>
            </w:r>
          </w:p>
        </w:tc>
        <w:tc>
          <w:tcPr/>
          <w:p>
            <w:pPr>
              <w:pStyle w:val="Compact"/>
              <w:jc w:val="right"/>
            </w:pPr>
            <w:r>
              <w:t xml:space="preserve">11.0%</w:t>
            </w:r>
          </w:p>
        </w:tc>
        <w:tc>
          <w:tcPr/>
          <w:p>
            <w:pPr>
              <w:pStyle w:val="Compact"/>
              <w:jc w:val="right"/>
            </w:pPr>
            <w:r>
              <w:t xml:space="preserve">7.6</w:t>
            </w:r>
          </w:p>
        </w:tc>
      </w:tr>
      <w:tr>
        <w:tc>
          <w:tcPr/>
          <w:p>
            <w:pPr>
              <w:pStyle w:val="Compact"/>
              <w:jc w:val="right"/>
            </w:pPr>
            <w:r>
              <w:t xml:space="preserve">5 (latest captured)</w:t>
            </w:r>
          </w:p>
        </w:tc>
        <w:tc>
          <w:tcPr/>
          <w:p>
            <w:pPr>
              <w:pStyle w:val="Compact"/>
              <w:jc w:val="right"/>
            </w:pPr>
            <w:r>
              <w:t xml:space="preserve">210</w:t>
            </w:r>
          </w:p>
        </w:tc>
        <w:tc>
          <w:tcPr/>
          <w:p>
            <w:pPr>
              <w:pStyle w:val="Compact"/>
              <w:jc w:val="right"/>
            </w:pPr>
            <w:r>
              <w:t xml:space="preserve">32</w:t>
            </w:r>
          </w:p>
        </w:tc>
        <w:tc>
          <w:tcPr/>
          <w:p>
            <w:pPr>
              <w:pStyle w:val="Compact"/>
              <w:jc w:val="right"/>
            </w:pPr>
            <w:r>
              <w:t xml:space="preserve">15.2%</w:t>
            </w:r>
          </w:p>
        </w:tc>
        <w:tc>
          <w:tcPr/>
          <w:p>
            <w:pPr>
              <w:pStyle w:val="Compact"/>
              <w:jc w:val="right"/>
            </w:pPr>
            <w:r>
              <w:t xml:space="preserve">13.3</w:t>
            </w:r>
          </w:p>
        </w:tc>
      </w:tr>
    </w:tbl>
    <w:p>
      <w:pPr>
        <w:pStyle w:val="BodyText"/>
      </w:pPr>
      <w:r>
        <w:t xml:space="preserve">Adjusted for congress year, the odds of publication fall across the window:</w:t>
      </w:r>
      <w:r>
        <w:t xml:space="preserve"> </w:t>
      </w:r>
      <w:r>
        <w:t xml:space="preserve">odds ratio</w:t>
      </w:r>
      <w:r>
        <w:t xml:space="preserve"> </w:t>
      </w:r>
      <w:r>
        <w:rPr>
          <w:b/>
          <w:bCs/>
        </w:rPr>
        <w:t xml:space="preserve">0.607</w:t>
      </w:r>
      <w:r>
        <w:t xml:space="preserve">, p = 0.080. That is not significant, and it is not nothing.</w:t>
      </w:r>
      <w:r>
        <w:t xml:space="preserve"> </w:t>
      </w:r>
      <w:r>
        <w:t xml:space="preserve">Read as a direction, later pages publish less, which would make</w:t>
      </w:r>
      <w:r>
        <w:t xml:space="preserve"> </w:t>
      </w:r>
      <w:r>
        <w:rPr>
          <w:b/>
          <w:bCs/>
        </w:rPr>
        <w:t xml:space="preserve">16.2% an</w:t>
      </w:r>
      <w:r>
        <w:rPr>
          <w:b/>
          <w:bCs/>
        </w:rPr>
        <w:t xml:space="preserve"> </w:t>
      </w:r>
      <w:r>
        <w:rPr>
          <w:b/>
          <w:bCs/>
        </w:rPr>
        <w:t xml:space="preserve">over-estimate</w:t>
      </w:r>
      <w:r>
        <w:t xml:space="preserve"> </w:t>
      </w:r>
      <w:r>
        <w:t xml:space="preserve">of the rate across a complete supplement.</w:t>
      </w:r>
    </w:p>
    <w:p>
      <w:pPr>
        <w:pStyle w:val="BodyText"/>
      </w:pPr>
      <w:r>
        <w:t xml:space="preserve">Two cautions on reading it further. The test spans only the first ~15% of each</w:t>
      </w:r>
      <w:r>
        <w:t xml:space="preserve"> </w:t>
      </w:r>
      <w:r>
        <w:t xml:space="preserve">supplement and says nothing about pages beyond it, where the trend could</w:t>
      </w:r>
      <w:r>
        <w:t xml:space="preserve"> </w:t>
      </w:r>
      <w:r>
        <w:t xml:space="preserve">flatten, continue or reverse. And RCTs, the strongest predictor of publication</w:t>
      </w:r>
      <w:r>
        <w:t xml:space="preserve"> </w:t>
      </w:r>
      <w:r>
        <w:t xml:space="preserve">in the model, are</w:t>
      </w:r>
      <w:r>
        <w:t xml:space="preserve"> </w:t>
      </w:r>
      <w:r>
        <w:rPr>
          <w:i/>
          <w:iCs/>
        </w:rPr>
        <w:t xml:space="preserve">more</w:t>
      </w:r>
      <w:r>
        <w:t xml:space="preserve"> </w:t>
      </w:r>
      <w:r>
        <w:t xml:space="preserve">frequent in the last captured quintile (13.3% against</w:t>
      </w:r>
      <w:r>
        <w:t xml:space="preserve"> </w:t>
      </w:r>
      <w:r>
        <w:t xml:space="preserve">9.5% in the first), which cuts the other way. The honest summary is a weak</w:t>
      </w:r>
      <w:r>
        <w:t xml:space="preserve"> </w:t>
      </w:r>
      <w:r>
        <w:t xml:space="preserve">signal toward over-estimation with an unmeasurable magnitude.</w:t>
      </w:r>
    </w:p>
    <w:bookmarkEnd w:id="246"/>
    <w:bookmarkStart w:id="247" w:name="Xb774aff3041e1a75c5e3b24ab0d39401d35c78d"/>
    <w:p>
      <w:pPr>
        <w:pStyle w:val="Heading3"/>
      </w:pPr>
      <w:r>
        <w:t xml:space="preserve">A23.3 Why the truncation cannot currently be closed</w:t>
      </w:r>
    </w:p>
    <w:p>
      <w:pPr>
        <w:pStyle w:val="FirstParagraph"/>
      </w:pPr>
      <w:r>
        <w:t xml:space="preserve">Three routes were tried.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status</w:t>
            </w:r>
          </w:p>
        </w:tc>
      </w:tr>
      <w:tr>
        <w:tc>
          <w:tcPr/>
          <w:p>
            <w:pPr>
              <w:pStyle w:val="Compact"/>
            </w:pPr>
            <w:r>
              <w:t xml:space="preserve">ScienceDirect issue listing</w:t>
            </w:r>
          </w:p>
        </w:tc>
        <w:tc>
          <w:tcPr/>
          <w:p>
            <w:pPr>
              <w:pStyle w:val="Compact"/>
            </w:pPr>
            <w:r>
              <w:rPr>
                <w:b/>
                <w:bCs/>
              </w:rPr>
              <w:t xml:space="preserve">HTTP 403</w:t>
            </w:r>
            <w:r>
              <w:t xml:space="preserve"> </w:t>
            </w:r>
            <w:r>
              <w:t xml:space="preserve">to this machine. The origin of the cohort is no longer reachable.</w:t>
            </w:r>
          </w:p>
        </w:tc>
      </w:tr>
      <w:tr>
        <w:tc>
          <w:tcPr/>
          <w:p>
            <w:pPr>
              <w:pStyle w:val="Compact"/>
            </w:pPr>
            <w:r>
              <w:t xml:space="preserve">Supplement PDFs</w:t>
            </w:r>
          </w:p>
        </w:tc>
        <w:tc>
          <w:tcPr/>
          <w:p>
            <w:pPr>
              <w:pStyle w:val="Compact"/>
            </w:pPr>
            <w:r>
              <w:t xml:space="preserve">Not held.</w:t>
            </w:r>
            <w:r>
              <w:t xml:space="preserve"> </w:t>
            </w:r>
            <w:r>
              <w:rPr>
                <w:rStyle w:val="VerbatimChar"/>
              </w:rPr>
              <w:t xml:space="preserve">R/01_parse_pdf.R</w:t>
            </w:r>
            <w:r>
              <w:t xml:space="preserve"> </w:t>
            </w:r>
            <w:r>
              <w:t xml:space="preserve">expects one file for 2023 only, and</w:t>
            </w:r>
            <w:r>
              <w:t xml:space="preserve"> </w:t>
            </w:r>
            <w:r>
              <w:rPr>
                <w:rStyle w:val="VerbatimChar"/>
              </w:rPr>
              <w:t xml:space="preserve">data/raw/</w:t>
            </w:r>
            <w:r>
              <w:t xml:space="preserve"> </w:t>
            </w:r>
            <w:r>
              <w:t xml:space="preserve">is empty. Obtaining twelve supplements needs institutional access.</w:t>
            </w:r>
          </w:p>
        </w:tc>
      </w:tr>
      <w:tr>
        <w:tc>
          <w:tcPr/>
          <w:p>
            <w:pPr>
              <w:pStyle w:val="Compact"/>
            </w:pPr>
            <w:r>
              <w:t xml:space="preserve">Crossref deposit</w:t>
            </w:r>
          </w:p>
        </w:tc>
        <w:tc>
          <w:tcPr/>
          <w:p>
            <w:pPr>
              <w:pStyle w:val="Compact"/>
            </w:pPr>
            <w:r>
              <w:rPr>
                <w:b/>
                <w:bCs/>
              </w:rPr>
              <w:t xml:space="preserve">Complete and public</w:t>
            </w:r>
            <w:r>
              <w:t xml:space="preserve">, and already cached for all twelve congresses. It carries DOI, page, title and authors, which is enough to drive the matching pipeline. It carries</w:t>
            </w:r>
            <w:r>
              <w:t xml:space="preserve"> </w:t>
            </w:r>
            <w:r>
              <w:rPr>
                <w:b/>
                <w:bCs/>
              </w:rPr>
              <w:t xml:space="preserve">no session type</w:t>
            </w:r>
            <w:r>
              <w:t xml:space="preserve">.</w:t>
            </w:r>
          </w:p>
        </w:tc>
      </w:tr>
    </w:tbl>
    <w:p>
      <w:pPr>
        <w:pStyle w:val="BodyText"/>
      </w:pPr>
      <w:r>
        <w:t xml:space="preserve">The Crossref record was checked field by field. It exposes</w:t>
      </w:r>
      <w:r>
        <w:t xml:space="preserve"> </w:t>
      </w:r>
      <w:r>
        <w:rPr>
          <w:rStyle w:val="VerbatimChar"/>
        </w:rPr>
        <w:t xml:space="preserve">type</w:t>
      </w:r>
      <w:r>
        <w:t xml:space="preserve"> </w:t>
      </w:r>
      <w:r>
        <w:t xml:space="preserve">(</w:t>
      </w:r>
      <w:r>
        <w:rPr>
          <w:rStyle w:val="VerbatimChar"/>
        </w:rPr>
        <w:t xml:space="preserve">journal-article</w:t>
      </w:r>
      <w:r>
        <w:t xml:space="preserve"> </w:t>
      </w:r>
      <w:r>
        <w:t xml:space="preserve">for every item), an empty</w:t>
      </w:r>
      <w:r>
        <w:t xml:space="preserve"> </w:t>
      </w:r>
      <w:r>
        <w:rPr>
          <w:rStyle w:val="VerbatimChar"/>
        </w:rPr>
        <w:t xml:space="preserve">subject</w:t>
      </w:r>
      <w:r>
        <w:t xml:space="preserve">,</w:t>
      </w:r>
      <w:r>
        <w:t xml:space="preserve"> </w:t>
      </w:r>
      <w:r>
        <w:rPr>
          <w:rStyle w:val="VerbatimChar"/>
        </w:rPr>
        <w:t xml:space="preserve">special_numbering</w:t>
      </w:r>
      <w:r>
        <w:t xml:space="preserve">,</w:t>
      </w:r>
      <w:r>
        <w:t xml:space="preserve"> </w:t>
      </w:r>
      <w:r>
        <w:rPr>
          <w:rStyle w:val="VerbatimChar"/>
        </w:rPr>
        <w:t xml:space="preserve">container-title</w:t>
      </w:r>
      <w:r>
        <w:t xml:space="preserve"> </w:t>
      </w:r>
      <w:r>
        <w:t xml:space="preserve">and the author list. Nothing distinguishes an oral</w:t>
      </w:r>
      <w:r>
        <w:t xml:space="preserve"> </w:t>
      </w:r>
      <w:r>
        <w:t xml:space="preserve">presentation from a video or a poster.</w:t>
      </w:r>
    </w:p>
    <w:p>
      <w:pPr>
        <w:pStyle w:val="BodyText"/>
      </w:pPr>
      <w:r>
        <w:t xml:space="preserve">That is the blocking fact. The study population is oral presentations; videos</w:t>
      </w:r>
      <w:r>
        <w:t xml:space="preserve"> </w:t>
      </w:r>
      <w:r>
        <w:t xml:space="preserve">are excluded by design and posters were never in scope. A random sample of</w:t>
      </w:r>
      <w:r>
        <w:t xml:space="preserve"> </w:t>
      </w:r>
      <w:r>
        <w:t xml:space="preserve">uncaptured Crossref items would mix all three, and there is no reachable source</w:t>
      </w:r>
      <w:r>
        <w:t xml:space="preserve"> </w:t>
      </w:r>
      <w:r>
        <w:t xml:space="preserve">that labels them.</w:t>
      </w:r>
    </w:p>
    <w:p>
      <w:pPr>
        <w:pStyle w:val="BodyText"/>
      </w:pPr>
      <w:r>
        <w:t xml:space="preserve">Indirect inference does not rescue it. In the two congresses where the capture</w:t>
      </w:r>
      <w:r>
        <w:t xml:space="preserve"> </w:t>
      </w:r>
      <w:r>
        <w:t xml:space="preserve">window crossed the boundary, orals end at S36 (2022) and S26 (2023), suggesting</w:t>
      </w:r>
      <w:r>
        <w:t xml:space="preserve"> </w:t>
      </w:r>
      <w:r>
        <w:t xml:space="preserve">a short oral block. But the items immediately past the 2015 and 2019 boundaries</w:t>
      </w:r>
      <w:r>
        <w:t xml:space="preserve"> </w:t>
      </w:r>
      <w:r>
        <w:t xml:space="preserve">are titled as randomised trials and comparative studies, which are oral-type</w:t>
      </w:r>
      <w:r>
        <w:t xml:space="preserve"> </w:t>
      </w:r>
      <w:r>
        <w:t xml:space="preserve">research abstracts, so the boundary is not consistently placed. Item density</w:t>
      </w:r>
      <w:r>
        <w:t xml:space="preserve"> </w:t>
      </w:r>
      <w:r>
        <w:t xml:space="preserve">per page does not separate the blocks either.</w:t>
      </w:r>
    </w:p>
    <w:bookmarkEnd w:id="247"/>
    <w:bookmarkStart w:id="248" w:name="X8f84d06327ab0f9f6b7ae823a7fd9ef174cf8b3"/>
    <w:p>
      <w:pPr>
        <w:pStyle w:val="Heading3"/>
      </w:pPr>
      <w:r>
        <w:t xml:space="preserve">A23.4 What would close it, and what it would cost</w:t>
      </w:r>
    </w:p>
    <w:p>
      <w:pPr>
        <w:pStyle w:val="FirstParagraph"/>
      </w:pPr>
      <w:r>
        <w:t xml:space="preserve">A probe study is the tractable design, and it is tractable only if the session</w:t>
      </w:r>
      <w:r>
        <w:t xml:space="preserve"> </w:t>
      </w:r>
      <w:r>
        <w:t xml:space="preserve">type problem is solved first.</w:t>
      </w:r>
    </w:p>
    <w:p>
      <w:pPr>
        <w:pStyle w:val="Compact"/>
        <w:numPr>
          <w:ilvl w:val="0"/>
          <w:numId w:val="1014"/>
        </w:numPr>
      </w:pPr>
      <w:r>
        <w:t xml:space="preserve">Obtain session structure for one or two congresses, from the supplement PDF</w:t>
      </w:r>
      <w:r>
        <w:t xml:space="preserve"> </w:t>
      </w:r>
      <w:r>
        <w:t xml:space="preserve">or an authenticated ScienceDirect session. Without this, nothing else is</w:t>
      </w:r>
      <w:r>
        <w:t xml:space="preserve"> </w:t>
      </w:r>
      <w:r>
        <w:t xml:space="preserve">worth starting.</w:t>
      </w:r>
    </w:p>
    <w:p>
      <w:pPr>
        <w:pStyle w:val="Compact"/>
        <w:numPr>
          <w:ilvl w:val="0"/>
          <w:numId w:val="1014"/>
        </w:numPr>
      </w:pPr>
      <w:r>
        <w:t xml:space="preserve">Draw a random sample of uncaptured</w:t>
      </w:r>
      <w:r>
        <w:t xml:space="preserve"> </w:t>
      </w:r>
      <w:r>
        <w:rPr>
          <w:b/>
          <w:bCs/>
        </w:rPr>
        <w:t xml:space="preserve">oral</w:t>
      </w:r>
      <w:r>
        <w:t xml:space="preserve"> </w:t>
      </w:r>
      <w:r>
        <w:t xml:space="preserve">items, on the order of 150 to</w:t>
      </w:r>
      <w:r>
        <w:t xml:space="preserve"> </w:t>
      </w:r>
      <w:r>
        <w:t xml:space="preserve">200, and pull title and authors from the existing Crossref cache.</w:t>
      </w:r>
    </w:p>
    <w:p>
      <w:pPr>
        <w:pStyle w:val="Compact"/>
        <w:numPr>
          <w:ilvl w:val="0"/>
          <w:numId w:val="1014"/>
        </w:numPr>
      </w:pPr>
      <w:r>
        <w:t xml:space="preserve">Run the existing search and scoring pipeline over the sample, and adjudicate</w:t>
      </w:r>
      <w:r>
        <w:t xml:space="preserve"> </w:t>
      </w:r>
      <w:r>
        <w:t xml:space="preserve">it to the same standard as the main cohort.</w:t>
      </w:r>
    </w:p>
    <w:p>
      <w:pPr>
        <w:pStyle w:val="Compact"/>
        <w:numPr>
          <w:ilvl w:val="0"/>
          <w:numId w:val="1014"/>
        </w:numPr>
      </w:pPr>
      <w:r>
        <w:t xml:space="preserve">Compare the sample’s publication rate against 16.2%. That estimates the bias</w:t>
      </w:r>
      <w:r>
        <w:t xml:space="preserve"> </w:t>
      </w:r>
      <w:r>
        <w:t xml:space="preserve">directly, without re-ingesting several thousand abstracts.</w:t>
      </w:r>
    </w:p>
    <w:p>
      <w:pPr>
        <w:pStyle w:val="FirstParagraph"/>
      </w:pPr>
      <w:r>
        <w:t xml:space="preserve">The cost is dominated by step 3: roughly 150 to 200 human adjudications, the</w:t>
      </w:r>
      <w:r>
        <w:t xml:space="preserve"> </w:t>
      </w:r>
      <w:r>
        <w:t xml:space="preserve">same work that produced the current cohort’s decisions, plus the search</w:t>
      </w:r>
      <w:r>
        <w:t xml:space="preserve"> </w:t>
      </w:r>
      <w:r>
        <w:t xml:space="preserve">runtime. Full re-ingestion of all 7,711 items is not proposed, because the</w:t>
      </w:r>
      <w:r>
        <w:t xml:space="preserve"> </w:t>
      </w:r>
      <w:r>
        <w:t xml:space="preserve">adjudication burden scales with the cohort and the videos and posters in that</w:t>
      </w:r>
      <w:r>
        <w:t xml:space="preserve"> </w:t>
      </w:r>
      <w:r>
        <w:t xml:space="preserve">total are out of scope regardless.</w:t>
      </w:r>
    </w:p>
    <w:bookmarkEnd w:id="248"/>
    <w:bookmarkStart w:id="249" w:name="a23.5-how-this-should-be-reported"/>
    <w:p>
      <w:pPr>
        <w:pStyle w:val="Heading3"/>
      </w:pPr>
      <w:r>
        <w:t xml:space="preserve">A23.5 How this should be reported</w:t>
      </w:r>
    </w:p>
    <w:p>
      <w:pPr>
        <w:pStyle w:val="FirstParagraph"/>
      </w:pPr>
      <w:r>
        <w:t xml:space="preserve">Until a probe study is run, the limitation should be stated as it is measured:</w:t>
      </w:r>
      <w:r>
        <w:t xml:space="preserve"> </w:t>
      </w:r>
      <w:r>
        <w:t xml:space="preserve">the cohort is the first portion of each supplement rather than a sample of it;</w:t>
      </w:r>
      <w:r>
        <w:t xml:space="preserve"> </w:t>
      </w:r>
      <w:r>
        <w:t xml:space="preserve">publication rate declines weakly across the captured window (OR 0.607,</w:t>
      </w:r>
      <w:r>
        <w:t xml:space="preserve"> </w:t>
      </w:r>
      <w:r>
        <w:t xml:space="preserve">p = 0.080); and the reported 16.2% is therefore best read as an estimate for</w:t>
      </w:r>
      <w:r>
        <w:t xml:space="preserve"> </w:t>
      </w:r>
      <w:r>
        <w:t xml:space="preserve">early-programme oral presentations, with a possible downward correction of</w:t>
      </w:r>
      <w:r>
        <w:t xml:space="preserve"> </w:t>
      </w:r>
      <w:r>
        <w:t xml:space="preserve">unknown size if applied to a complete congress.</w:t>
      </w:r>
    </w:p>
    <w:bookmarkEnd w:id="249"/>
    <w:bookmarkEnd w:id="250"/>
    <w:bookmarkStart w:id="251" w:name="Xdb5929b629a9464dffdfd96a9a87b5a9f368ef0"/>
    <w:p>
      <w:pPr>
        <w:pStyle w:val="Heading2"/>
      </w:pPr>
      <w:r>
        <w:t xml:space="preserve">A24. Three Corrections, Recorded Because They Cut Against the Story</w:t>
      </w:r>
    </w:p>
    <w:p>
      <w:pPr>
        <w:pStyle w:val="FirstParagraph"/>
      </w:pPr>
      <w:r>
        <w:t xml:space="preserve">This section exists because a claim was made that the pipeline is used to</w:t>
      </w:r>
      <w:r>
        <w:t xml:space="preserve"> </w:t>
      </w:r>
      <w:r>
        <w:t xml:space="preserve">falsify assumptions rather than to support the initial narrative. That claim is</w:t>
      </w:r>
      <w:r>
        <w:t xml:space="preserve"> </w:t>
      </w:r>
      <w:r>
        <w:t xml:space="preserve">only checkable if the falsifications are written down where the supporting</w:t>
      </w:r>
      <w:r>
        <w:t xml:space="preserve"> </w:t>
      </w:r>
      <w:r>
        <w:t xml:space="preserve">evidence is, so the three from 2026-09-06 are recorded here with the reasoning</w:t>
      </w:r>
      <w:r>
        <w:t xml:space="preserve"> </w:t>
      </w:r>
      <w:r>
        <w:t xml:space="preserve">that produced them, including the two that were mine.</w:t>
      </w:r>
    </w:p>
    <w:p>
      <w:pPr>
        <w:pStyle w:val="BodyText"/>
      </w:pPr>
      <w:r>
        <w:rPr>
          <w:b/>
          <w:bCs/>
        </w:rPr>
        <w:t xml:space="preserve">A reported discrepancy in the supplement denominator was not real.</w:t>
      </w:r>
      <w:r>
        <w:t xml:space="preserve"> </w:t>
      </w:r>
      <w:r>
        <w:t xml:space="preserve">The</w:t>
      </w:r>
      <w:r>
        <w:t xml:space="preserve"> </w:t>
      </w:r>
      <w:r>
        <w:t xml:space="preserve">README states the cohort as 1,154 of 7,711 supplement items. An independent</w:t>
      </w:r>
      <w:r>
        <w:t xml:space="preserve"> </w:t>
      </w:r>
      <w:r>
        <w:t xml:space="preserve">recount of the same Crossref cache returned 8,237 and this was raised as a</w:t>
      </w:r>
      <w:r>
        <w:t xml:space="preserve"> </w:t>
      </w:r>
      <w:r>
        <w:t xml:space="preserve">contradiction. It was not: 7,711 counts records whose</w:t>
      </w:r>
      <w:r>
        <w:t xml:space="preserve"> </w:t>
      </w:r>
      <w:r>
        <w:rPr>
          <w:rStyle w:val="VerbatimChar"/>
        </w:rPr>
        <w:t xml:space="preserve">page</w:t>
      </w:r>
      <w:r>
        <w:t xml:space="preserve"> </w:t>
      </w:r>
      <w:r>
        <w:t xml:space="preserve">begins with</w:t>
      </w:r>
      <w:r>
        <w:t xml:space="preserve"> </w:t>
      </w:r>
      <w:r>
        <w:rPr>
          <w:rStyle w:val="VerbatimChar"/>
        </w:rPr>
        <w:t xml:space="preserve">S</w:t>
      </w:r>
      <w:r>
        <w:t xml:space="preserve">,</w:t>
      </w:r>
      <w:r>
        <w:t xml:space="preserve"> </w:t>
      </w:r>
      <w:r>
        <w:t xml:space="preserve">which is what a supplement item is, and the November publication-date window</w:t>
      </w:r>
      <w:r>
        <w:t xml:space="preserve"> </w:t>
      </w:r>
      <w:r>
        <w:t xml:space="preserve">used to retrieve them also returns 526 regular articles published that month.</w:t>
      </w:r>
      <w:r>
        <w:t xml:space="preserve"> </w:t>
      </w:r>
      <w:r>
        <w:t xml:space="preserve">The published figure was correct throughout. What was wrong was its</w:t>
      </w:r>
      <w:r>
        <w:t xml:space="preserve"> </w:t>
      </w:r>
      <w:r>
        <w:t xml:space="preserve">reproducibility – the filter defining</w:t>
      </w:r>
      <w:r>
        <w:t xml:space="preserve"> </w:t>
      </w:r>
      <w:r>
        <w:t xml:space="preserve">“supplement item”</w:t>
      </w:r>
      <w:r>
        <w:t xml:space="preserve"> </w:t>
      </w:r>
      <w:r>
        <w:t xml:space="preserve">was recorded only in a</w:t>
      </w:r>
      <w:r>
        <w:t xml:space="preserve"> </w:t>
      </w:r>
      <w:r>
        <w:t xml:space="preserve">detection note in</w:t>
      </w:r>
      <w:r>
        <w:t xml:space="preserve"> </w:t>
      </w:r>
      <w:r>
        <w:rPr>
          <w:rStyle w:val="VerbatimChar"/>
        </w:rPr>
        <w:t xml:space="preserve">FAILURE_MODES.md</w:t>
      </w:r>
      <w:r>
        <w:t xml:space="preserve"> </w:t>
      </w:r>
      <w:r>
        <w:t xml:space="preserve">F1, three documents away from the number it</w:t>
      </w:r>
      <w:r>
        <w:t xml:space="preserve"> </w:t>
      </w:r>
      <w:r>
        <w:t xml:space="preserve">defines, so recomputing it without that note gives a different answer. The</w:t>
      </w:r>
      <w:r>
        <w:t xml:space="preserve"> </w:t>
      </w:r>
      <w:r>
        <w:t xml:space="preserve">filter is now stated beside the figure, and</w:t>
      </w:r>
      <w:r>
        <w:t xml:space="preserve"> </w:t>
      </w:r>
      <w:r>
        <w:rPr>
          <w:rStyle w:val="VerbatimChar"/>
        </w:rPr>
        <w:t xml:space="preserve">scripts/cohort_coverage_by_year.R</w:t>
      </w:r>
      <w:r>
        <w:t xml:space="preserve"> </w:t>
      </w:r>
      <w:r>
        <w:t xml:space="preserve">writes the per-year counts to a tracked</w:t>
      </w:r>
      <w:r>
        <w:t xml:space="preserve"> </w:t>
      </w:r>
      <w:r>
        <w:t xml:space="preserve">artifact rather than leaving them derivable only from a gitignored API cache.</w:t>
      </w:r>
    </w:p>
    <w:p>
      <w:pPr>
        <w:pStyle w:val="BodyText"/>
      </w:pPr>
      <w:r>
        <w:rPr>
          <w:b/>
          <w:bCs/>
        </w:rPr>
        <w:t xml:space="preserve">The hypothesis that recent-year publication rates were a detection artifact</w:t>
      </w:r>
      <w:r>
        <w:rPr>
          <w:b/>
          <w:bCs/>
        </w:rPr>
        <w:t xml:space="preserve"> </w:t>
      </w:r>
      <w:r>
        <w:rPr>
          <w:b/>
          <w:bCs/>
        </w:rPr>
        <w:t xml:space="preserve">did not survive testing.</w:t>
      </w:r>
      <w:r>
        <w:t xml:space="preserve"> </w:t>
      </w:r>
      <w:r>
        <w:t xml:space="preserve">Rates rise sharply in later congresses (5.6% in 2017</w:t>
      </w:r>
      <w:r>
        <w:t xml:space="preserve"> </w:t>
      </w:r>
      <w:r>
        <w:t xml:space="preserve">to 31.1% in 2022) despite later congresses having</w:t>
      </w:r>
      <w:r>
        <w:t xml:space="preserve"> </w:t>
      </w:r>
      <w:r>
        <w:rPr>
          <w:i/>
          <w:iCs/>
        </w:rPr>
        <w:t xml:space="preserve">less</w:t>
      </w:r>
      <w:r>
        <w:t xml:space="preserve"> </w:t>
      </w:r>
      <w:r>
        <w:t xml:space="preserve">time to publish, which</w:t>
      </w:r>
      <w:r>
        <w:t xml:space="preserve"> </w:t>
      </w:r>
      <w:r>
        <w:t xml:space="preserve">is the wrong direction for follow-up and suggested that recent papers were</w:t>
      </w:r>
      <w:r>
        <w:t xml:space="preserve"> </w:t>
      </w:r>
      <w:r>
        <w:t xml:space="preserve">simply easier to match. The data do not support it. Abstract text is absent for</w:t>
      </w:r>
      <w:r>
        <w:t xml:space="preserve"> </w:t>
      </w:r>
      <w:r>
        <w:t xml:space="preserve">100% of 2017 and 2018, and those two congresses sit at opposite extremes of the</w:t>
      </w:r>
      <w:r>
        <w:t xml:space="preserve"> </w:t>
      </w:r>
      <w:r>
        <w:t xml:space="preserve">rate distribution – 5.6% and 25.3% – which is the clearest available evidence</w:t>
      </w:r>
      <w:r>
        <w:t xml:space="preserve"> </w:t>
      </w:r>
      <w:r>
        <w:t xml:space="preserve">that text availability is not what drives matching. Text availability correlates</w:t>
      </w:r>
      <w:r>
        <w:t xml:space="preserve"> </w:t>
      </w:r>
      <w:r>
        <w:t xml:space="preserve">with rate at only r = +0.179; median candidate counts</w:t>
      </w:r>
      <w:r>
        <w:t xml:space="preserve"> </w:t>
      </w:r>
      <w:r>
        <w:rPr>
          <w:i/>
          <w:iCs/>
        </w:rPr>
        <w:t xml:space="preserve">fall</w:t>
      </w:r>
      <w:r>
        <w:t xml:space="preserve"> </w:t>
      </w:r>
      <w:r>
        <w:t xml:space="preserve">over time (49 to</w:t>
      </w:r>
      <w:r>
        <w:t xml:space="preserve"> </w:t>
      </w:r>
      <w:r>
        <w:t xml:space="preserve">29) rather than rising, so the search became more precise rather than more</w:t>
      </w:r>
      <w:r>
        <w:t xml:space="preserve"> </w:t>
      </w:r>
      <w:r>
        <w:t xml:space="preserve">permissive; and congress year itself is the strongest correlate at r = +0.636.</w:t>
      </w:r>
      <w:r>
        <w:t xml:space="preserve"> </w:t>
      </w:r>
      <w:r>
        <w:t xml:space="preserve">The hypothesis was abandoned rather than retained as a caveat.</w:t>
      </w:r>
    </w:p>
    <w:p>
      <w:pPr>
        <w:pStyle w:val="BodyText"/>
      </w:pPr>
      <w:r>
        <w:rPr>
          <w:b/>
          <w:bCs/>
        </w:rPr>
        <w:t xml:space="preserve">The ScienceDirect 403 was described as an anti-scraping block rather than an</w:t>
      </w:r>
      <w:r>
        <w:rPr>
          <w:b/>
          <w:bCs/>
        </w:rPr>
        <w:t xml:space="preserve"> </w:t>
      </w:r>
      <w:r>
        <w:rPr>
          <w:b/>
          <w:bCs/>
        </w:rPr>
        <w:t xml:space="preserve">access wall. It is both.</w:t>
      </w:r>
      <w:r>
        <w:t xml:space="preserve"> </w:t>
      </w:r>
      <w:r>
        <w:t xml:space="preserve">A23 recorded the cohort as uncompletable because</w:t>
      </w:r>
      <w:r>
        <w:t xml:space="preserve"> </w:t>
      </w:r>
      <w:r>
        <w:t xml:space="preserve">ScienceDirect returns HTTP 403, and that 403 came from scraping HTML with</w:t>
      </w:r>
      <w:r>
        <w:t xml:space="preserve"> </w:t>
      </w:r>
      <w:r>
        <w:rPr>
          <w:rStyle w:val="VerbatimChar"/>
        </w:rPr>
        <w:t xml:space="preserve">rvest</w:t>
      </w:r>
      <w:r>
        <w:t xml:space="preserve">, so the conclusion was too strong: the official API had never been</w:t>
      </w:r>
      <w:r>
        <w:t xml:space="preserve"> </w:t>
      </w:r>
      <w:r>
        <w:t xml:space="preserve">called, and there was no</w:t>
      </w:r>
      <w:r>
        <w:t xml:space="preserve"> </w:t>
      </w:r>
      <w:r>
        <w:rPr>
          <w:rStyle w:val="VerbatimChar"/>
        </w:rPr>
        <w:t xml:space="preserve">api.elsevier</w:t>
      </w:r>
      <w:r>
        <w:t xml:space="preserve">,</w:t>
      </w:r>
      <w:r>
        <w:t xml:space="preserve"> </w:t>
      </w:r>
      <w:r>
        <w:rPr>
          <w:rStyle w:val="VerbatimChar"/>
        </w:rPr>
        <w:t xml:space="preserve">elsapy</w:t>
      </w:r>
      <w:r>
        <w:t xml:space="preserve"> </w:t>
      </w:r>
      <w:r>
        <w:t xml:space="preserve">or</w:t>
      </w:r>
      <w:r>
        <w:t xml:space="preserve"> </w:t>
      </w:r>
      <w:r>
        <w:rPr>
          <w:rStyle w:val="VerbatimChar"/>
        </w:rPr>
        <w:t xml:space="preserve">rscopus</w:t>
      </w:r>
      <w:r>
        <w:t xml:space="preserve"> </w:t>
      </w:r>
      <w:r>
        <w:t xml:space="preserve">anywhere in the</w:t>
      </w:r>
      <w:r>
        <w:t xml:space="preserve"> </w:t>
      </w:r>
      <w:r>
        <w:t xml:space="preserve">repository. The correction in the other direction is equally real. Called with a</w:t>
      </w:r>
      <w:r>
        <w:t xml:space="preserve"> </w:t>
      </w:r>
      <w:r>
        <w:t xml:space="preserve">self-service key,</w:t>
      </w:r>
      <w:r>
        <w:t xml:space="preserve"> </w:t>
      </w:r>
      <w:r>
        <w:rPr>
          <w:rStyle w:val="VerbatimChar"/>
        </w:rPr>
        <w:t xml:space="preserve">search/sciencedirect</w:t>
      </w:r>
      <w:r>
        <w:t xml:space="preserve"> </w:t>
      </w:r>
      <w:r>
        <w:t xml:space="preserve">and</w:t>
      </w:r>
      <w:r>
        <w:t xml:space="preserve"> </w:t>
      </w:r>
      <w:r>
        <w:rPr>
          <w:rStyle w:val="VerbatimChar"/>
        </w:rPr>
        <w:t xml:space="preserve">metadata/article</w:t>
      </w:r>
      <w:r>
        <w:t xml:space="preserve"> </w:t>
      </w:r>
      <w:r>
        <w:t xml:space="preserve">return 401 and</w:t>
      </w:r>
      <w:r>
        <w:t xml:space="preserve"> </w:t>
      </w:r>
      <w:r>
        <w:t xml:space="preserve">full-text retrieval returns 403; the key authenticates and is Scopus-entitled</w:t>
      </w:r>
      <w:r>
        <w:t xml:space="preserve"> </w:t>
      </w:r>
      <w:r>
        <w:t xml:space="preserve">but carries no ScienceDirect entitlement. Scopus is separately useless here and</w:t>
      </w:r>
      <w:r>
        <w:t xml:space="preserve"> </w:t>
      </w:r>
      <w:r>
        <w:t xml:space="preserve">that finding is independent of any key: it does not index the congress</w:t>
      </w:r>
      <w:r>
        <w:t xml:space="preserve"> </w:t>
      </w:r>
      <w:r>
        <w:t xml:space="preserve">supplement at all, with both known 2022 supplement DOIs returning zero records.</w:t>
      </w:r>
      <w:r>
        <w:t xml:space="preserve"> </w:t>
      </w:r>
      <w:r>
        <w:rPr>
          <w:rStyle w:val="VerbatimChar"/>
        </w:rPr>
        <w:t xml:space="preserve">scripts/elsevier_api_probe.R</w:t>
      </w:r>
      <w:r>
        <w:t xml:space="preserve"> </w:t>
      </w:r>
      <w:r>
        <w:t xml:space="preserve">exists so this is re-run rather than re-argued,</w:t>
      </w:r>
      <w:r>
        <w:t xml:space="preserve"> </w:t>
      </w:r>
      <w:r>
        <w:t xml:space="preserve">since Elsevier entitlement is commonly IP-bound and the same key may succeed</w:t>
      </w:r>
      <w:r>
        <w:t xml:space="preserve"> </w:t>
      </w:r>
      <w:r>
        <w:t xml:space="preserve">inside an institutional network.</w:t>
      </w:r>
    </w:p>
    <w:p>
      <w:pPr>
        <w:pStyle w:val="BodyText"/>
      </w:pPr>
      <w:r>
        <w:t xml:space="preserve">The common thread is that each correction narrowed what the study may claim</w:t>
      </w:r>
      <w:r>
        <w:t xml:space="preserve"> </w:t>
      </w:r>
      <w:r>
        <w:t xml:space="preserve">rather than widening it, and that two of the three corrected assertions this</w:t>
      </w:r>
      <w:r>
        <w:t xml:space="preserve"> </w:t>
      </w:r>
      <w:r>
        <w:t xml:space="preserve">project had itself made.</w:t>
      </w:r>
    </w:p>
    <w:bookmarkEnd w:id="2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2026-09-07T15:13:58Z</dcterms:created>
  <dcterms:modified xsi:type="dcterms:W3CDTF">2026-09-07T15:13:58Z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07,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