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33.3% (2023),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171 of 178), the median time from conference presentation to full publication was 13.7 months (IQR 5.7-22.6).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(p=0.041), attributable to author count; every other covariate satisfied proportional hazards. The author count effect was therefore refitted with a log-time interaction, under which the hazard ratio rose from 1.01 (95% CI 0.84-1.22) at 3 months to 1.53 (95% CI 1.26-1.86) at 24 months, so the single hazard ratio reported for it in the main model is an average over follow-up rather than a constant. Significant predictors of publication velocity were randomized design (HR 2.15, 95% CI 1.43-3.21, p&lt;0.001); academic affiliation (HR 0.64, 95% CI 0.45-0.90, p=0.009); author count (HR 1.27, 95% CI 1.10-1.46, p=0.001). The remaining covariates – US-based affiliation, inferred male first author, multicenter conduct – were not significant. In logistic regression, US-based affiliation was not significantly associated with the odds of publication (OR 1.57, 95% CI 0.93-2.71, p=0.097).</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2026-09-05T03:01:07Z</dcterms:created>
  <dcterms:modified xsi:type="dcterms:W3CDTF">2026-09-05T03:01:07Z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