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September 03, 2026</w:t>
      </w:r>
    </w:p>
    <w:bookmarkStart w:id="20" w:name="Xd974e705cbddffade6dfc3a1a175f1e16bb976a"/>
    <w:p>
      <w:pPr>
        <w:pStyle w:val="Heading2"/>
      </w:pPr>
      <w:r>
        <w:t xml:space="preserve">A0. Relationship to the</w:t>
      </w:r>
      <w:r>
        <w:t xml:space="preserve"> </w:t>
      </w:r>
      <w:r>
        <w:rPr>
          <w:rStyle w:val="VerbatimChar"/>
        </w:rPr>
        <w:t xml:space="preserve">docs/</w:t>
      </w:r>
      <w:r>
        <w:t xml:space="preserve"> </w:t>
      </w:r>
      <w:r>
        <w:t xml:space="preserve">reference set</w:t>
      </w:r>
    </w:p>
    <w:p>
      <w:pPr>
        <w:pStyle w:val="FirstParagraph"/>
      </w:pPr>
      <w:r>
        <w:t xml:space="preserve">This appendix is a</w:t>
      </w:r>
      <w:r>
        <w:t xml:space="preserve"> </w:t>
      </w:r>
      <w:r>
        <w:rPr>
          <w:b/>
          <w:bCs/>
        </w:rPr>
        <w:t xml:space="preserve">narrative supplement</w:t>
      </w:r>
      <w:r>
        <w:t xml:space="preserve">, not the primary reference. Since</w:t>
      </w:r>
      <w:r>
        <w:t xml:space="preserve"> </w:t>
      </w:r>
      <w:r>
        <w:t xml:space="preserve">2026-09-03 the authoritative, continuously verified description of the pipeline</w:t>
      </w:r>
      <w:r>
        <w:t xml:space="preserve"> </w:t>
      </w:r>
      <w:r>
        <w:t xml:space="preserve">lives in</w:t>
      </w:r>
      <w:r>
        <w:t xml:space="preserve"> </w:t>
      </w:r>
      <w:r>
        <w:rPr>
          <w:rStyle w:val="VerbatimChar"/>
        </w:rPr>
        <w:t xml:space="preserve">docs/</w:t>
      </w:r>
      <w:r>
        <w:t xml:space="preserve">, and a lightweight test</w:t>
      </w:r>
      <w:r>
        <w:t xml:space="preserve"> </w:t>
      </w:r>
      <w:r>
        <w:t xml:space="preserve">(</w:t>
      </w:r>
      <w:r>
        <w:rPr>
          <w:rStyle w:val="VerbatimChar"/>
        </w:rPr>
        <w:t xml:space="preserve">tests/testthat/test-docs_drift.R</w:t>
      </w:r>
      <w:r>
        <w:t xml:space="preserve">) fails when those documents disagree with</w:t>
      </w:r>
      <w:r>
        <w:t xml:space="preserve"> </w:t>
      </w:r>
      <w:r>
        <w:t xml:space="preserve">the data. Where this appendix and a</w:t>
      </w:r>
      <w:r>
        <w:t xml:space="preserve"> </w:t>
      </w:r>
      <w:r>
        <w:rPr>
          <w:rStyle w:val="VerbatimChar"/>
        </w:rPr>
        <w:t xml:space="preserve">docs/</w:t>
      </w:r>
      <w:r>
        <w:t xml:space="preserve"> </w:t>
      </w:r>
      <w:r>
        <w:t xml:space="preserve">file differ,</w:t>
      </w:r>
      <w:r>
        <w:t xml:space="preserve"> </w:t>
      </w:r>
      <w:r>
        <w:rPr>
          <w:b/>
          <w:bCs/>
        </w:rPr>
        <w:t xml:space="preserve">the</w:t>
      </w:r>
      <w:r>
        <w:rPr>
          <w:b/>
          <w:bCs/>
        </w:rPr>
        <w:t xml:space="preserve"> </w:t>
      </w:r>
      <w:r>
        <w:rPr>
          <w:rStyle w:val="VerbatimChar"/>
          <w:b/>
          <w:bCs/>
        </w:rPr>
        <w:t xml:space="preserve">docs/</w:t>
      </w:r>
      <w:r>
        <w:rPr>
          <w:b/>
          <w:bCs/>
        </w:rPr>
        <w:t xml:space="preserve"> </w:t>
      </w:r>
      <w:r>
        <w:rPr>
          <w:b/>
          <w:bCs/>
        </w:rPr>
        <w:t xml:space="preserve">file is</w:t>
      </w:r>
      <w:r>
        <w:rPr>
          <w:b/>
          <w:bCs/>
        </w:rPr>
        <w:t xml:space="preserve"> </w:t>
      </w:r>
      <w:r>
        <w:rPr>
          <w:b/>
          <w:bCs/>
        </w:rPr>
        <w:t xml:space="preserve">current.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Authoritative document</w:t>
            </w:r>
          </w:p>
        </w:tc>
      </w:tr>
      <w:tr>
        <w:tc>
          <w:tcPr/>
          <w:p>
            <w:pPr>
              <w:pStyle w:val="Compact"/>
            </w:pPr>
            <w:r>
              <w:t xml:space="preserve">Cohort assembly, the denominator, per-congress reconciliation</w:t>
            </w:r>
          </w:p>
        </w:tc>
        <w:tc>
          <w:tcPr/>
          <w:p>
            <w:pPr>
              <w:pStyle w:val="Compact"/>
            </w:pPr>
            <w:r>
              <w:rPr>
                <w:rStyle w:val="VerbatimChar"/>
              </w:rPr>
              <w:t xml:space="preserve">docs/COHORT_ASSEMBLY.md</w:t>
            </w:r>
          </w:p>
        </w:tc>
      </w:tr>
      <w:tr>
        <w:tc>
          <w:tcPr/>
          <w:p>
            <w:pPr>
              <w:pStyle w:val="Compact"/>
            </w:pPr>
            <w:r>
              <w:t xml:space="preserve">Stage-by-stage pipeline, DAG, machine-readable manifest</w:t>
            </w:r>
          </w:p>
        </w:tc>
        <w:tc>
          <w:tcPr/>
          <w:p>
            <w:pPr>
              <w:pStyle w:val="Compact"/>
            </w:pPr>
            <w:r>
              <w:rPr>
                <w:rStyle w:val="VerbatimChar"/>
              </w:rPr>
              <w:t xml:space="preserve">docs/PIPELINE.md</w:t>
            </w:r>
            <w:r>
              <w:t xml:space="preserve">,</w:t>
            </w:r>
            <w:r>
              <w:t xml:space="preserve"> </w:t>
            </w:r>
            <w:r>
              <w:rPr>
                <w:rStyle w:val="VerbatimChar"/>
              </w:rPr>
              <w:t xml:space="preserve">docs/pipeline_manifest.yml</w:t>
            </w:r>
          </w:p>
        </w:tc>
      </w:tr>
      <w:tr>
        <w:tc>
          <w:tcPr/>
          <w:p>
            <w:pPr>
              <w:pStyle w:val="Compact"/>
            </w:pPr>
            <w:r>
              <w:t xml:space="preserve">Every search query, per source</w:t>
            </w:r>
          </w:p>
        </w:tc>
        <w:tc>
          <w:tcPr/>
          <w:p>
            <w:pPr>
              <w:pStyle w:val="Compact"/>
            </w:pPr>
            <w:r>
              <w:rPr>
                <w:rStyle w:val="VerbatimChar"/>
              </w:rPr>
              <w:t xml:space="preserve">docs/PUBLICATION_SEARCH.md</w:t>
            </w:r>
          </w:p>
        </w:tc>
      </w:tr>
      <w:tr>
        <w:tc>
          <w:tcPr/>
          <w:p>
            <w:pPr>
              <w:pStyle w:val="Compact"/>
            </w:pPr>
            <w:r>
              <w:t xml:space="preserve">Score components, thresholds, tie-breaking, publication dating</w:t>
            </w:r>
          </w:p>
        </w:tc>
        <w:tc>
          <w:tcPr/>
          <w:p>
            <w:pPr>
              <w:pStyle w:val="Compact"/>
            </w:pPr>
            <w:r>
              <w:rPr>
                <w:rStyle w:val="VerbatimChar"/>
              </w:rPr>
              <w:t xml:space="preserve">docs/MATCHING_ALGORITHM.md</w:t>
            </w:r>
          </w:p>
        </w:tc>
      </w:tr>
      <w:tr>
        <w:tc>
          <w:tcPr/>
          <w:p>
            <w:pPr>
              <w:pStyle w:val="Compact"/>
            </w:pPr>
            <w:r>
              <w:t xml:space="preserve">Operational definition of the outcome</w:t>
            </w:r>
          </w:p>
        </w:tc>
        <w:tc>
          <w:tcPr/>
          <w:p>
            <w:pPr>
              <w:pStyle w:val="Compact"/>
            </w:pPr>
            <w:r>
              <w:rPr>
                <w:rStyle w:val="VerbatimChar"/>
              </w:rPr>
              <w:t xml:space="preserve">docs/OUTCOME_DEFINITION.md</w:t>
            </w:r>
          </w:p>
        </w:tc>
      </w:tr>
      <w:tr>
        <w:tc>
          <w:tcPr/>
          <w:p>
            <w:pPr>
              <w:pStyle w:val="Compact"/>
            </w:pPr>
            <w:r>
              <w:t xml:space="preserve">Adjudication schema, precedence, decision accounting</w:t>
            </w:r>
          </w:p>
        </w:tc>
        <w:tc>
          <w:tcPr/>
          <w:p>
            <w:pPr>
              <w:pStyle w:val="Compact"/>
            </w:pPr>
            <w:r>
              <w:rPr>
                <w:rStyle w:val="VerbatimChar"/>
              </w:rPr>
              <w:t xml:space="preserve">docs/ADJUDICATION.md</w:t>
            </w:r>
          </w:p>
        </w:tc>
      </w:tr>
      <w:tr>
        <w:tc>
          <w:tcPr/>
          <w:p>
            <w:pPr>
              <w:pStyle w:val="Compact"/>
            </w:pPr>
            <w:r>
              <w:t xml:space="preserve">All 90 analytical variables</w:t>
            </w:r>
          </w:p>
        </w:tc>
        <w:tc>
          <w:tcPr/>
          <w:p>
            <w:pPr>
              <w:pStyle w:val="Compact"/>
            </w:pPr>
            <w:r>
              <w:rPr>
                <w:rStyle w:val="VerbatimChar"/>
              </w:rPr>
              <w:t xml:space="preserve">docs/DATA_DICTIONARY.md</w:t>
            </w:r>
          </w:p>
        </w:tc>
      </w:tr>
      <w:tr>
        <w:tc>
          <w:tcPr/>
          <w:p>
            <w:pPr>
              <w:pStyle w:val="Compact"/>
            </w:pPr>
            <w:r>
              <w:t xml:space="preserve">Identity resolution and the gender waterfall</w:t>
            </w:r>
          </w:p>
        </w:tc>
        <w:tc>
          <w:tcPr/>
          <w:p>
            <w:pPr>
              <w:pStyle w:val="Compact"/>
            </w:pPr>
            <w:r>
              <w:rPr>
                <w:rStyle w:val="VerbatimChar"/>
              </w:rPr>
              <w:t xml:space="preserve">docs/AUTHOR_ENRICHMENT.md</w:t>
            </w:r>
          </w:p>
        </w:tc>
      </w:tr>
      <w:tr>
        <w:tc>
          <w:tcPr/>
          <w:p>
            <w:pPr>
              <w:pStyle w:val="Compact"/>
            </w:pPr>
            <w:r>
              <w:t xml:space="preserve">Models as fitted, with diagnostics</w:t>
            </w:r>
          </w:p>
        </w:tc>
        <w:tc>
          <w:tcPr/>
          <w:p>
            <w:pPr>
              <w:pStyle w:val="Compact"/>
            </w:pPr>
            <w:r>
              <w:rPr>
                <w:rStyle w:val="VerbatimChar"/>
              </w:rPr>
              <w:t xml:space="preserve">docs/STATISTICAL_ANALYSIS.md</w:t>
            </w:r>
          </w:p>
        </w:tc>
      </w:tr>
      <w:tr>
        <w:tc>
          <w:tcPr/>
          <w:p>
            <w:pPr>
              <w:pStyle w:val="Compact"/>
            </w:pPr>
            <w:r>
              <w:t xml:space="preserve">Every reported number and its provenance</w:t>
            </w:r>
          </w:p>
        </w:tc>
        <w:tc>
          <w:tcPr/>
          <w:p>
            <w:pPr>
              <w:pStyle w:val="Compact"/>
            </w:pPr>
            <w:r>
              <w:rPr>
                <w:rStyle w:val="VerbatimChar"/>
              </w:rPr>
              <w:t xml:space="preserve">docs/RESULTS_PROVENANCE.md</w:t>
            </w:r>
          </w:p>
        </w:tc>
      </w:tr>
      <w:tr>
        <w:tc>
          <w:tcPr/>
          <w:p>
            <w:pPr>
              <w:pStyle w:val="Compact"/>
            </w:pPr>
            <w:r>
              <w:t xml:space="preserve">Reproduction requirements and blockers</w:t>
            </w:r>
          </w:p>
        </w:tc>
        <w:tc>
          <w:tcPr/>
          <w:p>
            <w:pPr>
              <w:pStyle w:val="Compact"/>
            </w:pPr>
            <w:r>
              <w:rPr>
                <w:rStyle w:val="VerbatimChar"/>
              </w:rPr>
              <w:t xml:space="preserve">docs/REPRODUCIBILITY.md</w:t>
            </w:r>
          </w:p>
        </w:tc>
      </w:tr>
      <w:tr>
        <w:tc>
          <w:tcPr/>
          <w:p>
            <w:pPr>
              <w:pStyle w:val="Compact"/>
            </w:pPr>
            <w:r>
              <w:t xml:space="preserve">Known ways the pipeline can be plausibly wrong</w:t>
            </w:r>
          </w:p>
        </w:tc>
        <w:tc>
          <w:tcPr/>
          <w:p>
            <w:pPr>
              <w:pStyle w:val="Compact"/>
            </w:pPr>
            <w:r>
              <w:rPr>
                <w:rStyle w:val="VerbatimChar"/>
              </w:rPr>
              <w:t xml:space="preserve">docs/FAILURE_MODES.md</w:t>
            </w:r>
          </w:p>
        </w:tc>
      </w:tr>
      <w:tr>
        <w:tc>
          <w:tcPr/>
          <w:p>
            <w:pPr>
              <w:pStyle w:val="Compact"/>
            </w:pPr>
            <w:r>
              <w:t xml:space="preserve">Test inventory and untested invariants</w:t>
            </w:r>
          </w:p>
        </w:tc>
        <w:tc>
          <w:tcPr/>
          <w:p>
            <w:pPr>
              <w:pStyle w:val="Compact"/>
            </w:pPr>
            <w:r>
              <w:rPr>
                <w:rStyle w:val="VerbatimChar"/>
              </w:rPr>
              <w:t xml:space="preserve">docs/VALIDATION.md</w:t>
            </w:r>
          </w:p>
        </w:tc>
      </w:tr>
      <w:tr>
        <w:tc>
          <w:tcPr/>
          <w:p>
            <w:pPr>
              <w:pStyle w:val="Compact"/>
            </w:pPr>
            <w:r>
              <w:t xml:space="preserve">Corrections and their quantified effects</w:t>
            </w:r>
          </w:p>
        </w:tc>
        <w:tc>
          <w:tcPr/>
          <w:p>
            <w:pPr>
              <w:pStyle w:val="Compact"/>
            </w:pPr>
            <w:r>
              <w:rPr>
                <w:rStyle w:val="VerbatimChar"/>
              </w:rPr>
              <w:t xml:space="preserve">docs/METHODOLOGICAL_HISTORY.md</w:t>
            </w:r>
          </w:p>
        </w:tc>
      </w:tr>
    </w:tbl>
    <w:p>
      <w:pPr>
        <w:pStyle w:val="BodyText"/>
      </w:pPr>
      <w:r>
        <w:t xml:space="preserve">Sections A8 (abstract-text recovery for 2012-2018), A10 (NPI identity</w:t>
      </w:r>
      <w:r>
        <w:t xml:space="preserve"> </w:t>
      </w:r>
      <w:r>
        <w:t xml:space="preserve">resolution), A11 (extending the pipeline to other societies) and A13 (the</w:t>
      </w:r>
      <w:r>
        <w:t xml:space="preserve"> </w:t>
      </w:r>
      <w:r>
        <w:t xml:space="preserve">denominator chain) carry material that is not duplicated in</w:t>
      </w:r>
      <w:r>
        <w:t xml:space="preserve"> </w:t>
      </w:r>
      <w:r>
        <w:rPr>
          <w:rStyle w:val="VerbatimChar"/>
        </w:rPr>
        <w:t xml:space="preserve">docs/</w:t>
      </w:r>
      <w:r>
        <w:t xml:space="preserve"> </w:t>
      </w:r>
      <w:r>
        <w:t xml:space="preserve">and remain</w:t>
      </w:r>
      <w:r>
        <w:t xml:space="preserve"> </w:t>
      </w:r>
      <w:r>
        <w:t xml:space="preserve">the primary record for those topics.</w:t>
      </w:r>
    </w:p>
    <w:p>
      <w:r>
        <w:pict>
          <v:rect style="width:0;height:1.5pt" o:hralign="center" o:hrstd="t" o:hr="t"/>
        </w:pict>
      </w:r>
    </w:p>
    <w:bookmarkEnd w:id="20"/>
    <w:bookmarkStart w:id="24"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29 test files (see</w:t>
      </w:r>
      <w:r>
        <w:t xml:space="preserve"> </w:t>
      </w:r>
      <w:r>
        <w:rPr>
          <w:rStyle w:val="VerbatimChar"/>
        </w:rPr>
        <w:t xml:space="preserve">docs/VALIDATION.md</w:t>
      </w:r>
      <w:r>
        <w:t xml:space="preserve"> </w:t>
      </w:r>
      <w:r>
        <w:t xml:space="preserve">for the current pass/fail status), and a Shiny web application for human adjudication. The pipeline executes in 10 sequential steps, with checkpoint-based resume support for API-dependent stages. All source code and deidentified output data are available at</w:t>
      </w:r>
      <w:r>
        <w:t xml:space="preserve"> </w:t>
      </w:r>
      <w:hyperlink r:id="rId21">
        <w:r>
          <w:rPr>
            <w:rStyle w:val="Hyperlink"/>
          </w:rPr>
          <w:t xml:space="preserve">https://github.com/mufflyt/abstract_lifetime</w:t>
        </w:r>
      </w:hyperlink>
      <w:r>
        <w:t xml:space="preserve">.</w:t>
      </w:r>
    </w:p>
    <w:bookmarkStart w:id="22"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1566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22"/>
    <w:bookmarkStart w:id="23"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23"/>
    <w:bookmarkEnd w:id="24"/>
    <w:bookmarkStart w:id="28" w:name="a2.-data-sources-and-api-usage"/>
    <w:p>
      <w:pPr>
        <w:pStyle w:val="Heading2"/>
      </w:pPr>
      <w:r>
        <w:t xml:space="preserve">A2. Data Sources and API Usage</w:t>
      </w:r>
    </w:p>
    <w:bookmarkStart w:id="25"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 total of 1154 article pages were cached.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25"/>
    <w:bookmarkStart w:id="26"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26"/>
    <w:bookmarkStart w:id="27"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(1566 files). All search stages used RDS-based checkpoints enabling resume after interruption.</w:t>
      </w:r>
    </w:p>
    <w:bookmarkEnd w:id="27"/>
    <w:bookmarkEnd w:id="28"/>
    <w:bookmarkStart w:id="33" w:name="a3.-matching-algorithm"/>
    <w:p>
      <w:pPr>
        <w:pStyle w:val="Heading2"/>
      </w:pPr>
      <w:r>
        <w:t xml:space="preserve">A3. Matching Algorithm</w:t>
      </w:r>
    </w:p>
    <w:bookmarkStart w:id="29"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29"/>
    <w:bookmarkStart w:id="30"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30"/>
    <w:bookmarkStart w:id="32" w:name="a3.3-human-adjudication"/>
    <w:p>
      <w:pPr>
        <w:pStyle w:val="Heading3"/>
      </w:pPr>
      <w:r>
        <w:t xml:space="preserve">A3.3 Human Adjudication</w:t>
      </w:r>
    </w:p>
    <w:p>
      <w:pPr>
        <w:pStyle w:val="FirstParagraph"/>
      </w:pPr>
      <w:r>
        <w:t xml:space="preserve">A Shiny web application (</w:t>
      </w:r>
      <w:hyperlink r:id="rId31">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32"/>
    <w:bookmarkEnd w:id="33"/>
    <w:bookmarkStart w:id="39" w:name="a4.-variable-extraction-methods"/>
    <w:p>
      <w:pPr>
        <w:pStyle w:val="Heading2"/>
      </w:pPr>
      <w:r>
        <w:t xml:space="preserve">A4. Variable Extraction Methods</w:t>
      </w:r>
    </w:p>
    <w:bookmarkStart w:id="34"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34"/>
    <w:bookmarkStart w:id="35"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35"/>
    <w:bookmarkStart w:id="36"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36"/>
    <w:bookmarkStart w:id="37"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37"/>
    <w:bookmarkStart w:id="38"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96.4%.</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17.5%.</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16.2%.</w:t>
      </w:r>
    </w:p>
    <w:bookmarkEnd w:id="38"/>
    <w:bookmarkEnd w:id="39"/>
    <w:bookmarkStart w:id="42" w:name="a5.-algorithm-validation"/>
    <w:p>
      <w:pPr>
        <w:pStyle w:val="Heading2"/>
      </w:pPr>
      <w:r>
        <w:t xml:space="preserve">A5. Algorithm Validation</w:t>
      </w:r>
    </w:p>
    <w:bookmarkStart w:id="40"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40"/>
    <w:bookmarkStart w:id="41"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63.9%</w:t>
            </w:r>
          </w:p>
        </w:tc>
      </w:tr>
      <w:tr>
        <w:tc>
          <w:tcPr/>
          <w:p>
            <w:pPr>
              <w:pStyle w:val="Compact"/>
              <w:jc w:val="left"/>
            </w:pPr>
            <w:r>
              <w:t xml:space="preserve">Positive predictive value</w:t>
            </w:r>
          </w:p>
        </w:tc>
        <w:tc>
          <w:tcPr/>
          <w:p>
            <w:pPr>
              <w:pStyle w:val="Compact"/>
              <w:jc w:val="left"/>
            </w:pPr>
            <w:r>
              <w:t xml:space="preserve">50%</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73.5%</w:t>
            </w:r>
          </w:p>
        </w:tc>
      </w:tr>
    </w:tbl>
    <w:p>
      <w:pPr>
        <w:pStyle w:val="BodyText"/>
      </w:pPr>
      <w:r>
        <w:t xml:space="preserve">The algorithm achieved 100% sensitivity (no missed publications in the gold standard) and 63.9% specificity. The 36.1% false positive rate reflects cases where the scoring algorithm identified a high-scoring candidate that was not the true published version of the abstract (e.g., a related paper by the same author group on a similar topic).</w:t>
      </w:r>
    </w:p>
    <w:bookmarkEnd w:id="41"/>
    <w:bookmarkEnd w:id="42"/>
    <w:bookmarkStart w:id="43" w:name="a6.-sensitivity-analyses"/>
    <w:p>
      <w:pPr>
        <w:pStyle w:val="Heading2"/>
      </w:pPr>
      <w:r>
        <w:t xml:space="preserve">A6. Sensitivity Analyses</w:t>
      </w:r>
    </w:p>
    <w:tbl>
      <w:tblPr>
        <w:tblStyle w:val="Table"/>
        <w:tblW w:type="pct" w:w="5000"/>
        <w:tblLayout w:type="fixed"/>
        <w:tblLook w:firstRow="1" w:lastRow="0" w:firstColumn="0" w:lastColumn="0" w:noHBand="0" w:noVBand="0" w:val="0020"/>
      </w:tblPr>
      <w:tblGrid>
        <w:gridCol w:w="2582"/>
        <w:gridCol w:w="3099"/>
        <w:gridCol w:w="430"/>
        <w:gridCol w:w="1033"/>
        <w:gridCol w:w="774"/>
      </w:tblGrid>
      <w:tr>
        <w:trPr>
          <w:tblHeader w:val="on"/>
        </w:trPr>
        <w:tc>
          <w:tcPr/>
          <w:p>
            <w:pPr>
              <w:pStyle w:val="Compact"/>
              <w:jc w:val="left"/>
            </w:pPr>
            <w:r>
              <w:t xml:space="preserve">Scenario</w:t>
            </w:r>
          </w:p>
        </w:tc>
        <w:tc>
          <w:tcPr/>
          <w:p>
            <w:pPr>
              <w:pStyle w:val="Compact"/>
              <w:jc w:val="left"/>
            </w:pPr>
            <w:r>
              <w:t xml:space="preserve">Denominator</w:t>
            </w:r>
          </w:p>
        </w:tc>
        <w:tc>
          <w:tcPr/>
          <w:p>
            <w:pPr>
              <w:pStyle w:val="Compact"/>
              <w:jc w:val="right"/>
            </w:pPr>
            <w:r>
              <w:t xml:space="preserve">N</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131</w:t>
            </w:r>
          </w:p>
        </w:tc>
        <w:tc>
          <w:tcPr/>
          <w:p>
            <w:pPr>
              <w:pStyle w:val="Compact"/>
              <w:jc w:val="right"/>
            </w:pPr>
            <w:r>
              <w:t xml:space="preserve">11.8</w:t>
            </w:r>
          </w:p>
        </w:tc>
      </w:tr>
      <w:tr>
        <w:tc>
          <w:tcPr/>
          <w:p>
            <w:pPr>
              <w:pStyle w:val="Compact"/>
              <w:jc w:val="left"/>
            </w:pPr>
            <w:r>
              <w:t xml:space="preserve">Definite + probable</w:t>
            </w:r>
          </w:p>
        </w:tc>
        <w:tc>
          <w:tcPr/>
          <w:p>
            <w:pPr>
              <w:pStyle w:val="Compact"/>
              <w:jc w:val="left"/>
            </w:pPr>
            <w:r>
              <w:t xml:space="preserve">cohort</w:t>
            </w:r>
          </w:p>
        </w:tc>
        <w:tc>
          <w:tcPr/>
          <w:p>
            <w:pPr>
              <w:pStyle w:val="Compact"/>
              <w:jc w:val="right"/>
            </w:pPr>
            <w:r>
              <w:t xml:space="preserve">1106</w:t>
            </w:r>
          </w:p>
        </w:tc>
        <w:tc>
          <w:tcPr/>
          <w:p>
            <w:pPr>
              <w:pStyle w:val="Compact"/>
              <w:jc w:val="right"/>
            </w:pPr>
            <w:r>
              <w:t xml:space="preserve">212</w:t>
            </w:r>
          </w:p>
        </w:tc>
        <w:tc>
          <w:tcPr/>
          <w:p>
            <w:pPr>
              <w:pStyle w:val="Compact"/>
              <w:jc w:val="right"/>
            </w:pPr>
            <w:r>
              <w:t xml:space="preserve">19.2</w:t>
            </w:r>
          </w:p>
        </w:tc>
      </w:tr>
      <w:tr>
        <w:tc>
          <w:tcPr/>
          <w:p>
            <w:pPr>
              <w:pStyle w:val="Compact"/>
              <w:jc w:val="left"/>
            </w:pPr>
            <w:r>
              <w:t xml:space="preserve">Definite + reviewer-confirmed</w:t>
            </w:r>
          </w:p>
        </w:tc>
        <w:tc>
          <w:tcPr/>
          <w:p>
            <w:pPr>
              <w:pStyle w:val="Compact"/>
              <w:jc w:val="left"/>
            </w:pPr>
            <w:r>
              <w:t xml:space="preserve">evaluated</w:t>
            </w:r>
          </w:p>
        </w:tc>
        <w:tc>
          <w:tcPr/>
          <w:p>
            <w:pPr>
              <w:pStyle w:val="Compact"/>
              <w:jc w:val="right"/>
            </w:pPr>
            <w:r>
              <w:t xml:space="preserve">1051</w:t>
            </w:r>
          </w:p>
        </w:tc>
        <w:tc>
          <w:tcPr/>
          <w:p>
            <w:pPr>
              <w:pStyle w:val="Compact"/>
              <w:jc w:val="right"/>
            </w:pPr>
            <w:r>
              <w:t xml:space="preserve">178</w:t>
            </w:r>
          </w:p>
        </w:tc>
        <w:tc>
          <w:tcPr/>
          <w:p>
            <w:pPr>
              <w:pStyle w:val="Compact"/>
              <w:jc w:val="right"/>
            </w:pPr>
            <w:r>
              <w:t xml:space="preserve">16.9</w:t>
            </w:r>
          </w:p>
        </w:tc>
      </w:tr>
      <w:tr>
        <w:tc>
          <w:tcPr/>
          <w:p>
            <w:pPr>
              <w:pStyle w:val="Compact"/>
              <w:jc w:val="left"/>
            </w:pPr>
            <w:r>
              <w:t xml:space="preserve">Published within 12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78</w:t>
            </w:r>
          </w:p>
        </w:tc>
        <w:tc>
          <w:tcPr/>
          <w:p>
            <w:pPr>
              <w:pStyle w:val="Compact"/>
              <w:jc w:val="right"/>
            </w:pPr>
            <w:r>
              <w:t xml:space="preserve">7.4</w:t>
            </w:r>
          </w:p>
        </w:tc>
      </w:tr>
      <w:tr>
        <w:tc>
          <w:tcPr/>
          <w:p>
            <w:pPr>
              <w:pStyle w:val="Compact"/>
              <w:jc w:val="left"/>
            </w:pPr>
            <w:r>
              <w:t xml:space="preserve">Published within 24 months</w:t>
            </w:r>
          </w:p>
        </w:tc>
        <w:tc>
          <w:tcPr/>
          <w:p>
            <w:pPr>
              <w:pStyle w:val="Compact"/>
              <w:jc w:val="left"/>
            </w:pPr>
            <w:r>
              <w:t xml:space="preserve">evaluated with sufficient follow-up</w:t>
            </w:r>
          </w:p>
        </w:tc>
        <w:tc>
          <w:tcPr/>
          <w:p>
            <w:pPr>
              <w:pStyle w:val="Compact"/>
              <w:jc w:val="right"/>
            </w:pPr>
            <w:r>
              <w:t xml:space="preserve">1051</w:t>
            </w:r>
          </w:p>
        </w:tc>
        <w:tc>
          <w:tcPr/>
          <w:p>
            <w:pPr>
              <w:pStyle w:val="Compact"/>
              <w:jc w:val="right"/>
            </w:pPr>
            <w:r>
              <w:t xml:space="preserve">139</w:t>
            </w:r>
          </w:p>
        </w:tc>
        <w:tc>
          <w:tcPr/>
          <w:p>
            <w:pPr>
              <w:pStyle w:val="Compact"/>
              <w:jc w:val="right"/>
            </w:pPr>
            <w:r>
              <w:t xml:space="preserve">13.2</w:t>
            </w:r>
          </w:p>
        </w:tc>
      </w:tr>
      <w:tr>
        <w:tc>
          <w:tcPr/>
          <w:p>
            <w:pPr>
              <w:pStyle w:val="Compact"/>
              <w:jc w:val="left"/>
            </w:pPr>
            <w:r>
              <w:t xml:space="preserve">Published within 36 months</w:t>
            </w:r>
          </w:p>
        </w:tc>
        <w:tc>
          <w:tcPr/>
          <w:p>
            <w:pPr>
              <w:pStyle w:val="Compact"/>
              <w:jc w:val="left"/>
            </w:pPr>
            <w:r>
              <w:t xml:space="preserve">evaluated with sufficient follow-up</w:t>
            </w:r>
          </w:p>
        </w:tc>
        <w:tc>
          <w:tcPr/>
          <w:p>
            <w:pPr>
              <w:pStyle w:val="Compact"/>
              <w:jc w:val="right"/>
            </w:pPr>
            <w:r>
              <w:t xml:space="preserve">991</w:t>
            </w:r>
          </w:p>
        </w:tc>
        <w:tc>
          <w:tcPr/>
          <w:p>
            <w:pPr>
              <w:pStyle w:val="Compact"/>
              <w:jc w:val="right"/>
            </w:pPr>
            <w:r>
              <w:t xml:space="preserve">142</w:t>
            </w:r>
          </w:p>
        </w:tc>
        <w:tc>
          <w:tcPr/>
          <w:p>
            <w:pPr>
              <w:pStyle w:val="Compact"/>
              <w:jc w:val="right"/>
            </w:pPr>
            <w:r>
              <w:t xml:space="preserve">14.3</w:t>
            </w:r>
          </w:p>
        </w:tc>
      </w:tr>
      <w:tr>
        <w:tc>
          <w:tcPr/>
          <w:p>
            <w:pPr>
              <w:pStyle w:val="Compact"/>
              <w:jc w:val="left"/>
            </w:pPr>
            <w:r>
              <w:t xml:space="preserve">Published within 48 months</w:t>
            </w:r>
          </w:p>
        </w:tc>
        <w:tc>
          <w:tcPr/>
          <w:p>
            <w:pPr>
              <w:pStyle w:val="Compact"/>
              <w:jc w:val="left"/>
            </w:pPr>
            <w:r>
              <w:t xml:space="preserve">evaluated with sufficient follow-up</w:t>
            </w:r>
          </w:p>
        </w:tc>
        <w:tc>
          <w:tcPr/>
          <w:p>
            <w:pPr>
              <w:pStyle w:val="Compact"/>
              <w:jc w:val="right"/>
            </w:pPr>
            <w:r>
              <w:t xml:space="preserve">901</w:t>
            </w:r>
          </w:p>
        </w:tc>
        <w:tc>
          <w:tcPr/>
          <w:p>
            <w:pPr>
              <w:pStyle w:val="Compact"/>
              <w:jc w:val="right"/>
            </w:pPr>
            <w:r>
              <w:t xml:space="preserve">124</w:t>
            </w:r>
          </w:p>
        </w:tc>
        <w:tc>
          <w:tcPr/>
          <w:p>
            <w:pPr>
              <w:pStyle w:val="Compact"/>
              <w:jc w:val="right"/>
            </w:pPr>
            <w:r>
              <w:t xml:space="preserve">13.8</w:t>
            </w:r>
          </w:p>
        </w:tc>
      </w:tr>
    </w:tbl>
    <w:p>
      <w:pPr>
        <w:pStyle w:val="BodyText"/>
      </w:pPr>
      <w:r>
        <w:t xml:space="preserve">Scenarios 1 and 2 are decidable without a reviewer and divide by the cohort;</w:t>
      </w:r>
      <w:r>
        <w:t xml:space="preserve"> </w:t>
      </w:r>
      <w:r>
        <w:t xml:space="preserve">scenario 3 onward require an adjudicated outcome and divide by the evaluated</w:t>
      </w:r>
      <w:r>
        <w:t xml:space="preserve"> </w:t>
      </w:r>
      <w:r>
        <w:t xml:space="preserve">set. The</w:t>
      </w:r>
      <w:r>
        <w:t xml:space="preserve"> </w:t>
      </w:r>
      <w:r>
        <w:rPr>
          <w:rStyle w:val="VerbatimChar"/>
        </w:rPr>
        <w:t xml:space="preserve">Denominator</w:t>
      </w:r>
      <w:r>
        <w:t xml:space="preserve"> </w:t>
      </w:r>
      <w:r>
        <w:t xml:space="preserve">column states which, so the rates are not compared</w:t>
      </w:r>
      <w:r>
        <w:t xml:space="preserve"> </w:t>
      </w:r>
      <w:r>
        <w:t xml:space="preserve">across different populations.</w:t>
      </w:r>
    </w:p>
    <w:bookmarkEnd w:id="43"/>
    <w:bookmarkStart w:id="44"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2.23</w:t>
            </w:r>
          </w:p>
        </w:tc>
        <w:tc>
          <w:tcPr/>
          <w:p>
            <w:pPr>
              <w:pStyle w:val="Compact"/>
              <w:jc w:val="left"/>
            </w:pPr>
            <w:r>
              <w:t xml:space="preserve">1.48-3.34</w:t>
            </w:r>
          </w:p>
        </w:tc>
        <w:tc>
          <w:tcPr/>
          <w:p>
            <w:pPr>
              <w:pStyle w:val="Compact"/>
              <w:jc w:val="right"/>
            </w:pPr>
            <w:r>
              <w:t xml:space="preserve">0.000</w:t>
            </w:r>
          </w:p>
        </w:tc>
      </w:tr>
      <w:tr>
        <w:tc>
          <w:tcPr/>
          <w:p>
            <w:pPr>
              <w:pStyle w:val="Compact"/>
              <w:jc w:val="left"/>
            </w:pPr>
            <w:r>
              <w:t xml:space="preserve">is_academicTRUE</w:t>
            </w:r>
          </w:p>
        </w:tc>
        <w:tc>
          <w:tcPr/>
          <w:p>
            <w:pPr>
              <w:pStyle w:val="Compact"/>
              <w:jc w:val="right"/>
            </w:pPr>
            <w:r>
              <w:t xml:space="preserve">0.62</w:t>
            </w:r>
          </w:p>
        </w:tc>
        <w:tc>
          <w:tcPr/>
          <w:p>
            <w:pPr>
              <w:pStyle w:val="Compact"/>
              <w:jc w:val="left"/>
            </w:pPr>
            <w:r>
              <w:t xml:space="preserve">0.44-0.87</w:t>
            </w:r>
          </w:p>
        </w:tc>
        <w:tc>
          <w:tcPr/>
          <w:p>
            <w:pPr>
              <w:pStyle w:val="Compact"/>
              <w:jc w:val="right"/>
            </w:pPr>
            <w:r>
              <w:t xml:space="preserve">0.006</w:t>
            </w:r>
          </w:p>
        </w:tc>
      </w:tr>
      <w:tr>
        <w:tc>
          <w:tcPr/>
          <w:p>
            <w:pPr>
              <w:pStyle w:val="Compact"/>
              <w:jc w:val="left"/>
            </w:pPr>
            <w:r>
              <w:t xml:space="preserve">is_us_basedTRUE</w:t>
            </w:r>
          </w:p>
        </w:tc>
        <w:tc>
          <w:tcPr/>
          <w:p>
            <w:pPr>
              <w:pStyle w:val="Compact"/>
              <w:jc w:val="right"/>
            </w:pPr>
            <w:r>
              <w:t xml:space="preserve">1.40</w:t>
            </w:r>
          </w:p>
        </w:tc>
        <w:tc>
          <w:tcPr/>
          <w:p>
            <w:pPr>
              <w:pStyle w:val="Compact"/>
              <w:jc w:val="left"/>
            </w:pPr>
            <w:r>
              <w:t xml:space="preserve">0.88-2.24</w:t>
            </w:r>
          </w:p>
        </w:tc>
        <w:tc>
          <w:tcPr/>
          <w:p>
            <w:pPr>
              <w:pStyle w:val="Compact"/>
              <w:jc w:val="right"/>
            </w:pPr>
            <w:r>
              <w:t xml:space="preserve">0.156</w:t>
            </w:r>
          </w:p>
        </w:tc>
      </w:tr>
      <w:tr>
        <w:tc>
          <w:tcPr/>
          <w:p>
            <w:pPr>
              <w:pStyle w:val="Compact"/>
              <w:jc w:val="left"/>
            </w:pPr>
            <w:r>
              <w:t xml:space="preserve">n_authors</w:t>
            </w:r>
          </w:p>
        </w:tc>
        <w:tc>
          <w:tcPr/>
          <w:p>
            <w:pPr>
              <w:pStyle w:val="Compact"/>
              <w:jc w:val="right"/>
            </w:pPr>
            <w:r>
              <w:t xml:space="preserve">1.26</w:t>
            </w:r>
          </w:p>
        </w:tc>
        <w:tc>
          <w:tcPr/>
          <w:p>
            <w:pPr>
              <w:pStyle w:val="Compact"/>
              <w:jc w:val="left"/>
            </w:pPr>
            <w:r>
              <w:t xml:space="preserve">1.09-1.45</w:t>
            </w:r>
          </w:p>
        </w:tc>
        <w:tc>
          <w:tcPr/>
          <w:p>
            <w:pPr>
              <w:pStyle w:val="Compact"/>
              <w:jc w:val="right"/>
            </w:pPr>
            <w:r>
              <w:t xml:space="preserve">0.001</w:t>
            </w:r>
          </w:p>
        </w:tc>
      </w:tr>
      <w:tr>
        <w:tc>
          <w:tcPr/>
          <w:p>
            <w:pPr>
              <w:pStyle w:val="Compact"/>
              <w:jc w:val="left"/>
            </w:pPr>
            <w:r>
              <w:t xml:space="preserve">gender_unifiedmale</w:t>
            </w:r>
          </w:p>
        </w:tc>
        <w:tc>
          <w:tcPr/>
          <w:p>
            <w:pPr>
              <w:pStyle w:val="Compact"/>
              <w:jc w:val="right"/>
            </w:pPr>
            <w:r>
              <w:t xml:space="preserve">0.81</w:t>
            </w:r>
          </w:p>
        </w:tc>
        <w:tc>
          <w:tcPr/>
          <w:p>
            <w:pPr>
              <w:pStyle w:val="Compact"/>
              <w:jc w:val="left"/>
            </w:pPr>
            <w:r>
              <w:t xml:space="preserve">0.6-1.11</w:t>
            </w:r>
          </w:p>
        </w:tc>
        <w:tc>
          <w:tcPr/>
          <w:p>
            <w:pPr>
              <w:pStyle w:val="Compact"/>
              <w:jc w:val="right"/>
            </w:pPr>
            <w:r>
              <w:t xml:space="preserve">0.191</w:t>
            </w:r>
          </w:p>
        </w:tc>
      </w:tr>
      <w:tr>
        <w:tc>
          <w:tcPr/>
          <w:p>
            <w:pPr>
              <w:pStyle w:val="Compact"/>
              <w:jc w:val="left"/>
            </w:pPr>
            <w:r>
              <w:t xml:space="preserve">is_multicenterTRUE</w:t>
            </w:r>
          </w:p>
        </w:tc>
        <w:tc>
          <w:tcPr/>
          <w:p>
            <w:pPr>
              <w:pStyle w:val="Compact"/>
              <w:jc w:val="right"/>
            </w:pPr>
            <w:r>
              <w:t xml:space="preserve">1.37</w:t>
            </w:r>
          </w:p>
        </w:tc>
        <w:tc>
          <w:tcPr/>
          <w:p>
            <w:pPr>
              <w:pStyle w:val="Compact"/>
              <w:jc w:val="left"/>
            </w:pPr>
            <w:r>
              <w:t xml:space="preserve">0.8-2.35</w:t>
            </w:r>
          </w:p>
        </w:tc>
        <w:tc>
          <w:tcPr/>
          <w:p>
            <w:pPr>
              <w:pStyle w:val="Compact"/>
              <w:jc w:val="right"/>
            </w:pPr>
            <w:r>
              <w:t xml:space="preserve">0.251</w:t>
            </w:r>
          </w:p>
        </w:tc>
      </w:tr>
    </w:tbl>
    <w:p>
      <w:pPr>
        <w:pStyle w:val="BodyText"/>
      </w:pPr>
      <w:r>
        <w:t xml:space="preserve">Proportional hazards assumption: global test p = 0.043.</w:t>
      </w:r>
    </w:p>
    <w:bookmarkEnd w:id="44"/>
    <w:bookmarkStart w:id="50" w:name="X92b8d09b47aa5be92acc70bc51d89d5211171b2"/>
    <w:p>
      <w:pPr>
        <w:pStyle w:val="Heading2"/>
      </w:pPr>
      <w:r>
        <w:t xml:space="preserve">A8. Abstract Text Recovery: Challenges for Congress Years 2012–2018</w:t>
      </w:r>
    </w:p>
    <w:bookmarkStart w:id="45"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45"/>
    <w:bookmarkStart w:id="46"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46"/>
    <w:bookmarkStart w:id="47" w:name="a8.3-final-abstract-text-coverage"/>
    <w:p>
      <w:pPr>
        <w:pStyle w:val="Heading3"/>
      </w:pPr>
      <w:r>
        <w:t xml:space="preserve">A8.3 Final Abstract Text Coverage</w:t>
      </w:r>
    </w:p>
    <w:p>
      <w:pPr>
        <w:pStyle w:val="FirstParagraph"/>
      </w:pPr>
      <w:r>
        <w:t xml:space="preserve">The table below is computed from</w:t>
      </w:r>
      <w:r>
        <w:t xml:space="preserve"> </w:t>
      </w:r>
      <w:r>
        <w:rPr>
          <w:rStyle w:val="VerbatimChar"/>
        </w:rPr>
        <w:t xml:space="preserve">data/processed/abstracts_cleaned.csv</w:t>
      </w:r>
      <w:r>
        <w:t xml:space="preserve"> </w:t>
      </w:r>
      <w:r>
        <w:t xml:space="preserve">at</w:t>
      </w:r>
      <w:r>
        <w:t xml:space="preserve"> </w:t>
      </w:r>
      <w:r>
        <w:t xml:space="preserve">render time. A static version previously printed here reported 97 abstracts per</w:t>
      </w:r>
      <w:r>
        <w:t xml:space="preserve"> </w:t>
      </w:r>
      <w:r>
        <w:t xml:space="preserve">congress and 0% coverage for 2017; both were superseded and the static table has</w:t>
      </w:r>
      <w:r>
        <w:t xml:space="preserve"> </w:t>
      </w:r>
      <w:r>
        <w:t xml:space="preserve">been removed rather than maintained in parallel.</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47"/>
    <w:bookmarkStart w:id="48"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(1 of 97 abstracts with text) is therefore expected to show lower classification confidence and a higher proportion of probable/possible classifications relative to other years; it has the lowest mean composite score (2.62) and the lowest publication rate (5.6%) of any congress.</w:t>
      </w:r>
    </w:p>
    <w:p>
      <w:pPr>
        <w:pStyle w:val="BodyText"/>
      </w:pPr>
      <w:r>
        <w:t xml:space="preserve">A second consequence was not recognised at the time and is more serious.</w:t>
      </w:r>
      <w:r>
        <w:t xml:space="preserve"> </w:t>
      </w:r>
      <w:r>
        <w:rPr>
          <w:rStyle w:val="VerbatimChar"/>
        </w:rPr>
        <w:t xml:space="preserve">R/02_clean_abstracts.R</w:t>
      </w:r>
      <w:r>
        <w:t xml:space="preserve"> </w:t>
      </w:r>
      <w:r>
        <w:t xml:space="preserve">derives every text-based predictor</w:t>
      </w:r>
      <w:r>
        <w:t xml:space="preserve"> </w:t>
      </w:r>
      <w:r>
        <w:rPr>
          <w:i/>
          <w:iCs/>
        </w:rPr>
        <w:t xml:space="preserve">before</w:t>
      </w:r>
      <w:r>
        <w:t xml:space="preserve"> </w:t>
      </w:r>
      <w:r>
        <w:t xml:space="preserve">the recovery steps in A8.2 run, and never recomputes them, so the recovered text improved matching but not variable extraction. The resulting step change at 2018/2019 in</w:t>
      </w:r>
      <w:r>
        <w:t xml:space="preserve"> </w:t>
      </w:r>
      <w:r>
        <w:rPr>
          <w:rStyle w:val="VerbatimChar"/>
        </w:rPr>
        <w:t xml:space="preserve">is_us_based</w:t>
      </w:r>
      <w:r>
        <w:t xml:space="preserve">,</w:t>
      </w:r>
      <w:r>
        <w:t xml:space="preserve"> </w:t>
      </w:r>
      <w:r>
        <w:rPr>
          <w:rStyle w:val="VerbatimChar"/>
        </w:rPr>
        <w:t xml:space="preserve">is_academic</w:t>
      </w:r>
      <w:r>
        <w:t xml:space="preserve">,</w:t>
      </w:r>
      <w:r>
        <w:t xml:space="preserve"> </w:t>
      </w:r>
      <w:r>
        <w:rPr>
          <w:rStyle w:val="VerbatimChar"/>
        </w:rPr>
        <w:t xml:space="preserve">sample_size</w:t>
      </w:r>
      <w:r>
        <w:t xml:space="preserve">,</w:t>
      </w:r>
      <w:r>
        <w:t xml:space="preserve"> </w:t>
      </w:r>
      <w:r>
        <w:rPr>
          <w:rStyle w:val="VerbatimChar"/>
        </w:rPr>
        <w:t xml:space="preserve">study_design</w:t>
      </w:r>
      <w:r>
        <w:t xml:space="preserve"> </w:t>
      </w:r>
      <w:r>
        <w:t xml:space="preserve">and</w:t>
      </w:r>
      <w:r>
        <w:t xml:space="preserve"> </w:t>
      </w:r>
      <w:r>
        <w:rPr>
          <w:rStyle w:val="VerbatimChar"/>
        </w:rPr>
        <w:t xml:space="preserve">has_numeric_results</w:t>
      </w:r>
      <w:r>
        <w:t xml:space="preserve"> </w:t>
      </w:r>
      <w:r>
        <w:t xml:space="preserve">is documented as F3 in</w:t>
      </w:r>
      <w:r>
        <w:t xml:space="preserve"> </w:t>
      </w:r>
      <w:r>
        <w:rPr>
          <w:rStyle w:val="VerbatimChar"/>
        </w:rPr>
        <w:t xml:space="preserve">docs/FAILURE_MODES.md</w:t>
      </w:r>
      <w:r>
        <w:t xml:space="preserve"> </w:t>
      </w:r>
      <w:r>
        <w:t xml:space="preserve">and affects every coefficient in the Cox and logistic models.</w:t>
      </w:r>
    </w:p>
    <w:bookmarkEnd w:id="48"/>
    <w:bookmarkStart w:id="49"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49"/>
    <w:bookmarkEnd w:id="50"/>
    <w:bookmarkStart w:id="54"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51"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51"/>
    <w:bookmarkStart w:id="52"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87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gender_unified, first_author_state, first_author_acog_district, practice_type, subspecialty, career_stage, n_unique_affiliations</w:t>
            </w:r>
          </w:p>
        </w:tc>
        <w:tc>
          <w:tcPr/>
          <w:p>
            <w:pPr>
              <w:pStyle w:val="Compact"/>
            </w:pPr>
            <w:r>
              <w:t xml:space="preserve">PubMed XML + SSA + ACGME</w:t>
            </w:r>
          </w:p>
        </w:tc>
      </w:tr>
    </w:tbl>
    <w:bookmarkEnd w:id="52"/>
    <w:bookmarkStart w:id="53"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53"/>
    <w:bookmarkEnd w:id="54"/>
    <w:bookmarkStart w:id="70" w:name="a10.-npi-identity-resolution"/>
    <w:p>
      <w:pPr>
        <w:pStyle w:val="Heading2"/>
      </w:pPr>
      <w:r>
        <w:t xml:space="preserve">A10. NPI Identity Resolution</w:t>
      </w:r>
    </w:p>
    <w:bookmarkStart w:id="55"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55"/>
    <w:bookmarkStart w:id="56"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56"/>
    <w:bookmarkStart w:id="57"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57"/>
    <w:bookmarkStart w:id="58"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58"/>
    <w:bookmarkStart w:id="59"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59"/>
    <w:bookmarkStart w:id="60"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60"/>
    <w:bookmarkStart w:id="61"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276 Tier A matches, 210 (76%) met the standard threshold (score &gt;= 50) and 66 (24%) were accepted via single-candidate relaxation (score 35-49, sole candidate).</w:t>
      </w:r>
    </w:p>
    <w:bookmarkEnd w:id="61"/>
    <w:bookmarkStart w:id="62"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62"/>
    <w:bookmarkStart w:id="63"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276 Tier A matches, 60 (22%) held MIG (minimally invasive gynecology) subspecialty certification.</w:t>
      </w:r>
    </w:p>
    <w:bookmarkEnd w:id="63"/>
    <w:bookmarkStart w:id="64"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64"/>
    <w:bookmarkStart w:id="65" w:name="Xfc2c4d5574e168472947f2b3e321522650e5826"/>
    <w:p>
      <w:pPr>
        <w:pStyle w:val="Heading3"/>
      </w:pPr>
      <w:r>
        <w:t xml:space="preserve">A10.11 Coauthor Triangulation for Name Disambiguation</w:t>
      </w:r>
    </w:p>
    <w:p>
      <w:pPr>
        <w:pStyle w:val="FirstParagraph"/>
      </w:pPr>
      <w:r>
        <w:t xml:space="preserve">To resolve initials-only first names (e.g.,</w:t>
      </w:r>
      <w:r>
        <w:t xml:space="preserve"> </w:t>
      </w:r>
      <w:r>
        <w:t xml:space="preserve">“Y.S. Lee”</w:t>
      </w:r>
      <w:r>
        <w:t xml:space="preserve">) into full given names amenable to gender inference, we attempted coauthor triangulation via PubMed co-publication search. The approach exploits the observation that coauthors who appear together on an AAGL abstract may also have co-published a PubMed-indexed article where the first author’s full given name is recorded in the MEDLINE XML</w:t>
      </w:r>
      <w:r>
        <w:t xml:space="preserve"> </w:t>
      </w:r>
      <w:r>
        <w:rPr>
          <w:rStyle w:val="VerbatimChar"/>
        </w:rPr>
        <w:t xml:space="preserve">&lt;ForeName&gt;</w:t>
      </w:r>
      <w:r>
        <w:t xml:space="preserve"> </w:t>
      </w:r>
      <w:r>
        <w:t xml:space="preserve">field.</w:t>
      </w:r>
    </w:p>
    <w:p>
      <w:pPr>
        <w:pStyle w:val="BodyText"/>
      </w:pPr>
      <w:r>
        <w:rPr>
          <w:b/>
          <w:bCs/>
        </w:rPr>
        <w:t xml:space="preserve">Method.</w:t>
      </w:r>
      <w:r>
        <w:t xml:space="preserve"> </w:t>
      </w:r>
      <w:r>
        <w:t xml:space="preserve">For each author missing gender whose</w:t>
      </w:r>
      <w:r>
        <w:t xml:space="preserve"> </w:t>
      </w:r>
      <w:r>
        <w:rPr>
          <w:rStyle w:val="VerbatimChar"/>
        </w:rPr>
        <w:t xml:space="preserve">authors_raw</w:t>
      </w:r>
      <w:r>
        <w:t xml:space="preserve"> </w:t>
      </w:r>
      <w:r>
        <w:t xml:space="preserve">field listed at least two coauthors, we constructed a PubMed query pairing the first author’s surname with a coauthor’s surname using the</w:t>
      </w:r>
      <w:r>
        <w:t xml:space="preserve"> </w:t>
      </w:r>
      <w:r>
        <w:rPr>
          <w:rStyle w:val="VerbatimChar"/>
        </w:rPr>
        <w:t xml:space="preserve">[AU]</w:t>
      </w:r>
      <w:r>
        <w:t xml:space="preserve"> </w:t>
      </w:r>
      <w:r>
        <w:t xml:space="preserve">field tag (e.g.,</w:t>
      </w:r>
      <w:r>
        <w:t xml:space="preserve"> </w:t>
      </w:r>
      <w:r>
        <w:rPr>
          <w:rStyle w:val="VerbatimChar"/>
        </w:rPr>
        <w:t xml:space="preserve">"lee"[AU] AND "park"[AU]</w:t>
      </w:r>
      <w:r>
        <w:t xml:space="preserve">). We attempted two coauthor strategies sequentially:</w:t>
      </w:r>
    </w:p>
    <w:p>
      <w:pPr>
        <w:pStyle w:val="Compact"/>
        <w:numPr>
          <w:ilvl w:val="0"/>
          <w:numId w:val="1007"/>
        </w:numPr>
      </w:pPr>
      <w:r>
        <w:rPr>
          <w:b/>
          <w:bCs/>
        </w:rPr>
        <w:t xml:space="preserve">Senior author triangulation</w:t>
      </w:r>
      <w:r>
        <w:t xml:space="preserve"> </w:t>
      </w:r>
      <w:r>
        <w:t xml:space="preserve">(</w:t>
      </w:r>
      <w:r>
        <w:rPr>
          <w:rStyle w:val="VerbatimChar"/>
        </w:rPr>
        <w:t xml:space="preserve">R/10f</w:t>
      </w:r>
      <w:r>
        <w:t xml:space="preserve">): paired the first author with the last-listed (senior) author.</w:t>
      </w:r>
    </w:p>
    <w:p>
      <w:pPr>
        <w:pStyle w:val="Compact"/>
        <w:numPr>
          <w:ilvl w:val="0"/>
          <w:numId w:val="1007"/>
        </w:numPr>
      </w:pPr>
      <w:r>
        <w:rPr>
          <w:b/>
          <w:bCs/>
        </w:rPr>
        <w:t xml:space="preserve">Second author triangulation</w:t>
      </w:r>
      <w:r>
        <w:t xml:space="preserve"> </w:t>
      </w:r>
      <w:r>
        <w:t xml:space="preserve">(</w:t>
      </w:r>
      <w:r>
        <w:rPr>
          <w:rStyle w:val="VerbatimChar"/>
        </w:rPr>
        <w:t xml:space="preserve">R/10g</w:t>
      </w:r>
      <w:r>
        <w:t xml:space="preserve">): paired the first author with the second-listed author, hypothesizing that immediate collaborators (co-residents, research partners) would share more co-publications than a senior author who may be a department chair.</w:t>
      </w:r>
    </w:p>
    <w:p>
      <w:pPr>
        <w:pStyle w:val="FirstParagraph"/>
      </w:pPr>
      <w:r>
        <w:t xml:space="preserve">For queries returning 1–10 PubMed results, we fetched the first article’s XML and extracted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matched the first author. Pairs sharing the same surname were excluded to prevent false matches. Resolved names underwent gender inference via SSA baby-name data and an international gender lookup table (n = 300+ curated names).</w:t>
      </w:r>
    </w:p>
    <w:p>
      <w:pPr>
        <w:pStyle w:val="BodyText"/>
      </w:pPr>
      <w:r>
        <w:rPr>
          <w:b/>
          <w:bCs/>
        </w:rPr>
        <w:t xml:space="preserve">Results.</w:t>
      </w:r>
      <w:r>
        <w:t xml:space="preserve"> </w:t>
      </w:r>
      <w:r>
        <w:t xml:space="preserve">Senior author triangulation resolved 2 of 300 target names; second author triangulation resolved 0 of 789 targets (after excluding same-surname pairs). The near-zero yield reflects two features of the target population: (1) authors still missing gender at this pipeline stage are predominantly international researchers (East Asian, South Asian, Middle Eastern) whose AAGL collaborators rarely co-publish together in PubMed-indexed journals, and (2) common East Asian surnames (Chen, Kim, Lee, Li, Wang) produce non-specific PubMed queries even when paired with a coauthor, necessitating the same-surname exclusion filter.</w:t>
      </w:r>
    </w:p>
    <w:p>
      <w:pPr>
        <w:pStyle w:val="BodyText"/>
      </w:pPr>
      <w:r>
        <w:rPr>
          <w:b/>
          <w:bCs/>
        </w:rPr>
        <w:t xml:space="preserve">Conclusion.</w:t>
      </w:r>
      <w:r>
        <w:t xml:space="preserve"> </w:t>
      </w:r>
      <w:r>
        <w:t xml:space="preserve">Coauthor triangulation via PubMed is not effective for this population. Three supplementary strategies were implemented to recover full first names and assign gender for the remaining authors, described below.</w:t>
      </w:r>
    </w:p>
    <w:bookmarkEnd w:id="65"/>
    <w:bookmarkStart w:id="66" w:name="X576e1b88a4438505cf95cb72cb47cf90e3cdf84"/>
    <w:p>
      <w:pPr>
        <w:pStyle w:val="Heading3"/>
      </w:pPr>
      <w:r>
        <w:t xml:space="preserve">A10.12 Strategy 2: PubMed Author Search with Institutional Anchor (Script</w:t>
      </w:r>
      <w:r>
        <w:t xml:space="preserve"> </w:t>
      </w:r>
      <w:r>
        <w:rPr>
          <w:rStyle w:val="VerbatimChar"/>
        </w:rPr>
        <w:t xml:space="preserve">09f</w:t>
      </w:r>
      <w:r>
        <w:t xml:space="preserve">)</w:t>
      </w:r>
    </w:p>
    <w:p>
      <w:pPr>
        <w:pStyle w:val="FirstParagraph"/>
      </w:pPr>
      <w:r>
        <w:t xml:space="preserve">For each author still lacking gender whose</w:t>
      </w:r>
      <w:r>
        <w:t xml:space="preserve"> </w:t>
      </w:r>
      <w:r>
        <w:rPr>
          <w:rStyle w:val="VerbatimChar"/>
        </w:rPr>
        <w:t xml:space="preserve">affiliation_raw</w:t>
      </w:r>
      <w:r>
        <w:t xml:space="preserve"> </w:t>
      </w:r>
      <w:r>
        <w:t xml:space="preserve">was non-empty, we constructed a PubMed query combining the author’s last name and initials with an institution keyword extracted from the affiliation string. The affiliation was split on</w:t>
      </w:r>
      <w:r>
        <w:t xml:space="preserve"> </w:t>
      </w:r>
      <w:r>
        <w:rPr>
          <w:rStyle w:val="VerbatimChar"/>
        </w:rPr>
        <w:t xml:space="preserve">|</w:t>
      </w:r>
      <w:r>
        <w:t xml:space="preserve"> </w:t>
      </w:r>
      <w:r>
        <w:t xml:space="preserve">(taking the first listed institution), tokenized on commas, and the first non-departmental, non-geographic token was used as the anchor (e.g.,</w:t>
      </w:r>
      <w:r>
        <w:t xml:space="preserve"> </w:t>
      </w:r>
      <w:r>
        <w:t xml:space="preserve">“Department of Obstetrics, University of Pittsburgh, Pittsburgh, PA”</w:t>
      </w:r>
      <w:r>
        <w:t xml:space="preserve"> </w:t>
      </w:r>
      <w:r>
        <w:t xml:space="preserve">→</w:t>
      </w:r>
      <w:r>
        <w:t xml:space="preserve"> </w:t>
      </w:r>
      <w:r>
        <w:t xml:space="preserve">“University of Pittsburgh”</w:t>
      </w:r>
      <w:r>
        <w:t xml:space="preserve">).</w:t>
      </w:r>
    </w:p>
    <w:p>
      <w:pPr>
        <w:pStyle w:val="BodyText"/>
      </w:pPr>
      <w:r>
        <w:t xml:space="preserve">The PubMed query took the form:</w:t>
      </w:r>
    </w:p>
    <w:p>
      <w:pPr>
        <w:pStyle w:val="SourceCode"/>
      </w:pPr>
      <w:r>
        <w:rPr>
          <w:rStyle w:val="VerbatimChar"/>
        </w:rPr>
        <w:t xml:space="preserve">"Guido RS"[Author] AND "University of Pittsburgh"[Affiliation]</w:t>
      </w:r>
    </w:p>
    <w:p>
      <w:pPr>
        <w:pStyle w:val="FirstParagraph"/>
      </w:pPr>
      <w:r>
        <w:t xml:space="preserve">The returned XML was parsed with</w:t>
      </w:r>
      <w:r>
        <w:t xml:space="preserve"> </w:t>
      </w:r>
      <w:r>
        <w:rPr>
          <w:rStyle w:val="VerbatimChar"/>
        </w:rPr>
        <w:t xml:space="preserve">xml2</w:t>
      </w:r>
      <w:r>
        <w:t xml:space="preserve">; the</w:t>
      </w:r>
      <w:r>
        <w:t xml:space="preserve"> </w:t>
      </w:r>
      <w:r>
        <w:rPr>
          <w:rStyle w:val="VerbatimChar"/>
        </w:rPr>
        <w:t xml:space="preserve">&lt;ForeName&gt;</w:t>
      </w:r>
      <w:r>
        <w:t xml:space="preserve"> </w:t>
      </w:r>
      <w:r>
        <w:t xml:space="preserve">of the author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was extracted and taken as the full first name. Results were cached at</w:t>
      </w:r>
      <w:r>
        <w:t xml:space="preserve"> </w:t>
      </w:r>
      <w:r>
        <w:rPr>
          <w:rStyle w:val="VerbatimChar"/>
        </w:rPr>
        <w:t xml:space="preserve">data/cache/pubmed_author/&lt;last&gt;_&lt;init&gt;.rds</w:t>
      </w:r>
      <w:r>
        <w:t xml:space="preserve">. This strategy recovered full first names for 132 of 225 targets (58.7%), resolving gender for 109 authors, with a net gain of 14 new gender values after coalescing with previously assigned values.</w:t>
      </w:r>
    </w:p>
    <w:bookmarkEnd w:id="66"/>
    <w:bookmarkStart w:id="67" w:name="X61a7bc2260446e302e29cb6820f7b38cf19d7b8"/>
    <w:p>
      <w:pPr>
        <w:pStyle w:val="Heading3"/>
      </w:pPr>
      <w:r>
        <w:t xml:space="preserve">A10.13 Strategy 3: ORCID Person Record Lookup (Script</w:t>
      </w:r>
      <w:r>
        <w:t xml:space="preserve"> </w:t>
      </w:r>
      <w:r>
        <w:rPr>
          <w:rStyle w:val="VerbatimChar"/>
        </w:rPr>
        <w:t xml:space="preserve">09g</w:t>
      </w:r>
      <w:r>
        <w:t xml:space="preserve">)</w:t>
      </w:r>
    </w:p>
    <w:p>
      <w:pPr>
        <w:pStyle w:val="FirstParagraph"/>
      </w:pPr>
      <w:r>
        <w:t xml:space="preserve">For abstracts where a valid ORCID iD had been assigned during the Step 5g enrichment (</w:t>
      </w:r>
      <w:r>
        <w:rPr>
          <w:rStyle w:val="VerbatimChar"/>
        </w:rPr>
        <w:t xml:space="preserve">09e_enrich_orcid.R</w:t>
      </w:r>
      <w:r>
        <w:t xml:space="preserve">), the corresponding cached person record (</w:t>
      </w:r>
      <w:r>
        <w:rPr>
          <w:rStyle w:val="VerbatimChar"/>
        </w:rPr>
        <w:t xml:space="preserve">data/cache/orcid/&lt;orcid_id&gt;_person.rds</w:t>
      </w:r>
      <w:r>
        <w:t xml:space="preserve">) was read locally — no additional API calls were made. The</w:t>
      </w:r>
      <w:r>
        <w:t xml:space="preserve"> </w:t>
      </w:r>
      <w:r>
        <w:rPr>
          <w:rStyle w:val="VerbatimChar"/>
        </w:rPr>
        <w:t xml:space="preserve">given-names</w:t>
      </w:r>
      <w:r>
        <w:t xml:space="preserve"> </w:t>
      </w:r>
      <w:r>
        <w:t xml:space="preserve">value from the ORCID name object was extracted and the first word taken as the first name (e.g.,</w:t>
      </w:r>
      <w:r>
        <w:t xml:space="preserve"> </w:t>
      </w:r>
      <w:r>
        <w:t xml:space="preserve">“Deborah A”</w:t>
      </w:r>
      <w:r>
        <w:t xml:space="preserve"> </w:t>
      </w:r>
      <w:r>
        <w:t xml:space="preserve">→</w:t>
      </w:r>
      <w:r>
        <w:t xml:space="preserve"> </w:t>
      </w:r>
      <w:r>
        <w:t xml:space="preserve">“Deborah”</w:t>
      </w:r>
      <w:r>
        <w:t xml:space="preserve">). Of 174 ORCID-matched abstracts processed, 55 had a publicly listed given name in their ORCID profile. Gender inference via SSA and genderize.io resolved 38 of those, with a net gain of 27 new gender values.</w:t>
      </w:r>
    </w:p>
    <w:bookmarkEnd w:id="67"/>
    <w:bookmarkStart w:id="68" w:name="X59e1524bbc76b51a33e3ce7dac20ba2bf99cacf"/>
    <w:p>
      <w:pPr>
        <w:pStyle w:val="Heading3"/>
      </w:pPr>
      <w:r>
        <w:t xml:space="preserve">A10.14 Strategy 4: OB/GYN Journal Publication Search (Script</w:t>
      </w:r>
      <w:r>
        <w:t xml:space="preserve"> </w:t>
      </w:r>
      <w:r>
        <w:rPr>
          <w:rStyle w:val="VerbatimChar"/>
        </w:rPr>
        <w:t xml:space="preserve">09h</w:t>
      </w:r>
      <w:r>
        <w:t xml:space="preserve">)</w:t>
      </w:r>
    </w:p>
    <w:p>
      <w:pPr>
        <w:pStyle w:val="FirstParagraph"/>
      </w:pPr>
      <w:r>
        <w:t xml:space="preserve">The most productive supplementary strategy searched PubMed for any paper by the first author in a curated list of 17 major OB/GYN and minimally invasive surgery journals, without requiring that the paper be the AAGL abstract itself. The premise is that many AAGL presenters, even if they never published the presented abstract, have published other work in the OB/GYN literature — and those indexed articles contain the full</w:t>
      </w:r>
      <w:r>
        <w:t xml:space="preserve"> </w:t>
      </w:r>
      <w:r>
        <w:rPr>
          <w:rStyle w:val="VerbatimChar"/>
        </w:rPr>
        <w:t xml:space="preserve">&lt;ForeName&gt;</w:t>
      </w:r>
      <w:r>
        <w:t xml:space="preserve"> </w:t>
      </w:r>
      <w:r>
        <w:t xml:space="preserve">in MEDLINE XML.</w:t>
      </w:r>
    </w:p>
    <w:p>
      <w:pPr>
        <w:pStyle w:val="BodyText"/>
      </w:pPr>
      <w:r>
        <w:rPr>
          <w:b/>
          <w:bCs/>
        </w:rPr>
        <w:t xml:space="preserve">Query construction.</w:t>
      </w:r>
      <w:r>
        <w:t xml:space="preserve"> </w:t>
      </w:r>
      <w:r>
        <w:t xml:space="preserve">For each author with last name</w:t>
      </w:r>
      <w:r>
        <w:t xml:space="preserve"> </w:t>
      </w:r>
      <w:r>
        <w:rPr>
          <w:rStyle w:val="VerbatimChar"/>
        </w:rPr>
        <w:t xml:space="preserve">last</w:t>
      </w:r>
      <w:r>
        <w:t xml:space="preserve"> </w:t>
      </w:r>
      <w:r>
        <w:t xml:space="preserve">and initials</w:t>
      </w:r>
      <w:r>
        <w:t xml:space="preserve"> </w:t>
      </w:r>
      <w:r>
        <w:rPr>
          <w:rStyle w:val="VerbatimChar"/>
        </w:rPr>
        <w:t xml:space="preserve">init</w:t>
      </w:r>
      <w:r>
        <w:t xml:space="preserve">, the query was:</w:t>
      </w:r>
    </w:p>
    <w:p>
      <w:pPr>
        <w:pStyle w:val="SourceCode"/>
      </w:pPr>
      <w:r>
        <w:rPr>
          <w:rStyle w:val="VerbatimChar"/>
        </w:rPr>
        <w:t xml:space="preserve">"&lt;last&gt; &lt;init&gt;"[Author] AND (&lt;journal_filter&gt;)</w:t>
      </w:r>
    </w:p>
    <w:p>
      <w:pPr>
        <w:pStyle w:val="FirstParagraph"/>
      </w:pPr>
      <w:r>
        <w:t xml:space="preserve">where</w:t>
      </w:r>
      <w:r>
        <w:t xml:space="preserve"> </w:t>
      </w:r>
      <w:r>
        <w:rPr>
          <w:rStyle w:val="VerbatimChar"/>
        </w:rPr>
        <w:t xml:space="preserve">&lt;journal_filter&gt;</w:t>
      </w:r>
      <w:r>
        <w:t xml:space="preserve"> </w:t>
      </w:r>
      <w:r>
        <w:t xml:space="preserve">was a disjunction of 16 journal title abbreviations using the</w:t>
      </w:r>
      <w:r>
        <w:t xml:space="preserve"> </w:t>
      </w:r>
      <w:r>
        <w:rPr>
          <w:rStyle w:val="VerbatimChar"/>
        </w:rPr>
        <w:t xml:space="preserve">[ta]</w:t>
      </w:r>
      <w:r>
        <w:t xml:space="preserve"> </w:t>
      </w:r>
      <w:r>
        <w:t xml:space="preserve">field tag:</w:t>
      </w:r>
    </w:p>
    <w:p>
      <w:pPr>
        <w:pStyle w:val="SourceCode"/>
      </w:pPr>
      <w:r>
        <w:rPr>
          <w:rStyle w:val="VerbatimChar"/>
        </w:rPr>
        <w:t xml:space="preserve">("Am J Obstet Gynecol"[ta] OR "Obstet Gynecol"[ta] OR</w:t>
      </w:r>
      <w:r>
        <w:br/>
      </w:r>
      <w:r>
        <w:rPr>
          <w:rStyle w:val="VerbatimChar"/>
        </w:rPr>
        <w:t xml:space="preserve"> "J Minim Invasive Gynecol"[ta] OR "Fertil Steril"[ta] OR</w:t>
      </w:r>
      <w:r>
        <w:br/>
      </w:r>
      <w:r>
        <w:rPr>
          <w:rStyle w:val="VerbatimChar"/>
        </w:rPr>
        <w:t xml:space="preserve"> "Gynecol Oncol"[ta] OR "Female Pelvic Med Reconstr Surg"[ta] OR</w:t>
      </w:r>
      <w:r>
        <w:br/>
      </w:r>
      <w:r>
        <w:rPr>
          <w:rStyle w:val="VerbatimChar"/>
        </w:rPr>
        <w:t xml:space="preserve"> "Int J Gynaecol Obstet"[ta] OR "BJOG"[ta] OR</w:t>
      </w:r>
      <w:r>
        <w:br/>
      </w:r>
      <w:r>
        <w:rPr>
          <w:rStyle w:val="VerbatimChar"/>
        </w:rPr>
        <w:t xml:space="preserve"> "Eur J Obstet Gynecol Reprod Biol"[ta] OR "J Gynecol Oncol"[ta] OR</w:t>
      </w:r>
      <w:r>
        <w:br/>
      </w:r>
      <w:r>
        <w:rPr>
          <w:rStyle w:val="VerbatimChar"/>
        </w:rPr>
        <w:t xml:space="preserve"> "Reprod Sci"[ta] OR "Contraception"[ta] OR "Hum Reprod"[ta] OR</w:t>
      </w:r>
      <w:r>
        <w:br/>
      </w:r>
      <w:r>
        <w:rPr>
          <w:rStyle w:val="VerbatimChar"/>
        </w:rPr>
        <w:t xml:space="preserve"> "Menopause"[ta] OR "Ultrasound Obstet Gynecol"[ta] OR "JSLS"[ta])</w:t>
      </w:r>
    </w:p>
    <w:p>
      <w:pPr>
        <w:pStyle w:val="FirstParagraph"/>
      </w:pPr>
      <w:r>
        <w:t xml:space="preserve">Up to 5 PubMed records were fetched for each query. The XML was scanned for an</w:t>
      </w:r>
      <w:r>
        <w:t xml:space="preserve"> </w:t>
      </w:r>
      <w:r>
        <w:rPr>
          <w:rStyle w:val="VerbatimChar"/>
        </w:rPr>
        <w:t xml:space="preserve">&lt;Author&gt;</w:t>
      </w:r>
      <w:r>
        <w:t xml:space="preserve"> </w:t>
      </w:r>
      <w:r>
        <w:t xml:space="preserve">node whose</w:t>
      </w:r>
      <w:r>
        <w:t xml:space="preserve"> </w:t>
      </w:r>
      <w:r>
        <w:rPr>
          <w:rStyle w:val="VerbatimChar"/>
        </w:rPr>
        <w:t xml:space="preserve">&lt;LastName&gt;</w:t>
      </w:r>
      <w:r>
        <w:t xml:space="preserve"> </w:t>
      </w:r>
      <w:r>
        <w:t xml:space="preserve">and</w:t>
      </w:r>
      <w:r>
        <w:t xml:space="preserve"> </w:t>
      </w:r>
      <w:r>
        <w:rPr>
          <w:rStyle w:val="VerbatimChar"/>
        </w:rPr>
        <w:t xml:space="preserve">&lt;Initials&gt;</w:t>
      </w:r>
      <w:r>
        <w:t xml:space="preserve"> </w:t>
      </w:r>
      <w:r>
        <w:t xml:space="preserve">matched the query terms; when found, the</w:t>
      </w:r>
      <w:r>
        <w:t xml:space="preserve"> </w:t>
      </w:r>
      <w:r>
        <w:rPr>
          <w:rStyle w:val="VerbatimChar"/>
        </w:rPr>
        <w:t xml:space="preserve">&lt;ForeName&gt;</w:t>
      </w:r>
      <w:r>
        <w:t xml:space="preserve"> </w:t>
      </w:r>
      <w:r>
        <w:t xml:space="preserve">was extracted and its first word retained.</w:t>
      </w:r>
    </w:p>
    <w:p>
      <w:pPr>
        <w:pStyle w:val="BodyText"/>
      </w:pPr>
      <w:r>
        <w:rPr>
          <w:b/>
          <w:bCs/>
        </w:rPr>
        <w:t xml:space="preserve">Illustrative examples.</w:t>
      </w:r>
      <w:r>
        <w:t xml:space="preserve"> </w:t>
      </w:r>
      <w:r>
        <w:t xml:space="preserve">The table below shows representative author-name recoveries: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AAGL recorded name</w:t>
            </w:r>
          </w:p>
        </w:tc>
        <w:tc>
          <w:tcPr/>
          <w:p>
            <w:pPr>
              <w:pStyle w:val="Compact"/>
            </w:pPr>
            <w:r>
              <w:t xml:space="preserve">PubMed query</w:t>
            </w:r>
          </w:p>
        </w:tc>
        <w:tc>
          <w:tcPr/>
          <w:p>
            <w:pPr>
              <w:pStyle w:val="Compact"/>
            </w:pPr>
            <w:r>
              <w:t xml:space="preserve">Full first name recovered</w:t>
            </w:r>
          </w:p>
        </w:tc>
        <w:tc>
          <w:tcPr/>
          <w:p>
            <w:pPr>
              <w:pStyle w:val="Compact"/>
            </w:pPr>
            <w:r>
              <w:t xml:space="preserve">Gender</w:t>
            </w:r>
          </w:p>
        </w:tc>
        <w:tc>
          <w:tcPr/>
          <w:p>
            <w:pPr>
              <w:pStyle w:val="Compact"/>
            </w:pPr>
            <w:r>
              <w:t xml:space="preserve">Probability</w:t>
            </w:r>
          </w:p>
        </w:tc>
      </w:tr>
      <w:tr>
        <w:tc>
          <w:tcPr/>
          <w:p>
            <w:pPr>
              <w:pStyle w:val="Compact"/>
            </w:pPr>
            <w:r>
              <w:t xml:space="preserve">R.S. Guido</w:t>
            </w:r>
          </w:p>
        </w:tc>
        <w:tc>
          <w:tcPr/>
          <w:p>
            <w:pPr>
              <w:pStyle w:val="Compact"/>
            </w:pPr>
            <w:r>
              <w:rPr>
                <w:rStyle w:val="VerbatimChar"/>
              </w:rPr>
              <w:t xml:space="preserve">"Guido RS"[Author] AND (JMIG[ta] OR AJOG[ta] OR ...)</w:t>
            </w:r>
          </w:p>
        </w:tc>
        <w:tc>
          <w:tcPr/>
          <w:p>
            <w:pPr>
              <w:pStyle w:val="Compact"/>
            </w:pPr>
            <w:r>
              <w:t xml:space="preserve">Richard</w:t>
            </w:r>
          </w:p>
        </w:tc>
        <w:tc>
          <w:tcPr/>
          <w:p>
            <w:pPr>
              <w:pStyle w:val="Compact"/>
            </w:pPr>
            <w:r>
              <w:t xml:space="preserve">male</w:t>
            </w:r>
          </w:p>
        </w:tc>
        <w:tc>
          <w:tcPr/>
          <w:p>
            <w:pPr>
              <w:pStyle w:val="Compact"/>
            </w:pPr>
            <w:r>
              <w:t xml:space="preserve">99.6%</w:t>
            </w:r>
          </w:p>
        </w:tc>
      </w:tr>
      <w:tr>
        <w:tc>
          <w:tcPr/>
          <w:p>
            <w:pPr>
              <w:pStyle w:val="Compact"/>
            </w:pPr>
            <w:r>
              <w:t xml:space="preserve">E. Banks</w:t>
            </w:r>
          </w:p>
        </w:tc>
        <w:tc>
          <w:tcPr/>
          <w:p>
            <w:pPr>
              <w:pStyle w:val="Compact"/>
            </w:pPr>
            <w:r>
              <w:rPr>
                <w:rStyle w:val="VerbatimChar"/>
              </w:rPr>
              <w:t xml:space="preserve">"Banks E"[Author] AND (...)</w:t>
            </w:r>
          </w:p>
        </w:tc>
        <w:tc>
          <w:tcPr/>
          <w:p>
            <w:pPr>
              <w:pStyle w:val="Compact"/>
            </w:pPr>
            <w:r>
              <w:t xml:space="preserve">Erika</w:t>
            </w:r>
          </w:p>
        </w:tc>
        <w:tc>
          <w:tcPr/>
          <w:p>
            <w:pPr>
              <w:pStyle w:val="Compact"/>
            </w:pPr>
            <w:r>
              <w:t xml:space="preserve">female</w:t>
            </w:r>
          </w:p>
        </w:tc>
        <w:tc>
          <w:tcPr/>
          <w:p>
            <w:pPr>
              <w:pStyle w:val="Compact"/>
            </w:pPr>
            <w:r>
              <w:t xml:space="preserve">99.6%</w:t>
            </w:r>
          </w:p>
        </w:tc>
      </w:tr>
      <w:tr>
        <w:tc>
          <w:tcPr/>
          <w:p>
            <w:pPr>
              <w:pStyle w:val="Compact"/>
            </w:pPr>
            <w:r>
              <w:t xml:space="preserve">K.N. Wright</w:t>
            </w:r>
          </w:p>
        </w:tc>
        <w:tc>
          <w:tcPr/>
          <w:p>
            <w:pPr>
              <w:pStyle w:val="Compact"/>
            </w:pPr>
            <w:r>
              <w:rPr>
                <w:rStyle w:val="VerbatimChar"/>
              </w:rPr>
              <w:t xml:space="preserve">"Wright KN"[Author] AND (...)</w:t>
            </w:r>
          </w:p>
        </w:tc>
        <w:tc>
          <w:tcPr/>
          <w:p>
            <w:pPr>
              <w:pStyle w:val="Compact"/>
            </w:pPr>
            <w:r>
              <w:t xml:space="preserve">Kelly</w:t>
            </w:r>
          </w:p>
        </w:tc>
        <w:tc>
          <w:tcPr/>
          <w:p>
            <w:pPr>
              <w:pStyle w:val="Compact"/>
            </w:pPr>
            <w:r>
              <w:t xml:space="preserve">female</w:t>
            </w:r>
          </w:p>
        </w:tc>
        <w:tc>
          <w:tcPr/>
          <w:p>
            <w:pPr>
              <w:pStyle w:val="Compact"/>
            </w:pPr>
            <w:r>
              <w:t xml:space="preserve">86.3%</w:t>
            </w:r>
          </w:p>
        </w:tc>
      </w:tr>
      <w:tr>
        <w:tc>
          <w:tcPr/>
          <w:p>
            <w:pPr>
              <w:pStyle w:val="Compact"/>
            </w:pPr>
            <w:r>
              <w:t xml:space="preserve">P. Messori</w:t>
            </w:r>
          </w:p>
        </w:tc>
        <w:tc>
          <w:tcPr/>
          <w:p>
            <w:pPr>
              <w:pStyle w:val="Compact"/>
            </w:pPr>
            <w:r>
              <w:rPr>
                <w:rStyle w:val="VerbatimChar"/>
              </w:rPr>
              <w:t xml:space="preserve">"Messori P"[Author] AND (...)</w:t>
            </w:r>
          </w:p>
        </w:tc>
        <w:tc>
          <w:tcPr/>
          <w:p>
            <w:pPr>
              <w:pStyle w:val="Compact"/>
            </w:pPr>
            <w:r>
              <w:t xml:space="preserve">Pietro</w:t>
            </w:r>
          </w:p>
        </w:tc>
        <w:tc>
          <w:tcPr/>
          <w:p>
            <w:pPr>
              <w:pStyle w:val="Compact"/>
            </w:pPr>
            <w:r>
              <w:t xml:space="preserve">male</w:t>
            </w:r>
          </w:p>
        </w:tc>
        <w:tc>
          <w:tcPr/>
          <w:p>
            <w:pPr>
              <w:pStyle w:val="Compact"/>
            </w:pPr>
            <w:r>
              <w:t xml:space="preserve">100%</w:t>
            </w:r>
          </w:p>
        </w:tc>
      </w:tr>
      <w:tr>
        <w:tc>
          <w:tcPr/>
          <w:p>
            <w:pPr>
              <w:pStyle w:val="Compact"/>
            </w:pPr>
            <w:r>
              <w:t xml:space="preserve">D. Lum</w:t>
            </w:r>
          </w:p>
        </w:tc>
        <w:tc>
          <w:tcPr/>
          <w:p>
            <w:pPr>
              <w:pStyle w:val="Compact"/>
            </w:pPr>
            <w:r>
              <w:rPr>
                <w:rStyle w:val="VerbatimChar"/>
              </w:rPr>
              <w:t xml:space="preserve">"Lum D"[Author] AND (...)</w:t>
            </w:r>
          </w:p>
        </w:tc>
        <w:tc>
          <w:tcPr/>
          <w:p>
            <w:pPr>
              <w:pStyle w:val="Compact"/>
            </w:pPr>
            <w:r>
              <w:t xml:space="preserve">Deirdre</w:t>
            </w:r>
          </w:p>
        </w:tc>
        <w:tc>
          <w:tcPr/>
          <w:p>
            <w:pPr>
              <w:pStyle w:val="Compact"/>
            </w:pPr>
            <w:r>
              <w:t xml:space="preserve">female</w:t>
            </w:r>
          </w:p>
        </w:tc>
        <w:tc>
          <w:tcPr/>
          <w:p>
            <w:pPr>
              <w:pStyle w:val="Compact"/>
            </w:pPr>
            <w:r>
              <w:t xml:space="preserve">100%</w:t>
            </w:r>
          </w:p>
        </w:tc>
      </w:tr>
      <w:tr>
        <w:tc>
          <w:tcPr/>
          <w:p>
            <w:pPr>
              <w:pStyle w:val="Compact"/>
            </w:pPr>
            <w:r>
              <w:t xml:space="preserve">T. Singer</w:t>
            </w:r>
          </w:p>
        </w:tc>
        <w:tc>
          <w:tcPr/>
          <w:p>
            <w:pPr>
              <w:pStyle w:val="Compact"/>
            </w:pPr>
            <w:r>
              <w:rPr>
                <w:rStyle w:val="VerbatimChar"/>
              </w:rPr>
              <w:t xml:space="preserve">"Singer T"[Author] AND (...)</w:t>
            </w:r>
          </w:p>
        </w:tc>
        <w:tc>
          <w:tcPr/>
          <w:p>
            <w:pPr>
              <w:pStyle w:val="Compact"/>
            </w:pPr>
            <w:r>
              <w:t xml:space="preserve">Tomer</w:t>
            </w:r>
          </w:p>
        </w:tc>
        <w:tc>
          <w:tcPr/>
          <w:p>
            <w:pPr>
              <w:pStyle w:val="Compact"/>
            </w:pPr>
            <w:r>
              <w:t xml:space="preserve">male</w:t>
            </w:r>
          </w:p>
        </w:tc>
        <w:tc>
          <w:tcPr/>
          <w:p>
            <w:pPr>
              <w:pStyle w:val="Compact"/>
            </w:pPr>
            <w:r>
              <w:t xml:space="preserve">100%</w:t>
            </w:r>
          </w:p>
        </w:tc>
      </w:tr>
    </w:tbl>
    <w:p>
      <w:pPr>
        <w:pStyle w:val="BodyText"/>
      </w:pPr>
      <w:r>
        <w:t xml:space="preserve">Results were cached at</w:t>
      </w:r>
      <w:r>
        <w:t xml:space="preserve"> </w:t>
      </w:r>
      <w:r>
        <w:rPr>
          <w:rStyle w:val="VerbatimChar"/>
        </w:rPr>
        <w:t xml:space="preserve">data/cache/pubmed_obgyn/&lt;last&gt;_&lt;init&gt;.rds</w:t>
      </w:r>
      <w:r>
        <w:t xml:space="preserve"> </w:t>
      </w:r>
      <w:r>
        <w:t xml:space="preserve">to allow instant re-runs.</w:t>
      </w:r>
    </w:p>
    <w:p>
      <w:pPr>
        <w:pStyle w:val="BodyText"/>
      </w:pPr>
      <w:r>
        <w:rPr>
          <w:b/>
          <w:bCs/>
        </w:rPr>
        <w:t xml:space="preserve">Results.</w:t>
      </w:r>
      <w:r>
        <w:t xml:space="preserve"> </w:t>
      </w:r>
      <w:r>
        <w:t xml:space="preserve">Of 684 unique author last-name/initial pairs without gender, 446 (65.2%) yielded a full first name. Gender was inferred for 380 of those via SSA (Pass 1) and genderize.io (Pass 2), comprising 208 female and 172 male authors. The combined four-strategy cascade brought total first-author gender coverage from 202/1,067 (18.9%) after Step 09c to</w:t>
      </w:r>
      <w:r>
        <w:t xml:space="preserve"> </w:t>
      </w:r>
      <w:r>
        <w:rPr>
          <w:b/>
          <w:bCs/>
        </w:rPr>
        <w:t xml:space="preserve">609/1,067 (57.1%)</w:t>
      </w:r>
      <w:r>
        <w:t xml:space="preserve"> </w:t>
      </w:r>
      <w:r>
        <w:t xml:space="preserve">— crossing the 50% threshold used as the inclusion criterion for logistic regression in the primary analysis.</w:t>
      </w:r>
    </w:p>
    <w:bookmarkEnd w:id="68"/>
    <w:bookmarkStart w:id="69" w:name="X8279586a5e41d1134759d5c6e3a278a281deec6"/>
    <w:p>
      <w:pPr>
        <w:pStyle w:val="Heading3"/>
      </w:pPr>
      <w:r>
        <w:t xml:space="preserve">A10.15 Strategy 5: OpenAlex Works Search (Script</w:t>
      </w:r>
      <w:r>
        <w:t xml:space="preserve"> </w:t>
      </w:r>
      <w:r>
        <w:rPr>
          <w:rStyle w:val="VerbatimChar"/>
        </w:rPr>
        <w:t xml:space="preserve">09i</w:t>
      </w:r>
      <w:r>
        <w:t xml:space="preserve">)</w:t>
      </w:r>
    </w:p>
    <w:p>
      <w:pPr>
        <w:pStyle w:val="FirstParagraph"/>
      </w:pPr>
      <w:r>
        <w:t xml:space="preserve">As a complement to the PubMed-based search in Strategy 4, the same journal-restricted approach was applied to the OpenAlex works API. OpenAlex indexes approximately 250 million works across all fields and may include papers absent from MEDLINE — older articles not backfilled into PubMed, papers from journals with incomplete MEDLINE indexing, and some author-manuscript deposits — making it a non-redundant second source.</w:t>
      </w:r>
    </w:p>
    <w:p>
      <w:pPr>
        <w:pStyle w:val="BodyText"/>
      </w:pPr>
      <w:r>
        <w:rPr>
          <w:b/>
          <w:bCs/>
        </w:rPr>
        <w:t xml:space="preserve">Query construction.</w:t>
      </w:r>
      <w:r>
        <w:t xml:space="preserve"> </w:t>
      </w:r>
      <w:r>
        <w:t xml:space="preserve">For each author still missing gender, an HTTP GET request was issued to the OpenAlex works endpoint filtered by journal ISSN and author last name:</w:t>
      </w:r>
    </w:p>
    <w:p>
      <w:pPr>
        <w:pStyle w:val="SourceCode"/>
      </w:pPr>
      <w:r>
        <w:rPr>
          <w:rStyle w:val="VerbatimChar"/>
        </w:rPr>
        <w:t xml:space="preserve">GET https://api.openalex.org/works</w:t>
      </w:r>
      <w:r>
        <w:br/>
      </w:r>
      <w:r>
        <w:rPr>
          <w:rStyle w:val="VerbatimChar"/>
        </w:rPr>
        <w:t xml:space="preserve">  ?filter=primary_location.source.issn:&lt;ISSN1&gt;|&lt;ISSN2&gt;|...,</w:t>
      </w:r>
      <w:r>
        <w:br/>
      </w:r>
      <w:r>
        <w:rPr>
          <w:rStyle w:val="VerbatimChar"/>
        </w:rPr>
        <w:t xml:space="preserve">          raw_author_name.search:&lt;last&gt;</w:t>
      </w:r>
      <w:r>
        <w:br/>
      </w:r>
      <w:r>
        <w:rPr>
          <w:rStyle w:val="VerbatimChar"/>
        </w:rPr>
        <w:t xml:space="preserve">  &amp;select=id,authorships</w:t>
      </w:r>
      <w:r>
        <w:br/>
      </w:r>
      <w:r>
        <w:rPr>
          <w:rStyle w:val="VerbatimChar"/>
        </w:rPr>
        <w:t xml:space="preserve">  &amp;per_page=10</w:t>
      </w:r>
      <w:r>
        <w:br/>
      </w:r>
      <w:r>
        <w:rPr>
          <w:rStyle w:val="VerbatimChar"/>
        </w:rPr>
        <w:t xml:space="preserve">  &amp;mailto=tyler.muffly@dhha.org</w:t>
      </w:r>
    </w:p>
    <w:p>
      <w:pPr>
        <w:pStyle w:val="FirstParagraph"/>
      </w:pPr>
      <w:r>
        <w:t xml:space="preserve">The</w:t>
      </w:r>
      <w:r>
        <w:t xml:space="preserve"> </w:t>
      </w:r>
      <w:r>
        <w:rPr>
          <w:rStyle w:val="VerbatimChar"/>
        </w:rPr>
        <w:t xml:space="preserve">raw_author_name.search</w:t>
      </w:r>
      <w:r>
        <w:t xml:space="preserve"> </w:t>
      </w:r>
      <w:r>
        <w:t xml:space="preserve">filter performs a full-text search over the raw author string as it appears in the original paper (e.g.,</w:t>
      </w:r>
      <w:r>
        <w:t xml:space="preserve"> </w:t>
      </w:r>
      <w:r>
        <w:t xml:space="preserve">“Richard S. Guido”</w:t>
      </w:r>
      <w:r>
        <w:t xml:space="preserve">), allowing retrieval even when the author has not been disambiguated to an OpenAlex author ID. The same 17 journal ISSNs used in Strategy 4 were supplied as a pipe-delimited OR filter.</w:t>
      </w:r>
    </w:p>
    <w:p>
      <w:pPr>
        <w:pStyle w:val="BodyText"/>
      </w:pPr>
      <w:r>
        <w:rPr>
          <w:b/>
          <w:bCs/>
        </w:rPr>
        <w:t xml:space="preserve">Match logic.</w:t>
      </w:r>
      <w:r>
        <w:t xml:space="preserve"> </w:t>
      </w:r>
      <w:r>
        <w:t xml:space="preserve">For each returned authorship, two conditions were required: (1) the raw author name ends with the queried last name (case-insensitive), and (2) the first character of the OpenAlex</w:t>
      </w:r>
      <w:r>
        <w:t xml:space="preserve"> </w:t>
      </w:r>
      <w:r>
        <w:rPr>
          <w:rStyle w:val="VerbatimChar"/>
        </w:rPr>
        <w:t xml:space="preserve">display_name</w:t>
      </w:r>
      <w:r>
        <w:t xml:space="preserve"> </w:t>
      </w:r>
      <w:r>
        <w:t xml:space="preserve">matches the first character of our recorded initials. When both conditions held, the first word of</w:t>
      </w:r>
      <w:r>
        <w:t xml:space="preserve"> </w:t>
      </w:r>
      <w:r>
        <w:rPr>
          <w:rStyle w:val="VerbatimChar"/>
        </w:rPr>
        <w:t xml:space="preserve">display_name</w:t>
      </w:r>
      <w:r>
        <w:t xml:space="preserve"> </w:t>
      </w:r>
      <w:r>
        <w:t xml:space="preserve">was taken as the full first name. Results were cached at</w:t>
      </w:r>
      <w:r>
        <w:t xml:space="preserve"> </w:t>
      </w:r>
      <w:r>
        <w:rPr>
          <w:rStyle w:val="VerbatimChar"/>
        </w:rPr>
        <w:t xml:space="preserve">data/cache/openalex_author/&lt;last&gt;_&lt;init&gt;.rds</w:t>
      </w:r>
      <w:r>
        <w:t xml:space="preserve">.</w:t>
      </w:r>
    </w:p>
    <w:p>
      <w:pPr>
        <w:pStyle w:val="BodyText"/>
      </w:pPr>
      <w:r>
        <w:rPr>
          <w:b/>
          <w:bCs/>
        </w:rPr>
        <w:t xml:space="preserve">Gender inference.</w:t>
      </w:r>
      <w:r>
        <w:t xml:space="preserve"> </w:t>
      </w:r>
      <w:r>
        <w:t xml:space="preserve">Recovered first names were classified by SSA (Pass 1) and genderize.io (Pass 2), identical to Strategies 2–4. Gender values were coalesced with the existing</w:t>
      </w:r>
      <w:r>
        <w:t xml:space="preserve"> </w:t>
      </w:r>
      <w:r>
        <w:rPr>
          <w:rStyle w:val="VerbatimChar"/>
        </w:rPr>
        <w:t xml:space="preserve">gender_unified</w:t>
      </w:r>
      <w:r>
        <w:t xml:space="preserve"> </w:t>
      </w:r>
      <w:r>
        <w:t xml:space="preserve">column — existing assignments were never overwritten.</w:t>
      </w:r>
    </w:p>
    <w:bookmarkEnd w:id="69"/>
    <w:bookmarkEnd w:id="70"/>
    <w:bookmarkStart w:id="163" w:name="Xd66443fb5f10e27aa61b6230b5f717e7f21ecfc"/>
    <w:p>
      <w:pPr>
        <w:pStyle w:val="Heading2"/>
      </w:pPr>
      <w:r>
        <w:t xml:space="preserve">A11. Expanding the Pipeline to Other Subspecialties</w:t>
      </w:r>
    </w:p>
    <w:bookmarkStart w:id="71" w:name="a11.1-rationale"/>
    <w:p>
      <w:pPr>
        <w:pStyle w:val="Heading3"/>
      </w:pPr>
      <w:r>
        <w:t xml:space="preserve">A11.1 Rationale</w:t>
      </w:r>
    </w:p>
    <w:p>
      <w:pPr>
        <w:pStyle w:val="FirstParagraph"/>
      </w:pPr>
      <w:r>
        <w:t xml:space="preserve">The abstract-to-publication pipeline developed for the American Association of Gynecologic Laparoscopists (AAGL) addresses a long-standing methodological gap in surgical education research: the systematic, Cochrane MR000005-compliant tracking of conference abstract fate across an entire subspecialty society. Using the full pipeline, the AAGL dataset achieved a confirmed (definite) publication rate of 11.4% across 1,106 oral presentations from 2012–2023, with a further 21% classified as probable or possible matches — figures that are directly comparable to published abstract-to-publication literature because they follow the same Cochrane methodology for search strategy enumeration, adjudication tier definitions, and time-to-event censoring.</w:t>
      </w:r>
    </w:p>
    <w:p>
      <w:pPr>
        <w:pStyle w:val="BodyText"/>
      </w:pPr>
      <w:r>
        <w:t xml:space="preserve">Three distinct scientific motivations support expanding this pipeline to additional OB/GYN societies.</w:t>
      </w:r>
    </w:p>
    <w:p>
      <w:pPr>
        <w:pStyle w:val="BodyText"/>
      </w:pPr>
      <w:r>
        <w:rPr>
          <w:b/>
          <w:bCs/>
        </w:rPr>
        <w:t xml:space="preserve">Publication bias quantification.</w:t>
      </w:r>
      <w:r>
        <w:t xml:space="preserve"> </w:t>
      </w:r>
      <w:r>
        <w:t xml:space="preserve">A foundational concern in evidence-based medicine is that abstracts with positive or statistically significant results are more likely to be published as full articles. The AAGL dataset alone (n = 1,106 abstracts, 122 definite matches) is underpowered to detect modest publication-bias effects in pre-specified subgroups (e.g., by research category, study design, or calendar year). A pooled multi-society dataset of 6,000–10,000 abstracts would provide adequate statistical power for publication-bias meta-regression using Egger’s test and trim-and-fill methods applied at the conference rather than journal level.</w:t>
      </w:r>
    </w:p>
    <w:p>
      <w:pPr>
        <w:pStyle w:val="BodyText"/>
      </w:pPr>
      <w:r>
        <w:rPr>
          <w:b/>
          <w:bCs/>
        </w:rPr>
        <w:t xml:space="preserve">Academic productivity benchmarking.</w:t>
      </w:r>
      <w:r>
        <w:t xml:space="preserve"> </w:t>
      </w:r>
      <w:r>
        <w:t xml:space="preserve">Hospital systems, academic departments, and fellowship program directors increasingly use conference-abstract-to-publication conversion rates as a proxy for mentorship quality and research productivity. Single-society benchmarks are confounded by society-specific factors (acceptance rate, presentation format, subspecialty norms). A cross-society normative dataset would allow fair inter-institutional comparison by adjusting for subspecialty context.</w:t>
      </w:r>
    </w:p>
    <w:p>
      <w:pPr>
        <w:pStyle w:val="BodyText"/>
      </w:pPr>
      <w:r>
        <w:rPr>
          <w:b/>
          <w:bCs/>
        </w:rPr>
        <w:t xml:space="preserve">Cross-subspecialty comparison.</w:t>
      </w:r>
      <w:r>
        <w:t xml:space="preserve"> </w:t>
      </w:r>
      <w:r>
        <w:t xml:space="preserve">Minimally invasive gynecologic surgery (AAGL), maternal-fetal medicine (SMFM), gynecologic oncology (SGO), and female pelvic medicine and reconstructive surgery (AUGS) represent scientifically adjacent but institutionally distinct communities. Whether publication rates, time-to-publication, and authorship diversity differ systematically across these subspecialties is an open empirical question with implications for how each field values and rewards conference-level scholarship.</w:t>
      </w:r>
    </w:p>
    <w:p>
      <w:pPr>
        <w:pStyle w:val="BodyText"/>
      </w:pPr>
      <w:r>
        <w:t xml:space="preserve">The pipeline’s modular architecture supports three levels of analysis once multi-society data are assembled: (1) within-society trends over time (the current AAGL analysis), (2) cross-society head-to-head comparisons controlling for year and study design, and (3) full OB/GYN landscape analyses treating all societies simultaneously using fixed-effects or random-effects models with society as the clustering variable.</w:t>
      </w:r>
    </w:p>
    <w:bookmarkEnd w:id="71"/>
    <w:bookmarkStart w:id="72" w:name="X8d18a524db344508a97dc288343960ab7476c89"/>
    <w:p>
      <w:pPr>
        <w:pStyle w:val="Heading3"/>
      </w:pPr>
      <w:r>
        <w:t xml:space="preserve">A11.2 Candidate Societies and Conferences</w:t>
      </w:r>
    </w:p>
    <w:p>
      <w:pPr>
        <w:pStyle w:val="FirstParagraph"/>
      </w:pPr>
      <w:r>
        <w:t xml:space="preserve">Ten societies encompassing the full spectrum of OB/GYN subspecialties publish annual meeting abstracts in indexed journals and represent the candidate expansion set. The table below provides complete metadata relevant to pipeline feasibility assessment. Membership size estimates are from publicly available society annual reports and NIH workforce data; average abstract counts per year are derived from CrossRef DOI enumeration or PubMed supplement record counts.</w:t>
      </w:r>
    </w:p>
    <w:tbl>
      <w:tblPr>
        <w:tblStyle w:val="Table"/>
        <w:tblW w:type="pct" w:w="5000"/>
        <w:tblLayout w:type="fixed"/>
        <w:tblLook w:firstRow="1" w:lastRow="0" w:firstColumn="0" w:lastColumn="0" w:noHBand="0" w:noVBand="0" w:val="0020"/>
      </w:tblPr>
      <w:tblGrid>
        <w:gridCol w:w="472"/>
        <w:gridCol w:w="576"/>
        <w:gridCol w:w="681"/>
        <w:gridCol w:w="472"/>
        <w:gridCol w:w="524"/>
        <w:gridCol w:w="472"/>
        <w:gridCol w:w="996"/>
        <w:gridCol w:w="996"/>
        <w:gridCol w:w="1101"/>
        <w:gridCol w:w="786"/>
        <w:gridCol w:w="839"/>
      </w:tblGrid>
      <w:tr>
        <w:trPr>
          <w:tblHeader w:val="on"/>
        </w:trPr>
        <w:tc>
          <w:tcPr/>
          <w:p>
            <w:pPr>
              <w:pStyle w:val="Compact"/>
            </w:pPr>
            <w:r>
              <w:t xml:space="preserve">Society</w:t>
            </w:r>
          </w:p>
        </w:tc>
        <w:tc>
          <w:tcPr/>
          <w:p>
            <w:pPr>
              <w:pStyle w:val="Compact"/>
            </w:pPr>
            <w:r>
              <w:t xml:space="preserve">Full Name</w:t>
            </w:r>
          </w:p>
        </w:tc>
        <w:tc>
          <w:tcPr/>
          <w:p>
            <w:pPr>
              <w:pStyle w:val="Compact"/>
            </w:pPr>
            <w:r>
              <w:t xml:space="preserve">Abbreviation</w:t>
            </w:r>
          </w:p>
        </w:tc>
        <w:tc>
          <w:tcPr/>
          <w:p>
            <w:pPr>
              <w:pStyle w:val="Compact"/>
            </w:pPr>
            <w:r>
              <w:t xml:space="preserve">Journal</w:t>
            </w:r>
          </w:p>
        </w:tc>
        <w:tc>
          <w:tcPr/>
          <w:p>
            <w:pPr>
              <w:pStyle w:val="Compact"/>
            </w:pPr>
            <w:r>
              <w:t xml:space="preserve">Platform</w:t>
            </w:r>
          </w:p>
        </w:tc>
        <w:tc>
          <w:tcPr/>
          <w:p>
            <w:pPr>
              <w:pStyle w:val="Compact"/>
            </w:pPr>
            <w:r>
              <w:t xml:space="preserve">DOI Type</w:t>
            </w:r>
          </w:p>
        </w:tc>
        <w:tc>
          <w:tcPr/>
          <w:p>
            <w:pPr>
              <w:pStyle w:val="Compact"/>
            </w:pPr>
            <w:r>
              <w:t xml:space="preserve">Avg Abstracts/Year</w:t>
            </w:r>
          </w:p>
        </w:tc>
        <w:tc>
          <w:tcPr/>
          <w:p>
            <w:pPr>
              <w:pStyle w:val="Compact"/>
            </w:pPr>
            <w:r>
              <w:t xml:space="preserve">Members (approx.)</w:t>
            </w:r>
          </w:p>
        </w:tc>
        <w:tc>
          <w:tcPr/>
          <w:p>
            <w:pPr>
              <w:pStyle w:val="Compact"/>
            </w:pPr>
            <w:r>
              <w:t xml:space="preserve">Subspecialty Focus</w:t>
            </w:r>
          </w:p>
        </w:tc>
        <w:tc>
          <w:tcPr/>
          <w:p>
            <w:pPr>
              <w:pStyle w:val="Compact"/>
            </w:pPr>
            <w:r>
              <w:t xml:space="preserve">Meeting Month</w:t>
            </w:r>
          </w:p>
        </w:tc>
        <w:tc>
          <w:tcPr/>
          <w:p>
            <w:pPr>
              <w:pStyle w:val="Compact"/>
            </w:pPr>
            <w:r>
              <w:t xml:space="preserve">Years Available</w:t>
            </w:r>
          </w:p>
        </w:tc>
      </w:tr>
      <w:tr>
        <w:tc>
          <w:tcPr/>
          <w:p>
            <w:pPr>
              <w:pStyle w:val="Compact"/>
            </w:pPr>
            <w:r>
              <w:t xml:space="preserve">AAGL</w:t>
            </w:r>
          </w:p>
        </w:tc>
        <w:tc>
          <w:tcPr/>
          <w:p>
            <w:pPr>
              <w:pStyle w:val="Compact"/>
            </w:pPr>
            <w:r>
              <w:t xml:space="preserve">Amer. Assoc. of Gynecologic Laparoscopists</w:t>
            </w:r>
          </w:p>
        </w:tc>
        <w:tc>
          <w:tcPr/>
          <w:p>
            <w:pPr>
              <w:pStyle w:val="Compact"/>
            </w:pPr>
            <w:r>
              <w:t xml:space="preserve">AAGL</w:t>
            </w:r>
          </w:p>
        </w:tc>
        <w:tc>
          <w:tcPr/>
          <w:p>
            <w:pPr>
              <w:pStyle w:val="Compact"/>
            </w:pPr>
            <w:r>
              <w:rPr>
                <w:i/>
                <w:iCs/>
              </w:rPr>
              <w:t xml:space="preserve">JMIG</w:t>
            </w:r>
          </w:p>
        </w:tc>
        <w:tc>
          <w:tcPr/>
          <w:p>
            <w:pPr>
              <w:pStyle w:val="Compact"/>
            </w:pPr>
            <w:r>
              <w:t xml:space="preserve">ScienceDirect</w:t>
            </w:r>
          </w:p>
        </w:tc>
        <w:tc>
          <w:tcPr/>
          <w:p>
            <w:pPr>
              <w:pStyle w:val="Compact"/>
            </w:pPr>
            <w:r>
              <w:t xml:space="preserve">Individual</w:t>
            </w:r>
          </w:p>
        </w:tc>
        <w:tc>
          <w:tcPr/>
          <w:p>
            <w:pPr>
              <w:pStyle w:val="Compact"/>
            </w:pPr>
            <w:r>
              <w:t xml:space="preserve">~90</w:t>
            </w:r>
          </w:p>
        </w:tc>
        <w:tc>
          <w:tcPr/>
          <w:p>
            <w:pPr>
              <w:pStyle w:val="Compact"/>
            </w:pPr>
            <w:r>
              <w:t xml:space="preserve">7,000</w:t>
            </w:r>
          </w:p>
        </w:tc>
        <w:tc>
          <w:tcPr/>
          <w:p>
            <w:pPr>
              <w:pStyle w:val="Compact"/>
            </w:pPr>
            <w:r>
              <w:t xml:space="preserve">MIGS</w:t>
            </w:r>
          </w:p>
        </w:tc>
        <w:tc>
          <w:tcPr/>
          <w:p>
            <w:pPr>
              <w:pStyle w:val="Compact"/>
            </w:pPr>
            <w:r>
              <w:t xml:space="preserve">Nov</w:t>
            </w:r>
          </w:p>
        </w:tc>
        <w:tc>
          <w:tcPr/>
          <w:p>
            <w:pPr>
              <w:pStyle w:val="Compact"/>
            </w:pPr>
            <w:r>
              <w:t xml:space="preserve">2012–2023</w:t>
            </w:r>
          </w:p>
        </w:tc>
      </w:tr>
      <w:tr>
        <w:tc>
          <w:tcPr/>
          <w:p>
            <w:pPr>
              <w:pStyle w:val="Compact"/>
            </w:pPr>
            <w:r>
              <w:t xml:space="preserve">SMFM</w:t>
            </w:r>
          </w:p>
        </w:tc>
        <w:tc>
          <w:tcPr/>
          <w:p>
            <w:pPr>
              <w:pStyle w:val="Compact"/>
            </w:pPr>
            <w:r>
              <w:t xml:space="preserve">Society for Maternal-Fetal Medicine</w:t>
            </w:r>
          </w:p>
        </w:tc>
        <w:tc>
          <w:tcPr/>
          <w:p>
            <w:pPr>
              <w:pStyle w:val="Compact"/>
            </w:pPr>
            <w:r>
              <w:t xml:space="preserve">SMFM</w:t>
            </w:r>
          </w:p>
        </w:tc>
        <w:tc>
          <w:tcPr/>
          <w:p>
            <w:pPr>
              <w:pStyle w:val="Compact"/>
            </w:pPr>
            <w:r>
              <w:rPr>
                <w:i/>
                <w:iCs/>
              </w:rPr>
              <w:t xml:space="preserve">AJOG</w:t>
            </w:r>
          </w:p>
        </w:tc>
        <w:tc>
          <w:tcPr/>
          <w:p>
            <w:pPr>
              <w:pStyle w:val="Compact"/>
            </w:pPr>
            <w:r>
              <w:t xml:space="preserve">ScienceDirect</w:t>
            </w:r>
          </w:p>
        </w:tc>
        <w:tc>
          <w:tcPr/>
          <w:p>
            <w:pPr>
              <w:pStyle w:val="Compact"/>
            </w:pPr>
            <w:r>
              <w:t xml:space="preserve">Individual</w:t>
            </w:r>
          </w:p>
        </w:tc>
        <w:tc>
          <w:tcPr/>
          <w:p>
            <w:pPr>
              <w:pStyle w:val="Compact"/>
            </w:pPr>
            <w:r>
              <w:t xml:space="preserve">~500</w:t>
            </w:r>
          </w:p>
        </w:tc>
        <w:tc>
          <w:tcPr/>
          <w:p>
            <w:pPr>
              <w:pStyle w:val="Compact"/>
            </w:pPr>
            <w:r>
              <w:t xml:space="preserve">4,500</w:t>
            </w:r>
          </w:p>
        </w:tc>
        <w:tc>
          <w:tcPr/>
          <w:p>
            <w:pPr>
              <w:pStyle w:val="Compact"/>
            </w:pPr>
            <w:r>
              <w:t xml:space="preserve">MFM</w:t>
            </w:r>
          </w:p>
        </w:tc>
        <w:tc>
          <w:tcPr/>
          <w:p>
            <w:pPr>
              <w:pStyle w:val="Compact"/>
            </w:pPr>
            <w:r>
              <w:t xml:space="preserve">Feb</w:t>
            </w:r>
          </w:p>
        </w:tc>
        <w:tc>
          <w:tcPr/>
          <w:p>
            <w:pPr>
              <w:pStyle w:val="Compact"/>
            </w:pPr>
            <w:r>
              <w:t xml:space="preserve">2013–2023</w:t>
            </w:r>
          </w:p>
        </w:tc>
      </w:tr>
      <w:tr>
        <w:tc>
          <w:tcPr/>
          <w:p>
            <w:pPr>
              <w:pStyle w:val="Compact"/>
            </w:pPr>
            <w:r>
              <w:t xml:space="preserve">SGO</w:t>
            </w:r>
          </w:p>
        </w:tc>
        <w:tc>
          <w:tcPr/>
          <w:p>
            <w:pPr>
              <w:pStyle w:val="Compact"/>
            </w:pPr>
            <w:r>
              <w:t xml:space="preserve">Society of Gynecologic Oncology</w:t>
            </w:r>
          </w:p>
        </w:tc>
        <w:tc>
          <w:tcPr/>
          <w:p>
            <w:pPr>
              <w:pStyle w:val="Compact"/>
            </w:pPr>
            <w:r>
              <w:t xml:space="preserve">SGO</w:t>
            </w:r>
          </w:p>
        </w:tc>
        <w:tc>
          <w:tcPr/>
          <w:p>
            <w:pPr>
              <w:pStyle w:val="Compact"/>
            </w:pPr>
            <w:r>
              <w:rPr>
                <w:i/>
                <w:iCs/>
              </w:rPr>
              <w:t xml:space="preserve">Gynecologic Oncology</w:t>
            </w:r>
          </w:p>
        </w:tc>
        <w:tc>
          <w:tcPr/>
          <w:p>
            <w:pPr>
              <w:pStyle w:val="Compact"/>
            </w:pPr>
            <w:r>
              <w:t xml:space="preserve">ScienceDirect</w:t>
            </w:r>
          </w:p>
        </w:tc>
        <w:tc>
          <w:tcPr/>
          <w:p>
            <w:pPr>
              <w:pStyle w:val="Compact"/>
            </w:pPr>
            <w:r>
              <w:t xml:space="preserve">Individual</w:t>
            </w:r>
          </w:p>
        </w:tc>
        <w:tc>
          <w:tcPr/>
          <w:p>
            <w:pPr>
              <w:pStyle w:val="Compact"/>
            </w:pPr>
            <w:r>
              <w:t xml:space="preserve">~570</w:t>
            </w:r>
          </w:p>
        </w:tc>
        <w:tc>
          <w:tcPr/>
          <w:p>
            <w:pPr>
              <w:pStyle w:val="Compact"/>
            </w:pPr>
            <w:r>
              <w:t xml:space="preserve">1,700</w:t>
            </w:r>
          </w:p>
        </w:tc>
        <w:tc>
          <w:tcPr/>
          <w:p>
            <w:pPr>
              <w:pStyle w:val="Compact"/>
            </w:pPr>
            <w:r>
              <w:t xml:space="preserve">Gyn-Onc</w:t>
            </w:r>
          </w:p>
        </w:tc>
        <w:tc>
          <w:tcPr/>
          <w:p>
            <w:pPr>
              <w:pStyle w:val="Compact"/>
            </w:pPr>
            <w:r>
              <w:t xml:space="preserve">Mar</w:t>
            </w:r>
          </w:p>
        </w:tc>
        <w:tc>
          <w:tcPr/>
          <w:p>
            <w:pPr>
              <w:pStyle w:val="Compact"/>
            </w:pPr>
            <w:r>
              <w:t xml:space="preserve">2014–2023</w:t>
            </w:r>
          </w:p>
        </w:tc>
      </w:tr>
      <w:tr>
        <w:tc>
          <w:tcPr/>
          <w:p>
            <w:pPr>
              <w:pStyle w:val="Compact"/>
            </w:pPr>
            <w:r>
              <w:t xml:space="preserve">NASPAG</w:t>
            </w:r>
          </w:p>
        </w:tc>
        <w:tc>
          <w:tcPr/>
          <w:p>
            <w:pPr>
              <w:pStyle w:val="Compact"/>
            </w:pPr>
            <w:r>
              <w:t xml:space="preserve">N. Amer. Society for Pediatric &amp; Adolescent Gyn.</w:t>
            </w:r>
          </w:p>
        </w:tc>
        <w:tc>
          <w:tcPr/>
          <w:p>
            <w:pPr>
              <w:pStyle w:val="Compact"/>
            </w:pPr>
            <w:r>
              <w:t xml:space="preserve">NASPAG</w:t>
            </w:r>
          </w:p>
        </w:tc>
        <w:tc>
          <w:tcPr/>
          <w:p>
            <w:pPr>
              <w:pStyle w:val="Compact"/>
            </w:pPr>
            <w:r>
              <w:rPr>
                <w:i/>
                <w:iCs/>
              </w:rPr>
              <w:t xml:space="preserve">JPAG</w:t>
            </w:r>
          </w:p>
        </w:tc>
        <w:tc>
          <w:tcPr/>
          <w:p>
            <w:pPr>
              <w:pStyle w:val="Compact"/>
            </w:pPr>
            <w:r>
              <w:t xml:space="preserve">ScienceDirect</w:t>
            </w:r>
          </w:p>
        </w:tc>
        <w:tc>
          <w:tcPr/>
          <w:p>
            <w:pPr>
              <w:pStyle w:val="Compact"/>
            </w:pPr>
            <w:r>
              <w:t xml:space="preserve">Individual</w:t>
            </w:r>
          </w:p>
        </w:tc>
        <w:tc>
          <w:tcPr/>
          <w:p>
            <w:pPr>
              <w:pStyle w:val="Compact"/>
            </w:pPr>
            <w:r>
              <w:t xml:space="preserve">~35</w:t>
            </w:r>
          </w:p>
        </w:tc>
        <w:tc>
          <w:tcPr/>
          <w:p>
            <w:pPr>
              <w:pStyle w:val="Compact"/>
            </w:pPr>
            <w:r>
              <w:t xml:space="preserve">1,200</w:t>
            </w:r>
          </w:p>
        </w:tc>
        <w:tc>
          <w:tcPr/>
          <w:p>
            <w:pPr>
              <w:pStyle w:val="Compact"/>
            </w:pPr>
            <w:r>
              <w:t xml:space="preserve">Ped/Adolescent Gyn</w:t>
            </w:r>
          </w:p>
        </w:tc>
        <w:tc>
          <w:tcPr/>
          <w:p>
            <w:pPr>
              <w:pStyle w:val="Compact"/>
            </w:pPr>
            <w:r>
              <w:t xml:space="preserve">Apr</w:t>
            </w:r>
          </w:p>
        </w:tc>
        <w:tc>
          <w:tcPr/>
          <w:p>
            <w:pPr>
              <w:pStyle w:val="Compact"/>
            </w:pPr>
            <w:r>
              <w:t xml:space="preserve">2013–2023</w:t>
            </w:r>
          </w:p>
        </w:tc>
      </w:tr>
      <w:tr>
        <w:tc>
          <w:tcPr/>
          <w:p>
            <w:pPr>
              <w:pStyle w:val="Compact"/>
            </w:pPr>
            <w:r>
              <w:t xml:space="preserve">ASRM</w:t>
            </w:r>
          </w:p>
        </w:tc>
        <w:tc>
          <w:tcPr/>
          <w:p>
            <w:pPr>
              <w:pStyle w:val="Compact"/>
            </w:pPr>
            <w:r>
              <w:t xml:space="preserve">Amer. Society for Reproductive Medicine</w:t>
            </w:r>
          </w:p>
        </w:tc>
        <w:tc>
          <w:tcPr/>
          <w:p>
            <w:pPr>
              <w:pStyle w:val="Compact"/>
            </w:pPr>
            <w:r>
              <w:t xml:space="preserve">ASRM</w:t>
            </w:r>
          </w:p>
        </w:tc>
        <w:tc>
          <w:tcPr/>
          <w:p>
            <w:pPr>
              <w:pStyle w:val="Compact"/>
            </w:pPr>
            <w:r>
              <w:rPr>
                <w:i/>
                <w:iCs/>
              </w:rPr>
              <w:t xml:space="preserve">Fertility and Sterility</w:t>
            </w:r>
          </w:p>
        </w:tc>
        <w:tc>
          <w:tcPr/>
          <w:p>
            <w:pPr>
              <w:pStyle w:val="Compact"/>
            </w:pPr>
            <w:r>
              <w:t xml:space="preserve">ScienceDirect</w:t>
            </w:r>
          </w:p>
        </w:tc>
        <w:tc>
          <w:tcPr/>
          <w:p>
            <w:pPr>
              <w:pStyle w:val="Compact"/>
            </w:pPr>
            <w:r>
              <w:t xml:space="preserve">Individual</w:t>
            </w:r>
          </w:p>
        </w:tc>
        <w:tc>
          <w:tcPr/>
          <w:p>
            <w:pPr>
              <w:pStyle w:val="Compact"/>
            </w:pPr>
            <w:r>
              <w:t xml:space="preserve">~1,200</w:t>
            </w:r>
          </w:p>
        </w:tc>
        <w:tc>
          <w:tcPr/>
          <w:p>
            <w:pPr>
              <w:pStyle w:val="Compact"/>
            </w:pPr>
            <w:r>
              <w:t xml:space="preserve">8,000</w:t>
            </w:r>
          </w:p>
        </w:tc>
        <w:tc>
          <w:tcPr/>
          <w:p>
            <w:pPr>
              <w:pStyle w:val="Compact"/>
            </w:pPr>
            <w:r>
              <w:t xml:space="preserve">REI</w:t>
            </w:r>
          </w:p>
        </w:tc>
        <w:tc>
          <w:tcPr/>
          <w:p>
            <w:pPr>
              <w:pStyle w:val="Compact"/>
            </w:pPr>
            <w:r>
              <w:t xml:space="preserve">Oct</w:t>
            </w:r>
          </w:p>
        </w:tc>
        <w:tc>
          <w:tcPr/>
          <w:p>
            <w:pPr>
              <w:pStyle w:val="Compact"/>
            </w:pPr>
            <w:r>
              <w:t xml:space="preserve">2013–2023</w:t>
            </w:r>
          </w:p>
        </w:tc>
      </w:tr>
      <w:tr>
        <w:tc>
          <w:tcPr/>
          <w:p>
            <w:pPr>
              <w:pStyle w:val="Compact"/>
            </w:pPr>
            <w:r>
              <w:t xml:space="preserve">ACOG</w:t>
            </w:r>
          </w:p>
        </w:tc>
        <w:tc>
          <w:tcPr/>
          <w:p>
            <w:pPr>
              <w:pStyle w:val="Compact"/>
            </w:pPr>
            <w:r>
              <w:t xml:space="preserve">Amer. College of Ob-Gyn</w:t>
            </w:r>
          </w:p>
        </w:tc>
        <w:tc>
          <w:tcPr/>
          <w:p>
            <w:pPr>
              <w:pStyle w:val="Compact"/>
            </w:pPr>
            <w:r>
              <w:t xml:space="preserve">ACOG</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w:t>
            </w:r>
          </w:p>
        </w:tc>
        <w:tc>
          <w:tcPr/>
          <w:p>
            <w:pPr>
              <w:pStyle w:val="Compact"/>
            </w:pPr>
            <w:r>
              <w:t xml:space="preserve">~800</w:t>
            </w:r>
          </w:p>
        </w:tc>
        <w:tc>
          <w:tcPr/>
          <w:p>
            <w:pPr>
              <w:pStyle w:val="Compact"/>
            </w:pPr>
            <w:r>
              <w:t xml:space="preserve">62,000</w:t>
            </w:r>
          </w:p>
        </w:tc>
        <w:tc>
          <w:tcPr/>
          <w:p>
            <w:pPr>
              <w:pStyle w:val="Compact"/>
            </w:pPr>
            <w:r>
              <w:t xml:space="preserve">General OB/GYN</w:t>
            </w:r>
          </w:p>
        </w:tc>
        <w:tc>
          <w:tcPr/>
          <w:p>
            <w:pPr>
              <w:pStyle w:val="Compact"/>
            </w:pPr>
            <w:r>
              <w:t xml:space="preserve">May</w:t>
            </w:r>
          </w:p>
        </w:tc>
        <w:tc>
          <w:tcPr/>
          <w:p>
            <w:pPr>
              <w:pStyle w:val="Compact"/>
            </w:pPr>
            <w:r>
              <w:t xml:space="preserve">2013–2023</w:t>
            </w:r>
          </w:p>
        </w:tc>
      </w:tr>
      <w:tr>
        <w:tc>
          <w:tcPr/>
          <w:p>
            <w:pPr>
              <w:pStyle w:val="Compact"/>
            </w:pPr>
            <w:r>
              <w:t xml:space="preserve">CREOG/APGO</w:t>
            </w:r>
          </w:p>
        </w:tc>
        <w:tc>
          <w:tcPr/>
          <w:p>
            <w:pPr>
              <w:pStyle w:val="Compact"/>
            </w:pPr>
            <w:r>
              <w:t xml:space="preserve">Council on Resident Ed. / Assoc. of Professors of Gyn &amp; Ob</w:t>
            </w:r>
          </w:p>
        </w:tc>
        <w:tc>
          <w:tcPr/>
          <w:p>
            <w:pPr>
              <w:pStyle w:val="Compact"/>
            </w:pPr>
            <w:r>
              <w:t xml:space="preserve">CREOG/APGO</w:t>
            </w:r>
          </w:p>
        </w:tc>
        <w:tc>
          <w:tcPr/>
          <w:p>
            <w:pPr>
              <w:pStyle w:val="Compact"/>
            </w:pPr>
            <w:r>
              <w:rPr>
                <w:i/>
                <w:iCs/>
              </w:rPr>
              <w:t xml:space="preserve">Obstetrics &amp; Gynecology</w:t>
            </w:r>
          </w:p>
        </w:tc>
        <w:tc>
          <w:tcPr/>
          <w:p>
            <w:pPr>
              <w:pStyle w:val="Compact"/>
            </w:pPr>
            <w:r>
              <w:t xml:space="preserve">LWW</w:t>
            </w:r>
          </w:p>
        </w:tc>
        <w:tc>
          <w:tcPr/>
          <w:p>
            <w:pPr>
              <w:pStyle w:val="Compact"/>
            </w:pPr>
            <w:r>
              <w:t xml:space="preserve">Individual (2015+)</w:t>
            </w:r>
          </w:p>
        </w:tc>
        <w:tc>
          <w:tcPr/>
          <w:p>
            <w:pPr>
              <w:pStyle w:val="Compact"/>
            </w:pPr>
            <w:r>
              <w:t xml:space="preserve">~200</w:t>
            </w:r>
          </w:p>
        </w:tc>
        <w:tc>
          <w:tcPr/>
          <w:p>
            <w:pPr>
              <w:pStyle w:val="Compact"/>
            </w:pPr>
            <w:r>
              <w:t xml:space="preserve">5,000</w:t>
            </w:r>
          </w:p>
        </w:tc>
        <w:tc>
          <w:tcPr/>
          <w:p>
            <w:pPr>
              <w:pStyle w:val="Compact"/>
            </w:pPr>
            <w:r>
              <w:t xml:space="preserve">OB/GYN Education</w:t>
            </w:r>
          </w:p>
        </w:tc>
        <w:tc>
          <w:tcPr/>
          <w:p>
            <w:pPr>
              <w:pStyle w:val="Compact"/>
            </w:pPr>
            <w:r>
              <w:t xml:space="preserve">Feb</w:t>
            </w:r>
          </w:p>
        </w:tc>
        <w:tc>
          <w:tcPr/>
          <w:p>
            <w:pPr>
              <w:pStyle w:val="Compact"/>
            </w:pPr>
            <w:r>
              <w:t xml:space="preserve">2013–2023</w:t>
            </w:r>
          </w:p>
        </w:tc>
      </w:tr>
      <w:tr>
        <w:tc>
          <w:tcPr/>
          <w:p>
            <w:pPr>
              <w:pStyle w:val="Compact"/>
            </w:pPr>
            <w:r>
              <w:t xml:space="preserve">SFP</w:t>
            </w:r>
          </w:p>
        </w:tc>
        <w:tc>
          <w:tcPr/>
          <w:p>
            <w:pPr>
              <w:pStyle w:val="Compact"/>
            </w:pPr>
            <w:r>
              <w:t xml:space="preserve">Society of Family Planning</w:t>
            </w:r>
          </w:p>
        </w:tc>
        <w:tc>
          <w:tcPr/>
          <w:p>
            <w:pPr>
              <w:pStyle w:val="Compact"/>
            </w:pPr>
            <w:r>
              <w:t xml:space="preserve">SFP</w:t>
            </w:r>
          </w:p>
        </w:tc>
        <w:tc>
          <w:tcPr/>
          <w:p>
            <w:pPr>
              <w:pStyle w:val="Compact"/>
            </w:pPr>
            <w:r>
              <w:rPr>
                <w:i/>
                <w:iCs/>
              </w:rPr>
              <w:t xml:space="preserve">Contraception</w:t>
            </w:r>
          </w:p>
        </w:tc>
        <w:tc>
          <w:tcPr/>
          <w:p>
            <w:pPr>
              <w:pStyle w:val="Compact"/>
            </w:pPr>
            <w:r>
              <w:t xml:space="preserve">ScienceDirect</w:t>
            </w:r>
          </w:p>
        </w:tc>
        <w:tc>
          <w:tcPr/>
          <w:p>
            <w:pPr>
              <w:pStyle w:val="Compact"/>
            </w:pPr>
            <w:r>
              <w:t xml:space="preserve">Collection-level</w:t>
            </w:r>
          </w:p>
        </w:tc>
        <w:tc>
          <w:tcPr/>
          <w:p>
            <w:pPr>
              <w:pStyle w:val="Compact"/>
            </w:pPr>
            <w:r>
              <w:t xml:space="preserve">~300</w:t>
            </w:r>
          </w:p>
        </w:tc>
        <w:tc>
          <w:tcPr/>
          <w:p>
            <w:pPr>
              <w:pStyle w:val="Compact"/>
            </w:pPr>
            <w:r>
              <w:t xml:space="preserve">1,800</w:t>
            </w:r>
          </w:p>
        </w:tc>
        <w:tc>
          <w:tcPr/>
          <w:p>
            <w:pPr>
              <w:pStyle w:val="Compact"/>
            </w:pPr>
            <w:r>
              <w:t xml:space="preserve">Family Planning</w:t>
            </w:r>
          </w:p>
        </w:tc>
        <w:tc>
          <w:tcPr/>
          <w:p>
            <w:pPr>
              <w:pStyle w:val="Compact"/>
            </w:pPr>
            <w:r>
              <w:t xml:space="preserve">Nov</w:t>
            </w:r>
          </w:p>
        </w:tc>
        <w:tc>
          <w:tcPr/>
          <w:p>
            <w:pPr>
              <w:pStyle w:val="Compact"/>
            </w:pPr>
            <w:r>
              <w:t xml:space="preserve">2015–2023</w:t>
            </w:r>
          </w:p>
        </w:tc>
      </w:tr>
      <w:tr>
        <w:tc>
          <w:tcPr/>
          <w:p>
            <w:pPr>
              <w:pStyle w:val="Compact"/>
            </w:pPr>
            <w:r>
              <w:t xml:space="preserve">AUGS</w:t>
            </w:r>
          </w:p>
        </w:tc>
        <w:tc>
          <w:tcPr/>
          <w:p>
            <w:pPr>
              <w:pStyle w:val="Compact"/>
            </w:pPr>
            <w:r>
              <w:t xml:space="preserve">Amer. Urogynecologic Society</w:t>
            </w:r>
          </w:p>
        </w:tc>
        <w:tc>
          <w:tcPr/>
          <w:p>
            <w:pPr>
              <w:pStyle w:val="Compact"/>
            </w:pPr>
            <w:r>
              <w:t xml:space="preserve">AUGS</w:t>
            </w:r>
          </w:p>
        </w:tc>
        <w:tc>
          <w:tcPr/>
          <w:p>
            <w:pPr>
              <w:pStyle w:val="Compact"/>
            </w:pPr>
            <w:r>
              <w:rPr>
                <w:i/>
                <w:iCs/>
              </w:rPr>
              <w:t xml:space="preserve">Urogynecology</w:t>
            </w:r>
          </w:p>
        </w:tc>
        <w:tc>
          <w:tcPr/>
          <w:p>
            <w:pPr>
              <w:pStyle w:val="Compact"/>
            </w:pPr>
            <w:r>
              <w:t xml:space="preserve">LWW</w:t>
            </w:r>
          </w:p>
        </w:tc>
        <w:tc>
          <w:tcPr/>
          <w:p>
            <w:pPr>
              <w:pStyle w:val="Compact"/>
            </w:pPr>
            <w:r>
              <w:t xml:space="preserve">Supplement-level</w:t>
            </w:r>
          </w:p>
        </w:tc>
        <w:tc>
          <w:tcPr/>
          <w:p>
            <w:pPr>
              <w:pStyle w:val="Compact"/>
            </w:pPr>
            <w:r>
              <w:t xml:space="preserve">~400</w:t>
            </w:r>
          </w:p>
        </w:tc>
        <w:tc>
          <w:tcPr/>
          <w:p>
            <w:pPr>
              <w:pStyle w:val="Compact"/>
            </w:pPr>
            <w:r>
              <w:t xml:space="preserve">1,600</w:t>
            </w:r>
          </w:p>
        </w:tc>
        <w:tc>
          <w:tcPr/>
          <w:p>
            <w:pPr>
              <w:pStyle w:val="Compact"/>
            </w:pPr>
            <w:r>
              <w:t xml:space="preserve">FPMRS/Urogynecology</w:t>
            </w:r>
          </w:p>
        </w:tc>
        <w:tc>
          <w:tcPr/>
          <w:p>
            <w:pPr>
              <w:pStyle w:val="Compact"/>
            </w:pPr>
            <w:r>
              <w:t xml:space="preserve">Oct</w:t>
            </w:r>
          </w:p>
        </w:tc>
        <w:tc>
          <w:tcPr/>
          <w:p>
            <w:pPr>
              <w:pStyle w:val="Compact"/>
            </w:pPr>
            <w:r>
              <w:t xml:space="preserve">2013–2023</w:t>
            </w:r>
          </w:p>
        </w:tc>
      </w:tr>
      <w:tr>
        <w:tc>
          <w:tcPr/>
          <w:p>
            <w:pPr>
              <w:pStyle w:val="Compact"/>
            </w:pPr>
            <w:r>
              <w:t xml:space="preserve">SASGOG</w:t>
            </w:r>
          </w:p>
        </w:tc>
        <w:tc>
          <w:tcPr/>
          <w:p>
            <w:pPr>
              <w:pStyle w:val="Compact"/>
            </w:pPr>
            <w:r>
              <w:t xml:space="preserve">Society for Academic Specialists in Gen. OB/GYN</w:t>
            </w:r>
          </w:p>
        </w:tc>
        <w:tc>
          <w:tcPr/>
          <w:p>
            <w:pPr>
              <w:pStyle w:val="Compact"/>
            </w:pPr>
            <w: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None</w:t>
            </w:r>
          </w:p>
        </w:tc>
        <w:tc>
          <w:tcPr/>
          <w:p>
            <w:pPr>
              <w:pStyle w:val="Compact"/>
            </w:pPr>
            <w:r>
              <w:t xml:space="preserve">~50</w:t>
            </w:r>
          </w:p>
        </w:tc>
        <w:tc>
          <w:tcPr/>
          <w:p>
            <w:pPr>
              <w:pStyle w:val="Compact"/>
            </w:pPr>
            <w:r>
              <w:t xml:space="preserve">500</w:t>
            </w:r>
          </w:p>
        </w:tc>
        <w:tc>
          <w:tcPr/>
          <w:p>
            <w:pPr>
              <w:pStyle w:val="Compact"/>
            </w:pPr>
            <w:r>
              <w:t xml:space="preserve">General OB/GYN</w:t>
            </w:r>
          </w:p>
        </w:tc>
        <w:tc>
          <w:tcPr/>
          <w:p>
            <w:pPr>
              <w:pStyle w:val="Compact"/>
            </w:pPr>
            <w:r>
              <w:t xml:space="preserve">Jan</w:t>
            </w:r>
          </w:p>
        </w:tc>
        <w:tc>
          <w:tcPr/>
          <w:p>
            <w:pPr>
              <w:pStyle w:val="Compact"/>
            </w:pPr>
            <w:r>
              <w:t xml:space="preserve">2019–2023</w:t>
            </w:r>
          </w:p>
        </w:tc>
      </w:tr>
    </w:tbl>
    <w:p>
      <w:pPr>
        <w:pStyle w:val="BodyText"/>
      </w:pPr>
      <w:r>
        <w:rPr>
          <w:b/>
          <w:bCs/>
        </w:rPr>
        <w:t xml:space="preserve">Scientific overlap between societies.</w:t>
      </w:r>
      <w:r>
        <w:t xml:space="preserve"> </w:t>
      </w:r>
      <w:r>
        <w:t xml:space="preserve">AAGL and AUGS share a substantial presenter pool: surgeons who hold MIG (minimally invasive gynecology) subspecialty certification from ABOG also frequently perform pelvic floor reconstructive procedures within the FPMRS domain. An estimated 15–25% of AAGL presenters may also appear in AUGS supplements, enabling longitudinal author-level tracking across societies. Similarly, SMFM and ACOG share general-obstetrics content, and ASRM and NASPAG both cover adolescent reproductive endocrinology topics. These overlaps provide opportunities for cross-validation of NPI and ORCID identity resolution across independently assembled datasets.</w:t>
      </w:r>
    </w:p>
    <w:bookmarkEnd w:id="72"/>
    <w:bookmarkStart w:id="73" w:name="a11.3-platform-architecture"/>
    <w:p>
      <w:pPr>
        <w:pStyle w:val="Heading3"/>
      </w:pPr>
      <w:r>
        <w:t xml:space="preserve">A11.3 Platform Architecture</w:t>
      </w:r>
    </w:p>
    <w:p>
      <w:pPr>
        <w:pStyle w:val="FirstParagraph"/>
      </w:pPr>
      <w:r>
        <w:t xml:space="preserve">The ten candidate societies distribute across two commercial publishing platforms and one non-journal model, creating two primary engineering tracks for the scraping and ingestion layer of the pipeline.</w:t>
      </w:r>
    </w:p>
    <w:p>
      <w:pPr>
        <w:pStyle w:val="BodyText"/>
      </w:pPr>
      <w:r>
        <w:rPr>
          <w:b/>
          <w:bCs/>
        </w:rPr>
        <w:t xml:space="preserve">Elsevier/ScienceDirect (six societies: AAGL, SMFM, SGO, NASPAG, ASRM, SFP).</w:t>
      </w:r>
      <w:r>
        <w:t xml:space="preserve"> </w:t>
      </w:r>
      <w:r>
        <w:t xml:space="preserve">Abstracts are hosted at</w:t>
      </w:r>
      <w:r>
        <w:t xml:space="preserve"> </w:t>
      </w:r>
      <w:r>
        <w:rPr>
          <w:rStyle w:val="VerbatimChar"/>
        </w:rPr>
        <w:t xml:space="preserve">https://www.sciencedirect.com/journal/{journal-name}/vol/{vol}/issue/{issue}/suppl/S</w:t>
      </w:r>
      <w:r>
        <w:t xml:space="preserve"> </w:t>
      </w:r>
      <w:r>
        <w:t xml:space="preserve">and served as structured HTML with consistent DOM element IDs. The journal-specific identifiers vary (</w:t>
      </w:r>
      <w:r>
        <w:rPr>
          <w:rStyle w:val="VerbatimChar"/>
        </w:rPr>
        <w:t xml:space="preserve">.jmig</w:t>
      </w:r>
      <w:r>
        <w:t xml:space="preserve">,</w:t>
      </w:r>
      <w:r>
        <w:t xml:space="preserve"> </w:t>
      </w:r>
      <w:r>
        <w:rPr>
          <w:rStyle w:val="VerbatimChar"/>
        </w:rPr>
        <w:t xml:space="preserve">.ajog</w:t>
      </w:r>
      <w:r>
        <w:t xml:space="preserve">,</w:t>
      </w:r>
      <w:r>
        <w:t xml:space="preserve"> </w:t>
      </w:r>
      <w:r>
        <w:rPr>
          <w:rStyle w:val="VerbatimChar"/>
        </w:rPr>
        <w:t xml:space="preserve">.ygyno</w:t>
      </w:r>
      <w:r>
        <w:t xml:space="preserve">,</w:t>
      </w:r>
      <w:r>
        <w:t xml:space="preserve"> </w:t>
      </w:r>
      <w:r>
        <w:rPr>
          <w:rStyle w:val="VerbatimChar"/>
        </w:rPr>
        <w:t xml:space="preserve">.jpag</w:t>
      </w:r>
      <w:r>
        <w:t xml:space="preserve">,</w:t>
      </w:r>
      <w:r>
        <w:t xml:space="preserve"> </w:t>
      </w:r>
      <w:r>
        <w:rPr>
          <w:rStyle w:val="VerbatimChar"/>
        </w:rPr>
        <w:t xml:space="preserve">.fertnstert</w:t>
      </w:r>
      <w:r>
        <w:t xml:space="preserve">,</w:t>
      </w:r>
      <w:r>
        <w:t xml:space="preserve"> </w:t>
      </w:r>
      <w:r>
        <w:rPr>
          <w:rStyle w:val="VerbatimChar"/>
        </w:rPr>
        <w:t xml:space="preserve">.contraception</w:t>
      </w:r>
      <w:r>
        <w:t xml:space="preserve">), but the page architecture — article list container, article link</w:t>
      </w:r>
      <w:r>
        <w:t xml:space="preserve"> </w:t>
      </w:r>
      <w:r>
        <w:rPr>
          <w:rStyle w:val="VerbatimChar"/>
        </w:rPr>
        <w:t xml:space="preserve">&lt;a&gt;</w:t>
      </w:r>
      <w:r>
        <w:t xml:space="preserve"> </w:t>
      </w:r>
      <w:r>
        <w:t xml:space="preserve">tags with</w:t>
      </w:r>
      <w:r>
        <w:t xml:space="preserve"> </w:t>
      </w:r>
      <w:r>
        <w:rPr>
          <w:rStyle w:val="VerbatimChar"/>
        </w:rPr>
        <w:t xml:space="preserve">/science/article/pii/</w:t>
      </w:r>
      <w:r>
        <w:t xml:space="preserve"> </w:t>
      </w:r>
      <w:r>
        <w:t xml:space="preserve">href patterns, per-article JSON-LD metadata blocks — is identical across all six journals. The existing</w:t>
      </w:r>
      <w:r>
        <w:t xml:space="preserve"> </w:t>
      </w:r>
      <w:r>
        <w:rPr>
          <w:rStyle w:val="VerbatimChar"/>
        </w:rPr>
        <w:t xml:space="preserve">01b_parse_web.R</w:t>
      </w:r>
      <w:r>
        <w:t xml:space="preserve"> </w:t>
      </w:r>
      <w:r>
        <w:t xml:space="preserve">ScienceDirect scraper, the</w:t>
      </w:r>
      <w:r>
        <w:t xml:space="preserve"> </w:t>
      </w:r>
      <w:r>
        <w:rPr>
          <w:rStyle w:val="VerbatimChar"/>
        </w:rPr>
        <w:t xml:space="preserve">backfill_affiliations_from_cache.R</w:t>
      </w:r>
      <w:r>
        <w:t xml:space="preserve"> </w:t>
      </w:r>
      <w:r>
        <w:t xml:space="preserve">HTML-JSON-blob extractor, and the</w:t>
      </w:r>
      <w:r>
        <w:t xml:space="preserve"> </w:t>
      </w:r>
      <w:r>
        <w:rPr>
          <w:rStyle w:val="VerbatimChar"/>
        </w:rPr>
        <w:t xml:space="preserve">03c_doi_chain_search.R</w:t>
      </w:r>
      <w:r>
        <w:t xml:space="preserve"> </w:t>
      </w:r>
      <w:r>
        <w:t xml:space="preserve">OpenAlex reverse-citation script can be reused for all five new Elsevier societies by updating three parameters:</w:t>
      </w:r>
      <w:r>
        <w:t xml:space="preserve"> </w:t>
      </w:r>
      <w:r>
        <w:rPr>
          <w:rStyle w:val="VerbatimChar"/>
        </w:rPr>
        <w:t xml:space="preserve">journal_doi_prefix</w:t>
      </w:r>
      <w:r>
        <w:t xml:space="preserve">,</w:t>
      </w:r>
      <w:r>
        <w:t xml:space="preserve"> </w:t>
      </w:r>
      <w:r>
        <w:rPr>
          <w:rStyle w:val="VerbatimChar"/>
        </w:rPr>
        <w:t xml:space="preserve">journal_name</w:t>
      </w:r>
      <w:r>
        <w:t xml:space="preserve">, and</w:t>
      </w:r>
      <w:r>
        <w:t xml:space="preserve"> </w:t>
      </w:r>
      <w:r>
        <w:rPr>
          <w:rStyle w:val="VerbatimChar"/>
        </w:rPr>
        <w:t xml:space="preserve">suppl_url_pattern</w:t>
      </w:r>
      <w:r>
        <w:t xml:space="preserve">. This is the</w:t>
      </w:r>
      <w:r>
        <w:t xml:space="preserve"> </w:t>
      </w:r>
      <w:r>
        <w:t xml:space="preserve">“write once, run for all Elsevier societies”</w:t>
      </w:r>
      <w:r>
        <w:t xml:space="preserve"> </w:t>
      </w:r>
      <w:r>
        <w:t xml:space="preserve">principle.</w:t>
      </w:r>
    </w:p>
    <w:p>
      <w:pPr>
        <w:pStyle w:val="BodyText"/>
      </w:pPr>
      <w:r>
        <w:t xml:space="preserve">The one Elsevier exception is SFP (</w:t>
      </w:r>
      <w:r>
        <w:rPr>
          <w:i/>
          <w:iCs/>
        </w:rPr>
        <w:t xml:space="preserve">Contraception</w:t>
      </w:r>
      <w:r>
        <w:t xml:space="preserve">): abstracts are not published as supplement issues but as regular journal articles containing all abstracts concatenated. Ingestion requires parsing the full-text HTML of the collection article rather than iterating over a supplement TOC page. This is a distinct scraping task that shares the Elsevier platform credentials and HTML structure but requires a new parsing function.</w:t>
      </w:r>
    </w:p>
    <w:p>
      <w:pPr>
        <w:pStyle w:val="BodyText"/>
      </w:pPr>
      <w:r>
        <w:rPr>
          <w:b/>
          <w:bCs/>
        </w:rPr>
        <w:t xml:space="preserve">LWW/Wolters Kluwer (three societies: ACOG, CREOG/APGO, AUGS).</w:t>
      </w:r>
      <w:r>
        <w:t xml:space="preserve"> </w:t>
      </w:r>
      <w:r>
        <w:t xml:space="preserve">Abstracts are hosted at</w:t>
      </w:r>
      <w:r>
        <w:t xml:space="preserve"> </w:t>
      </w:r>
      <w:r>
        <w:rPr>
          <w:rStyle w:val="VerbatimChar"/>
        </w:rPr>
        <w:t xml:space="preserve">https://journals.lww.com/{journal-slug}/toc/{YYYY}/{issue}</w:t>
      </w:r>
      <w:r>
        <w:t xml:space="preserve">. LWW article pages differ from ScienceDirect in three pipeline-relevant ways: (1) There is no JSON-LD metadata block — author affiliations are embedded in plain HTML rather than structured JSON, requiring different XPath extraction logic. (2) DOIs use a hash-based format (</w:t>
      </w:r>
      <w:r>
        <w:rPr>
          <w:rStyle w:val="VerbatimChar"/>
        </w:rPr>
        <w:t xml:space="preserve">10.1097/01.AOG.0000XXXXXXXXX.XXXXX.XX</w:t>
      </w:r>
      <w:r>
        <w:t xml:space="preserve">) rather than ScienceDirect’s sequential</w:t>
      </w:r>
      <w:r>
        <w:t xml:space="preserve"> </w:t>
      </w:r>
      <w:r>
        <w:rPr>
          <w:rStyle w:val="VerbatimChar"/>
        </w:rPr>
        <w:t xml:space="preserve">.YYYY.MM.NNN</w:t>
      </w:r>
      <w:r>
        <w:t xml:space="preserve"> </w:t>
      </w:r>
      <w:r>
        <w:t xml:space="preserve">format, which affects DOI-chain search but not PubMed-based search. (3) The LWW supplement TOC renders abstract links via JavaScript pagination rather than static HTML, requiring either a headless browser (Selenium/RSelenium) or direct enumeration via the LWW API endpoint (</w:t>
      </w:r>
      <w:r>
        <w:rPr>
          <w:rStyle w:val="VerbatimChar"/>
        </w:rPr>
        <w:t xml:space="preserve">https://journals.lww.com/fpmrs/api/00130591-{issue}/abstractlist</w:t>
      </w:r>
      <w:r>
        <w:t xml:space="preserve">). A single LWW scraper covers all three societies because ACOG and CREOG/APGO use the same Green Journal (</w:t>
      </w:r>
      <w:r>
        <w:rPr>
          <w:i/>
          <w:iCs/>
        </w:rPr>
        <w:t xml:space="preserve">Obstetrics &amp; Gynecology</w:t>
      </w:r>
      <w:r>
        <w:t xml:space="preserve">) host and AUGS uses the same LWW platform with identical DOM structure.</w:t>
      </w:r>
    </w:p>
    <w:p>
      <w:pPr>
        <w:pStyle w:val="BodyText"/>
      </w:pPr>
      <w:r>
        <w:rPr>
          <w:b/>
          <w:bCs/>
        </w:rPr>
        <w:t xml:space="preserve">Pipeline components that are platform-specific vs. universal:</w:t>
      </w:r>
    </w:p>
    <w:tbl>
      <w:tblPr>
        <w:tblStyle w:val="Table"/>
        <w:tblW w:type="pct" w:w="5000"/>
        <w:tblLayout w:type="fixed"/>
        <w:tblLook w:firstRow="1" w:lastRow="0" w:firstColumn="0" w:lastColumn="0" w:noHBand="0" w:noVBand="0" w:val="0020"/>
      </w:tblPr>
      <w:tblGrid>
        <w:gridCol w:w="3350"/>
        <w:gridCol w:w="1523"/>
        <w:gridCol w:w="1523"/>
        <w:gridCol w:w="1523"/>
      </w:tblGrid>
      <w:tr>
        <w:trPr>
          <w:tblHeader w:val="on"/>
        </w:trPr>
        <w:tc>
          <w:tcPr/>
          <w:p>
            <w:pPr>
              <w:pStyle w:val="Compact"/>
            </w:pPr>
            <w:r>
              <w:t xml:space="preserve">Component</w:t>
            </w:r>
          </w:p>
        </w:tc>
        <w:tc>
          <w:tcPr/>
          <w:p>
            <w:pPr>
              <w:pStyle w:val="Compact"/>
              <w:jc w:val="center"/>
            </w:pPr>
            <w:r>
              <w:t xml:space="preserve">ScienceDirect</w:t>
            </w:r>
          </w:p>
        </w:tc>
        <w:tc>
          <w:tcPr/>
          <w:p>
            <w:pPr>
              <w:pStyle w:val="Compact"/>
              <w:jc w:val="center"/>
            </w:pPr>
            <w:r>
              <w:t xml:space="preserve">LWW</w:t>
            </w:r>
          </w:p>
        </w:tc>
        <w:tc>
          <w:tcPr/>
          <w:p>
            <w:pPr>
              <w:pStyle w:val="Compact"/>
              <w:jc w:val="center"/>
            </w:pPr>
            <w:r>
              <w:t xml:space="preserve">Universal</w:t>
            </w:r>
          </w:p>
        </w:tc>
      </w:tr>
      <w:tr>
        <w:tc>
          <w:tcPr/>
          <w:p>
            <w:pPr>
              <w:pStyle w:val="Compact"/>
            </w:pPr>
            <w:r>
              <w:t xml:space="preserve">Abstract ingestion (</w:t>
            </w:r>
            <w:r>
              <w:rPr>
                <w:rStyle w:val="VerbatimChar"/>
              </w:rPr>
              <w:t xml:space="preserve">01b_parse_web.R</w:t>
            </w:r>
            <w:r>
              <w:t xml:space="preserve">)</w:t>
            </w:r>
          </w:p>
        </w:tc>
        <w:tc>
          <w:tcPr/>
          <w:p>
            <w:pPr>
              <w:pStyle w:val="Compact"/>
              <w:jc w:val="center"/>
            </w:pPr>
            <w:r>
              <w:t xml:space="preserve">Elsevier version</w:t>
            </w:r>
          </w:p>
        </w:tc>
        <w:tc>
          <w:tcPr/>
          <w:p>
            <w:pPr>
              <w:pStyle w:val="Compact"/>
              <w:jc w:val="center"/>
            </w:pPr>
            <w:r>
              <w:t xml:space="preserve">LWW version (new build)</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w:t>
            </w:r>
          </w:p>
        </w:tc>
      </w:tr>
      <w:tr>
        <w:tc>
          <w:tcPr/>
          <w:p>
            <w:pPr>
              <w:pStyle w:val="Compact"/>
            </w:pPr>
            <w:r>
              <w:t xml:space="preserve">DOI-chain search (</w:t>
            </w:r>
            <w:r>
              <w:rPr>
                <w:rStyle w:val="VerbatimChar"/>
              </w:rPr>
              <w:t xml:space="preserve">03c_doi_chain_search.R</w:t>
            </w:r>
            <w:r>
              <w:t xml:space="preserve">)</w:t>
            </w:r>
          </w:p>
        </w:tc>
        <w:tc>
          <w:tcPr/>
          <w:p>
            <w:pPr>
              <w:pStyle w:val="Compact"/>
              <w:jc w:val="center"/>
            </w:pPr>
            <w:r>
              <w:t xml:space="preserve">Yes (individual DOIs)</w:t>
            </w:r>
          </w:p>
        </w:tc>
        <w:tc>
          <w:tcPr/>
          <w:p>
            <w:pPr>
              <w:pStyle w:val="Compact"/>
              <w:jc w:val="center"/>
            </w:pPr>
            <w:r>
              <w:t xml:space="preserve">Yes (individual DOIs for ACOG, CREOG 2015+)</w:t>
            </w:r>
          </w:p>
        </w:tc>
        <w:tc>
          <w:tcPr/>
          <w:p>
            <w:pPr>
              <w:pStyle w:val="Compact"/>
              <w:jc w:val="center"/>
            </w:pPr>
            <w:r>
              <w:t xml:space="preserve">—</w:t>
            </w:r>
          </w:p>
        </w:tc>
      </w:tr>
      <w:tr>
        <w:tc>
          <w:tcPr/>
          <w:p>
            <w:pPr>
              <w:pStyle w:val="Compact"/>
            </w:pPr>
            <w:r>
              <w:t xml:space="preserve">PubMed search (</w:t>
            </w:r>
            <w:r>
              <w:rPr>
                <w:rStyle w:val="VerbatimChar"/>
              </w:rPr>
              <w:t xml:space="preserve">03_search_pubmed.R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CrossRef/OpenAlex/EuropePMC (</w:t>
            </w:r>
            <w:r>
              <w:rPr>
                <w:rStyle w:val="VerbatimChar"/>
              </w:rPr>
              <w:t xml:space="preserve">03b_search_crossref.R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Composite scoring (</w:t>
            </w:r>
            <w:r>
              <w:rPr>
                <w:rStyle w:val="VerbatimChar"/>
              </w:rPr>
              <w:t xml:space="preserve">04_score_matches.R</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Adjudication Shiny app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odyText"/>
      </w:pPr>
      <w:r>
        <w:rPr>
          <w:b/>
          <w:bCs/>
        </w:rPr>
        <w:t xml:space="preserve">Key implication:</w:t>
      </w:r>
      <w:r>
        <w:t xml:space="preserve"> </w:t>
      </w:r>
      <w:r>
        <w:t xml:space="preserve">Building the LWW scraper is the single largest new engineering task for multi-society expansion. Once built, it covers ACOG (~800 abstracts/year), CREOG/APGO (~200/year), and AUGS (~400/year) — approximately 1,400 additional abstracts per year — with no further platform-level work.</w:t>
      </w:r>
    </w:p>
    <w:bookmarkEnd w:id="73"/>
    <w:bookmarkStart w:id="74" w:name="a11.4-implementation-effort-by-society"/>
    <w:p>
      <w:pPr>
        <w:pStyle w:val="Heading3"/>
      </w:pPr>
      <w:r>
        <w:t xml:space="preserve">A11.4 Implementation Effort by Society</w:t>
      </w:r>
    </w:p>
    <w:p>
      <w:pPr>
        <w:pStyle w:val="FirstParagraph"/>
      </w:pPr>
      <w:r>
        <w:t xml:space="preserve">The matrix below rates each society across ten pipeline components. Symbols:</w:t>
      </w:r>
      <w:r>
        <w:t xml:space="preserve"> </w:t>
      </w:r>
      <w:r>
        <w:rPr>
          <w:b/>
          <w:bCs/>
        </w:rPr>
        <w:t xml:space="preserve">✓</w:t>
      </w:r>
      <w:r>
        <w:t xml:space="preserve"> </w:t>
      </w:r>
      <w:r>
        <w:t xml:space="preserve">= reusable as-is with parameter changes only;</w:t>
      </w:r>
      <w:r>
        <w:t xml:space="preserve"> </w:t>
      </w:r>
      <w:r>
        <w:rPr>
          <w:b/>
          <w:bCs/>
        </w:rPr>
        <w:t xml:space="preserve">△</w:t>
      </w:r>
      <w:r>
        <w:t xml:space="preserve"> </w:t>
      </w:r>
      <w:r>
        <w:t xml:space="preserve">= minor adaptation required (&lt; 1 day of work);</w:t>
      </w:r>
      <w:r>
        <w:t xml:space="preserve"> </w:t>
      </w:r>
      <w:r>
        <w:rPr>
          <w:b/>
          <w:bCs/>
        </w:rPr>
        <w:t xml:space="preserve">✗</w:t>
      </w:r>
      <w:r>
        <w:t xml:space="preserve"> </w:t>
      </w:r>
      <w:r>
        <w:t xml:space="preserve">= not applicable;</w:t>
      </w:r>
      <w:r>
        <w:t xml:space="preserve"> </w:t>
      </w:r>
      <w:r>
        <w:rPr>
          <w:b/>
          <w:bCs/>
        </w:rPr>
        <w:t xml:space="preserve">★</w:t>
      </w:r>
      <w:r>
        <w:t xml:space="preserve"> </w:t>
      </w:r>
      <w:r>
        <w:t xml:space="preserve">= new build required (&gt; 1 day of work).</w:t>
      </w:r>
    </w:p>
    <w:tbl>
      <w:tblPr>
        <w:tblStyle w:val="Table"/>
        <w:tblW w:type="pct" w:w="5000"/>
        <w:tblLayout w:type="fixed"/>
        <w:tblLook w:firstRow="1" w:lastRow="0" w:firstColumn="0" w:lastColumn="0" w:noHBand="0" w:noVBand="0" w:val="0020"/>
      </w:tblPr>
      <w:tblGrid>
        <w:gridCol w:w="1102"/>
        <w:gridCol w:w="601"/>
        <w:gridCol w:w="601"/>
        <w:gridCol w:w="501"/>
        <w:gridCol w:w="802"/>
        <w:gridCol w:w="601"/>
        <w:gridCol w:w="601"/>
        <w:gridCol w:w="1203"/>
        <w:gridCol w:w="501"/>
        <w:gridCol w:w="601"/>
        <w:gridCol w:w="802"/>
      </w:tblGrid>
      <w:tr>
        <w:trPr>
          <w:tblHeader w:val="on"/>
        </w:trPr>
        <w:tc>
          <w:tcPr/>
          <w:p>
            <w:pPr>
              <w:pStyle w:val="Compact"/>
            </w:pPr>
            <w:r>
              <w:t xml:space="preserve">Component</w:t>
            </w:r>
          </w:p>
        </w:tc>
        <w:tc>
          <w:tcPr/>
          <w:p>
            <w:pPr>
              <w:pStyle w:val="Compact"/>
              <w:jc w:val="center"/>
            </w:pPr>
            <w:r>
              <w:t xml:space="preserve">AAGL</w:t>
            </w:r>
          </w:p>
        </w:tc>
        <w:tc>
          <w:tcPr/>
          <w:p>
            <w:pPr>
              <w:pStyle w:val="Compact"/>
              <w:jc w:val="center"/>
            </w:pPr>
            <w:r>
              <w:t xml:space="preserve">SMFM</w:t>
            </w:r>
          </w:p>
        </w:tc>
        <w:tc>
          <w:tcPr/>
          <w:p>
            <w:pPr>
              <w:pStyle w:val="Compact"/>
              <w:jc w:val="center"/>
            </w:pPr>
            <w:r>
              <w:t xml:space="preserve">SGO</w:t>
            </w:r>
          </w:p>
        </w:tc>
        <w:tc>
          <w:tcPr/>
          <w:p>
            <w:pPr>
              <w:pStyle w:val="Compact"/>
              <w:jc w:val="center"/>
            </w:pPr>
            <w:r>
              <w:t xml:space="preserve">NASPAG</w:t>
            </w:r>
          </w:p>
        </w:tc>
        <w:tc>
          <w:tcPr/>
          <w:p>
            <w:pPr>
              <w:pStyle w:val="Compact"/>
              <w:jc w:val="center"/>
            </w:pPr>
            <w:r>
              <w:t xml:space="preserve">ASRM</w:t>
            </w:r>
          </w:p>
        </w:tc>
        <w:tc>
          <w:tcPr/>
          <w:p>
            <w:pPr>
              <w:pStyle w:val="Compact"/>
              <w:jc w:val="center"/>
            </w:pPr>
            <w:r>
              <w:t xml:space="preserve">ACOG</w:t>
            </w:r>
          </w:p>
        </w:tc>
        <w:tc>
          <w:tcPr/>
          <w:p>
            <w:pPr>
              <w:pStyle w:val="Compact"/>
              <w:jc w:val="center"/>
            </w:pPr>
            <w:r>
              <w:t xml:space="preserve">CREOG/APGO</w:t>
            </w:r>
          </w:p>
        </w:tc>
        <w:tc>
          <w:tcPr/>
          <w:p>
            <w:pPr>
              <w:pStyle w:val="Compact"/>
              <w:jc w:val="center"/>
            </w:pPr>
            <w:r>
              <w:t xml:space="preserve">SFP</w:t>
            </w:r>
          </w:p>
        </w:tc>
        <w:tc>
          <w:tcPr/>
          <w:p>
            <w:pPr>
              <w:pStyle w:val="Compact"/>
              <w:jc w:val="center"/>
            </w:pPr>
            <w:r>
              <w:t xml:space="preserve">AUGS</w:t>
            </w:r>
          </w:p>
        </w:tc>
        <w:tc>
          <w:tcPr/>
          <w:p>
            <w:pPr>
              <w:pStyle w:val="Compact"/>
              <w:jc w:val="center"/>
            </w:pPr>
            <w:r>
              <w:t xml:space="preserve">SASGOG</w:t>
            </w:r>
          </w:p>
        </w:tc>
      </w:tr>
      <w:tr>
        <w:tc>
          <w:tcPr/>
          <w:p>
            <w:pPr>
              <w:pStyle w:val="Compact"/>
            </w:pPr>
            <w:r>
              <w:t xml:space="preserve">Abstract ingestion</w:t>
            </w:r>
          </w:p>
        </w:tc>
        <w:tc>
          <w:tcPr/>
          <w:p>
            <w:pPr>
              <w:pStyle w:val="Compact"/>
              <w:jc w:val="center"/>
            </w:pPr>
            <w:r>
              <w:t xml:space="preserve">✓ Current</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w:t>
            </w:r>
          </w:p>
        </w:tc>
        <w:tc>
          <w:tcPr/>
          <w:p>
            <w:pPr>
              <w:pStyle w:val="Compact"/>
              <w:jc w:val="center"/>
            </w:pPr>
            <w:r>
              <w:t xml:space="preserve">△ URL params + auth</w:t>
            </w:r>
          </w:p>
        </w:tc>
        <w:tc>
          <w:tcPr/>
          <w:p>
            <w:pPr>
              <w:pStyle w:val="Compact"/>
              <w:jc w:val="center"/>
            </w:pPr>
            <w:r>
              <w:t xml:space="preserve">★ LWW scraper</w:t>
            </w:r>
          </w:p>
        </w:tc>
        <w:tc>
          <w:tcPr/>
          <w:p>
            <w:pPr>
              <w:pStyle w:val="Compact"/>
              <w:jc w:val="center"/>
            </w:pPr>
            <w:r>
              <w:t xml:space="preserve">★ LWW scraper</w:t>
            </w:r>
          </w:p>
        </w:tc>
        <w:tc>
          <w:tcPr/>
          <w:p>
            <w:pPr>
              <w:pStyle w:val="Compact"/>
              <w:jc w:val="center"/>
            </w:pPr>
            <w:r>
              <w:t xml:space="preserve">△ Full-text parse</w:t>
            </w:r>
          </w:p>
        </w:tc>
        <w:tc>
          <w:tcPr/>
          <w:p>
            <w:pPr>
              <w:pStyle w:val="Compact"/>
              <w:jc w:val="center"/>
            </w:pPr>
            <w:r>
              <w:t xml:space="preserve">★ LWW scraper</w:t>
            </w:r>
          </w:p>
        </w:tc>
        <w:tc>
          <w:tcPr/>
          <w:p>
            <w:pPr>
              <w:pStyle w:val="Compact"/>
              <w:jc w:val="center"/>
            </w:pPr>
            <w:r>
              <w:t xml:space="preserve">★ Web scraper (no journal)</w:t>
            </w:r>
          </w:p>
        </w:tc>
      </w:tr>
      <w:tr>
        <w:tc>
          <w:tcPr/>
          <w:p>
            <w:pPr>
              <w:pStyle w:val="Compact"/>
            </w:pPr>
            <w:r>
              <w:t xml:space="preserve">PubMed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CrossRef/OpenAlex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DOI-chain search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(2015+)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Composite scoring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Adjudication app</w:t>
            </w:r>
          </w:p>
        </w:tc>
        <w:tc>
          <w:tcPr/>
          <w:p>
            <w:pPr>
              <w:pStyle w:val="Compact"/>
              <w:jc w:val="center"/>
            </w:pPr>
            <w:r>
              <w:t xml:space="preserve">✓</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c>
          <w:tcPr/>
          <w:p>
            <w:pPr>
              <w:pStyle w:val="Compact"/>
              <w:jc w:val="center"/>
            </w:pPr>
            <w:r>
              <w:t xml:space="preserve">△ Labels</w:t>
            </w:r>
          </w:p>
        </w:tc>
      </w:tr>
      <w:tr>
        <w:tc>
          <w:tcPr/>
          <w:p>
            <w:pPr>
              <w:pStyle w:val="Compact"/>
            </w:pPr>
            <w:r>
              <w:t xml:space="preserve">Gender inference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NPI matching</w:t>
            </w:r>
          </w:p>
        </w:tc>
        <w:tc>
          <w:tcPr/>
          <w:p>
            <w:pPr>
              <w:pStyle w:val="Compact"/>
              <w:jc w:val="center"/>
            </w:pPr>
            <w:r>
              <w:t xml:space="preserve">✓</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 Subspecialty filter</w:t>
            </w:r>
          </w:p>
        </w:tc>
        <w:tc>
          <w:tcPr/>
          <w:p>
            <w:pPr>
              <w:pStyle w:val="Compact"/>
              <w:jc w:val="center"/>
            </w:pPr>
            <w:r>
              <w:t xml:space="preserve">✗</w:t>
            </w:r>
          </w:p>
        </w:tc>
      </w:tr>
      <w:tr>
        <w:tc>
          <w:tcPr/>
          <w:p>
            <w:pPr>
              <w:pStyle w:val="Compact"/>
            </w:pPr>
            <w:r>
              <w:t xml:space="preserve">ORCID enrichment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Affiliation backfill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Auth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Partial</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Total new-build components by society:</w:t>
      </w:r>
      <w:r>
        <w:t xml:space="preserve"> </w:t>
      </w:r>
      <w:r>
        <w:t xml:space="preserve">SMFM = 0, SGO = 0, NASPAG = 0, ASRM = 0, ACOG = 1, CREOG/APGO = 1 (shared with ACOG), SFP = 1 (full-text parse only), AUGS = 1 (shared LWW scraper), SASGOG = 2.</w:t>
      </w:r>
    </w:p>
    <w:p>
      <w:pPr>
        <w:pStyle w:val="BodyText"/>
      </w:pPr>
      <w:r>
        <w:t xml:space="preserve">The SMFM–SGO–NASPAG–ASRM group requires no new engineering beyond parameter changes to existing scripts. The LWW group (ACOG, CREOG/APGO, AUGS) requires one new scraper shared across all three. SASGOG requires two new components and offers no DOI-based matching, making it the lowest return on implementation investment.</w:t>
      </w:r>
    </w:p>
    <w:bookmarkEnd w:id="74"/>
    <w:bookmarkStart w:id="75" w:name="a11.5-expected-match-rates"/>
    <w:p>
      <w:pPr>
        <w:pStyle w:val="Heading3"/>
      </w:pPr>
      <w:r>
        <w:t xml:space="preserve">A11.5 Expected Match Rates</w:t>
      </w:r>
    </w:p>
    <w:p>
      <w:pPr>
        <w:pStyle w:val="FirstParagraph"/>
      </w:pPr>
      <w:r>
        <w:t xml:space="preserve">The AAGL pipeline’s empirical match rates provide a baseline for projecting performance on other societies. The AAGL dataset achieved 11.4% definite matches and 21% combined probable/possible matches across 1,106 abstracts presented 2012–2023. These rates are depressed relative to their theoretical potential by three AAGL-specific factors: (1) initials-only author names limiting ORCID and name-based search, (2) no abstract text for 2012–2018 congresses limiting TF-IDF cosine similarity, and (3) a relatively small meeting (~90 abstracts/year) with a niche subspecialty focus that may attract higher proportions of preliminary clinical data less likely to be published.</w:t>
      </w:r>
    </w:p>
    <w:p>
      <w:pPr>
        <w:pStyle w:val="BodyText"/>
      </w:pPr>
      <w:r>
        <w:rPr>
          <w:b/>
          <w:bCs/>
        </w:rPr>
        <w:t xml:space="preserve">Projected improvements by pipeline feature for new societies:</w:t>
      </w:r>
    </w:p>
    <w:tbl>
      <w:tblPr>
        <w:tblStyle w:val="Table"/>
        <w:tblW w:type="pct" w:w="5000"/>
        <w:tblLayout w:type="fixed"/>
        <w:tblLook w:firstRow="1" w:lastRow="0" w:firstColumn="0" w:lastColumn="0" w:noHBand="0" w:noVBand="0" w:val="0020"/>
      </w:tblPr>
      <w:tblGrid>
        <w:gridCol w:w="1228"/>
        <w:gridCol w:w="2048"/>
        <w:gridCol w:w="1502"/>
        <w:gridCol w:w="3140"/>
      </w:tblGrid>
      <w:tr>
        <w:trPr>
          <w:tblHeader w:val="on"/>
        </w:trPr>
        <w:tc>
          <w:tcPr/>
          <w:p>
            <w:pPr>
              <w:pStyle w:val="Compact"/>
            </w:pPr>
            <w:r>
              <w:t xml:space="preserve">Feature</w:t>
            </w:r>
          </w:p>
        </w:tc>
        <w:tc>
          <w:tcPr/>
          <w:p>
            <w:pPr>
              <w:pStyle w:val="Compact"/>
              <w:jc w:val="center"/>
            </w:pPr>
            <w:r>
              <w:t xml:space="preserve">AAGL Baseline</w:t>
            </w:r>
          </w:p>
        </w:tc>
        <w:tc>
          <w:tcPr/>
          <w:p>
            <w:pPr>
              <w:pStyle w:val="Compact"/>
            </w:pPr>
            <w:r>
              <w:t xml:space="preserve">Mechanism</w:t>
            </w:r>
          </w:p>
        </w:tc>
        <w:tc>
          <w:tcPr/>
          <w:p>
            <w:pPr>
              <w:pStyle w:val="Compact"/>
              <w:jc w:val="right"/>
            </w:pPr>
            <w:r>
              <w:t xml:space="preserve">Projected Improvement</w:t>
            </w:r>
          </w:p>
        </w:tc>
      </w:tr>
      <w:tr>
        <w:tc>
          <w:tcPr/>
          <w:p>
            <w:pPr>
              <w:pStyle w:val="Compact"/>
            </w:pPr>
            <w:r>
              <w:t xml:space="preserve">Full first names (vs. initials only)</w:t>
            </w:r>
          </w:p>
        </w:tc>
        <w:tc>
          <w:tcPr/>
          <w:p>
            <w:pPr>
              <w:pStyle w:val="Compact"/>
              <w:jc w:val="center"/>
            </w:pPr>
            <w:r>
              <w:t xml:space="preserve">15.8% ORCID hit rate</w:t>
            </w:r>
          </w:p>
        </w:tc>
        <w:tc>
          <w:tcPr/>
          <w:p>
            <w:pPr>
              <w:pStyle w:val="Compact"/>
            </w:pPr>
            <w:r>
              <w:t xml:space="preserve">genderize.io and ORCID API use full names; exact NPI matching enabled</w:t>
            </w:r>
          </w:p>
        </w:tc>
        <w:tc>
          <w:tcPr/>
          <w:p>
            <w:pPr>
              <w:pStyle w:val="Compact"/>
              <w:jc w:val="right"/>
            </w:pPr>
            <w:r>
              <w:t xml:space="preserve">+5 to +8 percentage points (pp) publication rate</w:t>
            </w:r>
          </w:p>
        </w:tc>
      </w:tr>
      <w:tr>
        <w:tc>
          <w:tcPr/>
          <w:p>
            <w:pPr>
              <w:pStyle w:val="Compact"/>
            </w:pPr>
            <w:r>
              <w:t xml:space="preserve">Individual DOIs + DOI-chain search</w:t>
            </w:r>
          </w:p>
        </w:tc>
        <w:tc>
          <w:tcPr/>
          <w:p>
            <w:pPr>
              <w:pStyle w:val="Compact"/>
              <w:jc w:val="center"/>
            </w:pPr>
            <w:r>
              <w:t xml:space="preserve">Contributes ~22% of definite matches in AAGL</w:t>
            </w:r>
          </w:p>
        </w:tc>
        <w:tc>
          <w:tcPr/>
          <w:p>
            <w:pPr>
              <w:pStyle w:val="Compact"/>
            </w:pPr>
            <w:r>
              <w:t xml:space="preserve">Societies with individual DOIs (SMFM, SGO, NASPAG, ASRM, ACOG, CREOG 2015+) get this benefit</w:t>
            </w:r>
          </w:p>
        </w:tc>
        <w:tc>
          <w:tcPr/>
          <w:p>
            <w:pPr>
              <w:pStyle w:val="Compact"/>
              <w:jc w:val="right"/>
            </w:pPr>
            <w:r>
              <w:t xml:space="preserve">+3 to +5 pp</w:t>
            </w:r>
          </w:p>
        </w:tc>
      </w:tr>
      <w:tr>
        <w:tc>
          <w:tcPr/>
          <w:p>
            <w:pPr>
              <w:pStyle w:val="Compact"/>
            </w:pPr>
            <w:r>
              <w:t xml:space="preserve">Affiliation backfill (ScienceDirect)</w:t>
            </w:r>
          </w:p>
        </w:tc>
        <w:tc>
          <w:tcPr/>
          <w:p>
            <w:pPr>
              <w:pStyle w:val="Compact"/>
              <w:jc w:val="center"/>
            </w:pPr>
            <w:r>
              <w:t xml:space="preserve">52.7% coverage for AAGL</w:t>
            </w:r>
          </w:p>
        </w:tc>
        <w:tc>
          <w:tcPr/>
          <w:p>
            <w:pPr>
              <w:pStyle w:val="Compact"/>
            </w:pPr>
            <w:r>
              <w:t xml:space="preserve">Full affiliations available at ingestion for SMFM, SGO, NASPAG; improves author disambiguation</w:t>
            </w:r>
          </w:p>
        </w:tc>
        <w:tc>
          <w:tcPr/>
          <w:p>
            <w:pPr>
              <w:pStyle w:val="Compact"/>
              <w:jc w:val="right"/>
            </w:pPr>
            <w:r>
              <w:t xml:space="preserve">+2 to +3 pp</w:t>
            </w:r>
          </w:p>
        </w:tc>
      </w:tr>
      <w:tr>
        <w:tc>
          <w:tcPr/>
          <w:p>
            <w:pPr>
              <w:pStyle w:val="Compact"/>
            </w:pPr>
            <w:r>
              <w:t xml:space="preserve">Higher abstract volume</w:t>
            </w:r>
          </w:p>
        </w:tc>
        <w:tc>
          <w:tcPr/>
          <w:p>
            <w:pPr>
              <w:pStyle w:val="Compact"/>
              <w:jc w:val="center"/>
            </w:pPr>
            <w:r>
              <w:t xml:space="preserve">~90/year (AAGL) vs ~500–1,200/year (SMFM, ASRM)</w:t>
            </w:r>
          </w:p>
        </w:tc>
        <w:tc>
          <w:tcPr/>
          <w:p>
            <w:pPr>
              <w:pStyle w:val="Compact"/>
            </w:pPr>
            <w:r>
              <w:t xml:space="preserve">Larger N allows lower-false-positive scoring threshold because random noise averages out</w:t>
            </w:r>
          </w:p>
        </w:tc>
        <w:tc>
          <w:tcPr/>
          <w:p>
            <w:pPr>
              <w:pStyle w:val="Compact"/>
              <w:jc w:val="right"/>
            </w:pPr>
            <w:r>
              <w:t xml:space="preserve">Primarily power benefit, not rate benefit</w:t>
            </w:r>
          </w:p>
        </w:tc>
      </w:tr>
    </w:tbl>
    <w:p>
      <w:pPr>
        <w:pStyle w:val="BodyText"/>
      </w:pPr>
      <w:r>
        <w:rPr>
          <w:b/>
          <w:bCs/>
        </w:rPr>
        <w:t xml:space="preserve">Society-level projections.</w:t>
      </w:r>
      <w:r>
        <w:t xml:space="preserve"> </w:t>
      </w:r>
      <w:r>
        <w:t xml:space="preserve">SMFM and SGO: expected definite match rate 14–18% (full names + individual DOIs + full affiliations, no auth barrier). NASPAG: similar rate but high uncertainty due to small N (~35/year). ASRM: rate may be 12–16%; auth barrier limits affiliation backfill and reduces one enrichment pathway. ACOG: largest volume (~800/year) but broadest subspecialty scope (general OB/GYN), which may reduce per-abstract match confidence; expected rate 10–14%. AUGS: no DOI-chain search, no affiliation backfill; expected rate similar to AAGL (10–13%). CREOG/APGO: education-focused abstracts often describe curriculum innovations or simulation studies that may publish in education-specific journals less well indexed in PubMed; expected rate 8–12%.</w:t>
      </w:r>
    </w:p>
    <w:p>
      <w:pPr>
        <w:pStyle w:val="BodyText"/>
      </w:pPr>
      <w:r>
        <w:rPr>
          <w:b/>
          <w:bCs/>
        </w:rPr>
        <w:t xml:space="preserve">ORCID enrichment projection.</w:t>
      </w:r>
      <w:r>
        <w:t xml:space="preserve"> </w:t>
      </w:r>
      <w:r>
        <w:t xml:space="preserve">The AAGL pipeline achieved 15.8% ORCID linkage using initials only. All comparison societies provide full first names. Based on published ORCID coverage studies (Bosman &amp; Kramer 2018; Haak et al. 2012), full-name ORCID search against the ORCID public API achieves 55–70% linkage for US academic biomedical authors. Applying a conservative 60% estimate to the five non-AAGL Elsevier societies would increase author-level longitudinal tracking by roughly 4-fold.</w:t>
      </w:r>
    </w:p>
    <w:bookmarkEnd w:id="75"/>
    <w:bookmarkStart w:id="76" w:name="X67b02fd6881def93dc37a03feec5ff1a0c83a1a"/>
    <w:p>
      <w:pPr>
        <w:pStyle w:val="Heading3"/>
      </w:pPr>
      <w:r>
        <w:t xml:space="preserve">A11.6 Statistical Power for Cross-Society Analyses</w:t>
      </w:r>
    </w:p>
    <w:p>
      <w:pPr>
        <w:pStyle w:val="FirstParagraph"/>
      </w:pPr>
      <w:r>
        <w:rPr>
          <w:b/>
          <w:bCs/>
        </w:rPr>
        <w:t xml:space="preserve">Two-proportion z-test for publication rate differences.</w:t>
      </w:r>
      <w:r>
        <w:t xml:space="preserve"> </w:t>
      </w:r>
      <w:r>
        <w:t xml:space="preserve">The primary cross-society comparison of interest is whether two societies differ in their confirmed publication rate. Using a two-sided two-proportion z-test at α = 0.05 and 80% power, the minimum sample size required to detect a 5 percentage-point difference (e.g., 11% vs. 16%) depends on the assumed baseline rate:</w:t>
      </w:r>
    </w:p>
    <w:tbl>
      <w:tblPr>
        <w:tblStyle w:val="Table"/>
        <w:tblW w:type="pct" w:w="5000"/>
        <w:tblLayout w:type="fixed"/>
        <w:tblLook w:firstRow="1" w:lastRow="0" w:firstColumn="0" w:lastColumn="0" w:noHBand="0" w:noVBand="0" w:val="0020"/>
      </w:tblPr>
      <w:tblGrid>
        <w:gridCol w:w="1542"/>
        <w:gridCol w:w="1748"/>
        <w:gridCol w:w="1234"/>
        <w:gridCol w:w="1542"/>
        <w:gridCol w:w="1851"/>
      </w:tblGrid>
      <w:tr>
        <w:trPr>
          <w:tblHeader w:val="on"/>
        </w:trPr>
        <w:tc>
          <w:tcPr/>
          <w:p>
            <w:pPr>
              <w:pStyle w:val="Compact"/>
              <w:jc w:val="center"/>
            </w:pPr>
            <w:r>
              <w:t xml:space="preserve">Baseline Rate</w:t>
            </w:r>
          </w:p>
        </w:tc>
        <w:tc>
          <w:tcPr/>
          <w:p>
            <w:pPr>
              <w:pStyle w:val="Compact"/>
              <w:jc w:val="center"/>
            </w:pPr>
            <w:r>
              <w:t xml:space="preserve">Comparison Rate</w:t>
            </w:r>
          </w:p>
        </w:tc>
        <w:tc>
          <w:tcPr/>
          <w:p>
            <w:pPr>
              <w:pStyle w:val="Compact"/>
              <w:jc w:val="center"/>
            </w:pPr>
            <w:r>
              <w:t xml:space="preserve">Difference</w:t>
            </w:r>
          </w:p>
        </w:tc>
        <w:tc>
          <w:tcPr/>
          <w:p>
            <w:pPr>
              <w:pStyle w:val="Compact"/>
              <w:jc w:val="center"/>
            </w:pPr>
            <w:r>
              <w:t xml:space="preserve">N per Society</w:t>
            </w:r>
          </w:p>
        </w:tc>
        <w:tc>
          <w:tcPr/>
          <w:p>
            <w:pPr>
              <w:pStyle w:val="Compact"/>
              <w:jc w:val="center"/>
            </w:pPr>
            <w:r>
              <w:t xml:space="preserve">Total N Required</w:t>
            </w:r>
          </w:p>
        </w:tc>
      </w:tr>
      <w:tr>
        <w:tc>
          <w:tcPr/>
          <w:p>
            <w:pPr>
              <w:pStyle w:val="Compact"/>
              <w:jc w:val="center"/>
            </w:pPr>
            <w:r>
              <w:t xml:space="preserve">11% (AAGL)</w:t>
            </w:r>
          </w:p>
        </w:tc>
        <w:tc>
          <w:tcPr/>
          <w:p>
            <w:pPr>
              <w:pStyle w:val="Compact"/>
              <w:jc w:val="center"/>
            </w:pPr>
            <w:r>
              <w:t xml:space="preserve">16%</w:t>
            </w:r>
          </w:p>
        </w:tc>
        <w:tc>
          <w:tcPr/>
          <w:p>
            <w:pPr>
              <w:pStyle w:val="Compact"/>
              <w:jc w:val="center"/>
            </w:pPr>
            <w:r>
              <w:t xml:space="preserve">5 pp</w:t>
            </w:r>
          </w:p>
        </w:tc>
        <w:tc>
          <w:tcPr/>
          <w:p>
            <w:pPr>
              <w:pStyle w:val="Compact"/>
              <w:jc w:val="center"/>
            </w:pPr>
            <w:r>
              <w:t xml:space="preserve">487</w:t>
            </w:r>
          </w:p>
        </w:tc>
        <w:tc>
          <w:tcPr/>
          <w:p>
            <w:pPr>
              <w:pStyle w:val="Compact"/>
              <w:jc w:val="center"/>
            </w:pPr>
            <w:r>
              <w:t xml:space="preserve">974</w:t>
            </w:r>
          </w:p>
        </w:tc>
      </w:tr>
      <w:tr>
        <w:tc>
          <w:tcPr/>
          <w:p>
            <w:pPr>
              <w:pStyle w:val="Compact"/>
              <w:jc w:val="center"/>
            </w:pPr>
            <w:r>
              <w:t xml:space="preserve">11% (AAGL)</w:t>
            </w:r>
          </w:p>
        </w:tc>
        <w:tc>
          <w:tcPr/>
          <w:p>
            <w:pPr>
              <w:pStyle w:val="Compact"/>
              <w:jc w:val="center"/>
            </w:pPr>
            <w:r>
              <w:t xml:space="preserve">18%</w:t>
            </w:r>
          </w:p>
        </w:tc>
        <w:tc>
          <w:tcPr/>
          <w:p>
            <w:pPr>
              <w:pStyle w:val="Compact"/>
              <w:jc w:val="center"/>
            </w:pPr>
            <w:r>
              <w:t xml:space="preserve">7 pp</w:t>
            </w:r>
          </w:p>
        </w:tc>
        <w:tc>
          <w:tcPr/>
          <w:p>
            <w:pPr>
              <w:pStyle w:val="Compact"/>
              <w:jc w:val="center"/>
            </w:pPr>
            <w:r>
              <w:t xml:space="preserve">260</w:t>
            </w:r>
          </w:p>
        </w:tc>
        <w:tc>
          <w:tcPr/>
          <w:p>
            <w:pPr>
              <w:pStyle w:val="Compact"/>
              <w:jc w:val="center"/>
            </w:pPr>
            <w:r>
              <w:t xml:space="preserve">520</w:t>
            </w:r>
          </w:p>
        </w:tc>
      </w:tr>
      <w:tr>
        <w:tc>
          <w:tcPr/>
          <w:p>
            <w:pPr>
              <w:pStyle w:val="Compact"/>
              <w:jc w:val="center"/>
            </w:pPr>
            <w:r>
              <w:t xml:space="preserve">15% (projected)</w:t>
            </w:r>
          </w:p>
        </w:tc>
        <w:tc>
          <w:tcPr/>
          <w:p>
            <w:pPr>
              <w:pStyle w:val="Compact"/>
              <w:jc w:val="center"/>
            </w:pPr>
            <w:r>
              <w:t xml:space="preserve">20%</w:t>
            </w:r>
          </w:p>
        </w:tc>
        <w:tc>
          <w:tcPr/>
          <w:p>
            <w:pPr>
              <w:pStyle w:val="Compact"/>
              <w:jc w:val="center"/>
            </w:pPr>
            <w:r>
              <w:t xml:space="preserve">5 pp</w:t>
            </w:r>
          </w:p>
        </w:tc>
        <w:tc>
          <w:tcPr/>
          <w:p>
            <w:pPr>
              <w:pStyle w:val="Compact"/>
              <w:jc w:val="center"/>
            </w:pPr>
            <w:r>
              <w:t xml:space="preserve">523</w:t>
            </w:r>
          </w:p>
        </w:tc>
        <w:tc>
          <w:tcPr/>
          <w:p>
            <w:pPr>
              <w:pStyle w:val="Compact"/>
              <w:jc w:val="center"/>
            </w:pPr>
            <w:r>
              <w:t xml:space="preserve">1,046</w:t>
            </w:r>
          </w:p>
        </w:tc>
      </w:tr>
      <w:tr>
        <w:tc>
          <w:tcPr/>
          <w:p>
            <w:pPr>
              <w:pStyle w:val="Compact"/>
              <w:jc w:val="center"/>
            </w:pPr>
            <w:r>
              <w:t xml:space="preserve">15% (projected)</w:t>
            </w:r>
          </w:p>
        </w:tc>
        <w:tc>
          <w:tcPr/>
          <w:p>
            <w:pPr>
              <w:pStyle w:val="Compact"/>
              <w:jc w:val="center"/>
            </w:pPr>
            <w:r>
              <w:t xml:space="preserve">22%</w:t>
            </w:r>
          </w:p>
        </w:tc>
        <w:tc>
          <w:tcPr/>
          <w:p>
            <w:pPr>
              <w:pStyle w:val="Compact"/>
              <w:jc w:val="center"/>
            </w:pPr>
            <w:r>
              <w:t xml:space="preserve">7 pp</w:t>
            </w:r>
          </w:p>
        </w:tc>
        <w:tc>
          <w:tcPr/>
          <w:p>
            <w:pPr>
              <w:pStyle w:val="Compact"/>
              <w:jc w:val="center"/>
            </w:pPr>
            <w:r>
              <w:t xml:space="preserve">279</w:t>
            </w:r>
          </w:p>
        </w:tc>
        <w:tc>
          <w:tcPr/>
          <w:p>
            <w:pPr>
              <w:pStyle w:val="Compact"/>
              <w:jc w:val="center"/>
            </w:pPr>
            <w:r>
              <w:t xml:space="preserve">558</w:t>
            </w:r>
          </w:p>
        </w:tc>
      </w:tr>
    </w:tbl>
    <w:p>
      <w:pPr>
        <w:pStyle w:val="BodyText"/>
      </w:pPr>
      <w:r>
        <w:rPr>
          <w:b/>
          <w:bCs/>
        </w:rPr>
        <w:t xml:space="preserve">AAGL alone is underpowered for subgroup analyses.</w:t>
      </w:r>
      <w:r>
        <w:t xml:space="preserve"> </w:t>
      </w:r>
      <w:r>
        <w:t xml:space="preserve">With ~90 abstracts/year × 11 years = ~990 total abstracts and 122 definite matches, AAGL alone cannot support two-proportion tests within subgroups (e.g., by year, by session type, by research category). Splitting 122 events into 4 research categories yields ~30 events per cell, providing approximately 32% power to detect a 7 pp difference — substantially below the 80% threshold recommended for confirmatory analyses.</w:t>
      </w:r>
    </w:p>
    <w:p>
      <w:pPr>
        <w:pStyle w:val="BodyText"/>
      </w:pPr>
      <w:r>
        <w:rPr>
          <w:b/>
          <w:bCs/>
        </w:rPr>
        <w:t xml:space="preserve">Combined AAGL + SMFM + SGO reaches adequate power within 3 years.</w:t>
      </w:r>
      <w:r>
        <w:t xml:space="preserve"> </w:t>
      </w:r>
      <w:r>
        <w:t xml:space="preserve">AAGL + SMFM + SGO contribute approximately 90 + 500 + 570 = 1,160 abstracts/year. At an assumed 14% pooled publication rate, this generates approximately 162 new confirmed publications per year. Within 3 years of combined data collection, the pooled dataset would contain ~3,480 abstracts and ~487 confirmed publications — sufficient for two-proportion z-tests between any two of the three societies at 80% power for a 5 pp difference, and for Cox model subgroup analyses with adequate event counts (&gt;50 per stratum) in all major subgroups (RCT vs. non-RCT, positive vs. negative results, US vs. international).</w:t>
      </w:r>
    </w:p>
    <w:p>
      <w:pPr>
        <w:pStyle w:val="BodyText"/>
      </w:pPr>
      <w:r>
        <w:rPr>
          <w:b/>
          <w:bCs/>
        </w:rPr>
        <w:t xml:space="preserve">Cox proportional hazards model power: event-count requirements.</w:t>
      </w:r>
      <w:r>
        <w:t xml:space="preserve"> </w:t>
      </w:r>
      <w:r>
        <w:t xml:space="preserve">For Cox model covariate effects, the rule of thumb is ≥10 events per predictor variable (EPP), with a minimum of 50 total events for stable hazard ratio estimation. The AAGL dataset with 122 definite matches over 11 years provides adequate power (EPP ≥ 10) for a model with up to 12 covariates — which matches the current model specification. However, for interaction terms (e.g., subspecialty × result positivity) at least 50 events per interaction cell are needed. AAGL alone (122 events total) cannot support such interactions. A combined 3-society dataset with ~487 events over 3 years would support Cox models with up to 6 interaction terms while maintaining EPP ≥ 10, enabling the first adequately powered cross-subspecialty time-to-publication analysis in OB/GYN.</w:t>
      </w:r>
    </w:p>
    <w:bookmarkEnd w:id="76"/>
    <w:bookmarkStart w:id="77" w:name="X770fba4056c5de83ce90628210006748e0949e3"/>
    <w:p>
      <w:pPr>
        <w:pStyle w:val="Heading3"/>
      </w:pPr>
      <w:r>
        <w:t xml:space="preserve">A11.7 Disambiguation Challenges by Society</w:t>
      </w:r>
    </w:p>
    <w:p>
      <w:pPr>
        <w:pStyle w:val="FirstParagraph"/>
      </w:pPr>
      <w:r>
        <w:t xml:space="preserve">Each society presents distinct challenges for the name disambiguation, gender inference, and identity resolution components of the pipeline. Understanding these challenges prospectively allows targeted solutions to be built into the ingestion layer rather than discovered post-hoc.</w:t>
      </w:r>
    </w:p>
    <w:p>
      <w:pPr>
        <w:pStyle w:val="BodyText"/>
      </w:pPr>
      <w:r>
        <w:rPr>
          <w:b/>
          <w:bCs/>
        </w:rPr>
        <w:t xml:space="preserve">AAGL.</w:t>
      </w:r>
      <w:r>
        <w:t xml:space="preserve"> </w:t>
      </w:r>
      <w:r>
        <w:t xml:space="preserve">The primary and most consequential challenge is initials-only first names (e.g.,</w:t>
      </w:r>
      <w:r>
        <w:t xml:space="preserve"> </w:t>
      </w:r>
      <w:r>
        <w:t xml:space="preserve">“R.S. Guido”</w:t>
      </w:r>
      <w:r>
        <w:t xml:space="preserve">). This single feature limits ORCID linkage to 15.8%, disables exact-name NPI matching for 84% of US authors, and reduces genderize.io inference accuracy. No other society in the candidate set has this limitation. The recommended mitigation — cross-referencing confirmed publications to retrieve full author names from PubMed XML — recovers full names for confirmed matches but leaves unmatched abstracts with initials only.</w:t>
      </w:r>
    </w:p>
    <w:p>
      <w:pPr>
        <w:pStyle w:val="BodyText"/>
      </w:pPr>
      <w:r>
        <w:rPr>
          <w:b/>
          <w:bCs/>
        </w:rPr>
        <w:t xml:space="preserve">SMFM.</w:t>
      </w:r>
      <w:r>
        <w:t xml:space="preserve"> </w:t>
      </w:r>
      <w:r>
        <w:t xml:space="preserve">The MFM community has a higher proportion of international presenters than MIGS (reflecting MFM’s broader geographic scope in high-risk obstetrics). Authors with Hebrew, Arabic, Chinese, Korean, and South Asian names present two challenges: (1) genderize.io has lower accuracy for non-Western names (reported coverage 60–75% vs. &gt;90% for Western European names); and (2) multi-character transliteration variants (e.g.,</w:t>
      </w:r>
      <w:r>
        <w:t xml:space="preserve"> </w:t>
      </w:r>
      <w:r>
        <w:t xml:space="preserve">“Weissman”</w:t>
      </w:r>
      <w:r>
        <w:t xml:space="preserve"> </w:t>
      </w:r>
      <w:r>
        <w:t xml:space="preserve">vs. </w:t>
      </w:r>
      <w:r>
        <w:t xml:space="preserve">“Weisman”</w:t>
      </w:r>
      <w:r>
        <w:t xml:space="preserve">) increase false-negative rates in PubMed author-name matching. The recommended mitigation is applying Unicode normalization before string matching and using ORCID-linked affiliations to anchor transliteration variants.</w:t>
      </w:r>
    </w:p>
    <w:p>
      <w:pPr>
        <w:pStyle w:val="BodyText"/>
      </w:pPr>
      <w:r>
        <w:rPr>
          <w:b/>
          <w:bCs/>
        </w:rPr>
        <w:t xml:space="preserve">SGO.</w:t>
      </w:r>
      <w:r>
        <w:t xml:space="preserve"> </w:t>
      </w:r>
      <w:r>
        <w:t xml:space="preserve">Gynecologic oncology fellows are disproportionately first authors at SGO, reflecting the mentorship structure of oncology training. Fellows who present in year 1 of fellowship may be attending physicians by year 3 (when the abstract most likely converts to a publication), meaning their NPI affiliation state changes between abstract submission and paper publication. This creates a temporal mismatch in state-level career-stage analyses. The mitigation is recording the abstract-submission year as the reference year for career-stage determination, not the publication year.</w:t>
      </w:r>
    </w:p>
    <w:p>
      <w:pPr>
        <w:pStyle w:val="BodyText"/>
      </w:pPr>
      <w:r>
        <w:rPr>
          <w:b/>
          <w:bCs/>
        </w:rPr>
        <w:t xml:space="preserve">ASRM.</w:t>
      </w:r>
      <w:r>
        <w:t xml:space="preserve"> </w:t>
      </w:r>
      <w:r>
        <w:t xml:space="preserve">ASRM abstracts include presentations by embryologists, andrologists, reproductive biologists, and PhD-level researchers who do not hold MD degrees and therefore do not appear in the ABOG NPI pool. An estimated 20–30% of ASRM first authors may be non-physicians, for whom the NPI matching component is not applicable. Affiliation text parsing (detecting</w:t>
      </w:r>
      <w:r>
        <w:t xml:space="preserve"> </w:t>
      </w:r>
      <w:r>
        <w:t xml:space="preserve">“PhD,”</w:t>
      </w:r>
      <w:r>
        <w:t xml:space="preserve"> </w:t>
      </w:r>
      <w:r>
        <w:t xml:space="preserve">“HCLD,”</w:t>
      </w:r>
      <w:r>
        <w:t xml:space="preserve"> </w:t>
      </w:r>
      <w:r>
        <w:t xml:space="preserve">“MS”</w:t>
      </w:r>
      <w:r>
        <w:t xml:space="preserve"> </w:t>
      </w:r>
      <w:r>
        <w:t xml:space="preserve">in credentials, or</w:t>
      </w:r>
      <w:r>
        <w:t xml:space="preserve"> </w:t>
      </w:r>
      <w:r>
        <w:t xml:space="preserve">“laboratory”</w:t>
      </w:r>
      <w:r>
        <w:t xml:space="preserve"> </w:t>
      </w:r>
      <w:r>
        <w:t xml:space="preserve">in institutional title) should flag non-physician authors before NPI matching to avoid spurious low-confidence matches.</w:t>
      </w:r>
    </w:p>
    <w:p>
      <w:pPr>
        <w:pStyle w:val="BodyText"/>
      </w:pPr>
      <w:r>
        <w:rPr>
          <w:b/>
          <w:bCs/>
        </w:rPr>
        <w:t xml:space="preserve">ACOG.</w:t>
      </w:r>
      <w:r>
        <w:t xml:space="preserve"> </w:t>
      </w:r>
      <w:r>
        <w:t xml:space="preserve">ACOG is the largest and most heterogeneous society, encompassing community general obstetrician-gynecologists, academic specialists, and residents presenting case reports. General OB/GYN practitioners are harder to NPI-match than subspecialists because (a) they outnumber subspecialists in the ABOG pool by approximately 3:1, increasing name collision probability, and (b) they are less likely to have institutional affiliation strings that disambiguate between similarly-named physicians in the same specialty. The MIGS subspecialty bonus used in the AAGL NPI scoring model should be disabled for ACOG and replaced with a generalist-aware prior.</w:t>
      </w:r>
    </w:p>
    <w:p>
      <w:pPr>
        <w:pStyle w:val="BodyText"/>
      </w:pPr>
      <w:r>
        <w:rPr>
          <w:b/>
          <w:bCs/>
        </w:rPr>
        <w:t xml:space="preserve">NASPAG.</w:t>
      </w:r>
      <w:r>
        <w:t xml:space="preserve"> </w:t>
      </w:r>
      <w:r>
        <w:t xml:space="preserve">The pediatric and adolescent gynecology community is small (~1,200 members). Many authors present at multiple annual meetings over their careers, creating an unusual opportunity for longitudinal author-level analysis within a single society. With only ~35 abstracts/year, repeat-presenter rates are high enough that a dedicated author-deduplication step (merging the same individual’s presentations across years) would be scientifically valuable and technically feasible. This is not implemented in the current AAGL pipeline, where repeat presenters are treated independently.</w:t>
      </w:r>
    </w:p>
    <w:p>
      <w:pPr>
        <w:pStyle w:val="BodyText"/>
      </w:pPr>
      <w:r>
        <w:rPr>
          <w:b/>
          <w:bCs/>
        </w:rPr>
        <w:t xml:space="preserve">SFP.</w:t>
      </w:r>
      <w:r>
        <w:t xml:space="preserve"> </w:t>
      </w:r>
      <w:r>
        <w:t xml:space="preserve">The family planning community includes a notable proportion of non-OB/GYN investigators: epidemiologists, public health researchers, social scientists, and family medicine physicians who present on contraception access, abortion policy, and reproductive health disparities. These authors do not hold OB/GYN board certification and will not appear in the ABOG NPI pool. Additionally, SFP publications may appear in</w:t>
      </w:r>
      <w:r>
        <w:t xml:space="preserve"> </w:t>
      </w:r>
      <w:r>
        <w:rPr>
          <w:i/>
          <w:iCs/>
        </w:rPr>
        <w:t xml:space="preserve">Perspectives on Sexual and Reproductive Health</w:t>
      </w:r>
      <w:r>
        <w:t xml:space="preserve">,</w:t>
      </w:r>
      <w:r>
        <w:t xml:space="preserve"> </w:t>
      </w:r>
      <w:r>
        <w:rPr>
          <w:i/>
          <w:iCs/>
        </w:rPr>
        <w:t xml:space="preserve">Contraception</w:t>
      </w:r>
      <w:r>
        <w:t xml:space="preserve">,</w:t>
      </w:r>
      <w:r>
        <w:t xml:space="preserve"> </w:t>
      </w:r>
      <w:r>
        <w:rPr>
          <w:i/>
          <w:iCs/>
        </w:rPr>
        <w:t xml:space="preserve">American Journal of Public Health</w:t>
      </w:r>
      <w:r>
        <w:t xml:space="preserve">, and other non-OB/GYN journals not captured by the 12-journal relevance scoring list in the current pipeline. Expanding the journal relevance list is recommended before applying the pipeline to SFP.</w:t>
      </w:r>
    </w:p>
    <w:bookmarkEnd w:id="77"/>
    <w:bookmarkStart w:id="78" w:name="X9d2c14ea718c3f2dfd81b4e56bef96d177be14e"/>
    <w:p>
      <w:pPr>
        <w:pStyle w:val="Heading3"/>
      </w:pPr>
      <w:r>
        <w:t xml:space="preserve">A11.8 Recommended Implementation Sequence</w:t>
      </w:r>
    </w:p>
    <w:p>
      <w:pPr>
        <w:pStyle w:val="FirstParagraph"/>
      </w:pPr>
      <w:r>
        <w:t xml:space="preserve">The following phased schedule balances scientific priority, engineering complexity, and data volume to ensure each new society’s data can be validated against AAGL results before committing to the next expansion.</w:t>
      </w:r>
    </w:p>
    <w:p>
      <w:pPr>
        <w:pStyle w:val="BodyText"/>
      </w:pPr>
      <w:r>
        <w:rPr>
          <w:b/>
          <w:bCs/>
        </w:rPr>
        <w:t xml:space="preserve">Phase 1 (Months 1–3): SMFM.</w:t>
      </w:r>
      <w:r>
        <w:t xml:space="preserve"> </w:t>
      </w:r>
      <w:r>
        <w:t xml:space="preserve">SMFM is the highest-priority first expansion because it shares the ScienceDirect platform with AAGL (zero new platform engineering), provides the strongest scientific contrast (maternal-fetal medicine vs. minimally invasive gynecologic surgery), and contributes the largest additional abstract volume of any single-platform society (~500/year). Full first names and affiliations are available at ingestion. The AJOG supplement URL pattern is confirmed across 2013–2023. The primary implementation tasks are: update journal DOI prefix and URL pattern in</w:t>
      </w:r>
      <w:r>
        <w:t xml:space="preserve"> </w:t>
      </w:r>
      <w:r>
        <w:rPr>
          <w:rStyle w:val="VerbatimChar"/>
        </w:rPr>
        <w:t xml:space="preserve">01b_parse_web.R</w:t>
      </w:r>
      <w:r>
        <w:t xml:space="preserve">; adjust NPI subspecialty filter to MFM; update journal relevance list to include AJOG,</w:t>
      </w:r>
      <w:r>
        <w:t xml:space="preserve"> </w:t>
      </w:r>
      <w:r>
        <w:rPr>
          <w:i/>
          <w:iCs/>
        </w:rPr>
        <w:t xml:space="preserve">Prenatal Diagnosis</w:t>
      </w:r>
      <w:r>
        <w:t xml:space="preserve">, and</w:t>
      </w:r>
      <w:r>
        <w:t xml:space="preserve"> </w:t>
      </w:r>
      <w:r>
        <w:rPr>
          <w:i/>
          <w:iCs/>
        </w:rPr>
        <w:t xml:space="preserve">Ultrasound in Obstetrics &amp; Gynecology</w:t>
      </w:r>
      <w:r>
        <w:t xml:space="preserve">; validate against a 50-abstract manually verified gold standard.</w:t>
      </w:r>
    </w:p>
    <w:p>
      <w:pPr>
        <w:pStyle w:val="BodyText"/>
      </w:pPr>
      <w:r>
        <w:rPr>
          <w:b/>
          <w:bCs/>
        </w:rPr>
        <w:t xml:space="preserve">Phase 2 (Months 4–6): SGO.</w:t>
      </w:r>
      <w:r>
        <w:t xml:space="preserve"> </w:t>
      </w:r>
      <w:r>
        <w:t xml:space="preserve">SGO adds the gynecologic oncology perspective with ~570 abstracts/year on ScienceDirect. Implementation is identical to SMFM except for the 2013 data gap (no dedicated supplement in</w:t>
      </w:r>
      <w:r>
        <w:t xml:space="preserve"> </w:t>
      </w:r>
      <w:r>
        <w:rPr>
          <w:i/>
          <w:iCs/>
        </w:rPr>
        <w:t xml:space="preserve">Gynecologic Oncology</w:t>
      </w:r>
      <w:r>
        <w:t xml:space="preserve"> </w:t>
      </w:r>
      <w:r>
        <w:t xml:space="preserve">Vol 129) and the need to expand the journal relevance list to oncology-specific outlets (</w:t>
      </w:r>
      <w:r>
        <w:rPr>
          <w:i/>
          <w:iCs/>
        </w:rPr>
        <w:t xml:space="preserve">Cancer</w:t>
      </w:r>
      <w:r>
        <w:t xml:space="preserve">,</w:t>
      </w:r>
      <w:r>
        <w:t xml:space="preserve"> </w:t>
      </w:r>
      <w:r>
        <w:rPr>
          <w:i/>
          <w:iCs/>
        </w:rPr>
        <w:t xml:space="preserve">Journal of Clinical Oncology</w:t>
      </w:r>
      <w:r>
        <w:t xml:space="preserve">,</w:t>
      </w:r>
      <w:r>
        <w:t xml:space="preserve"> </w:t>
      </w:r>
      <w:r>
        <w:rPr>
          <w:i/>
          <w:iCs/>
        </w:rPr>
        <w:t xml:space="preserve">Gynecologic Oncology</w:t>
      </w:r>
      <w:r>
        <w:t xml:space="preserve">). The fellow-as-first-author challenge (described in A11.7) should be addressed by adding a career-stage temporal mismatch flag to the output CSV.</w:t>
      </w:r>
    </w:p>
    <w:p>
      <w:pPr>
        <w:pStyle w:val="BodyText"/>
      </w:pPr>
      <w:r>
        <w:rPr>
          <w:b/>
          <w:bCs/>
        </w:rPr>
        <w:t xml:space="preserve">Phase 3 (Months 7–9): NASPAG.</w:t>
      </w:r>
      <w:r>
        <w:t xml:space="preserve"> </w:t>
      </w:r>
      <w:r>
        <w:t xml:space="preserve">NASPAG completes the Elsevier/ScienceDirect implementation set at low volume (~35 abstracts/year). The small annual N means the full 2013–2023 dataset contains only ~385 abstracts — smaller than a single ASRM year — but the complete dataset can be processed in a single pipeline run. The longitudinal author-deduplication enhancement described in A11.7 should be implemented here, as NASPAG’s small, stable community makes it the ideal test case.</w:t>
      </w:r>
    </w:p>
    <w:p>
      <w:pPr>
        <w:pStyle w:val="BodyText"/>
      </w:pPr>
      <w:r>
        <w:rPr>
          <w:b/>
          <w:bCs/>
        </w:rPr>
        <w:t xml:space="preserve">Phase 4 (Months 10–12): ASRM.</w:t>
      </w:r>
      <w:r>
        <w:t xml:space="preserve"> </w:t>
      </w:r>
      <w:r>
        <w:t xml:space="preserve">ASRM’s institutional authentication requirement for supplement browsing is the primary implementation obstacle. The recommended approach is to enumerate abstract DOIs from the CrossRef API (which does not require authentication:</w:t>
      </w:r>
      <w:r>
        <w:t xml:space="preserve"> </w:t>
      </w:r>
      <w:r>
        <w:rPr>
          <w:rStyle w:val="VerbatimChar"/>
        </w:rPr>
        <w:t xml:space="preserve">https://api.crossref.org/works?filter=issn:0015-0282,type:journal-article&amp;query={year}</w:t>
      </w:r>
      <w:r>
        <w:t xml:space="preserve">) and resolve individual DOIs via</w:t>
      </w:r>
      <w:r>
        <w:t xml:space="preserve"> </w:t>
      </w:r>
      <w:r>
        <w:rPr>
          <w:rStyle w:val="VerbatimChar"/>
        </w:rPr>
        <w:t xml:space="preserve">https://doi.org/10.1016/j.fertnstert.{YYYY}.{MM}.{NNN}</w:t>
      </w:r>
      <w:r>
        <w:t xml:space="preserve">, which resolves publicly even when the browse index requires auth. A non-physician-author detection flag should be added to the output schema before ASRM processing. With ~1,200 abstracts/year across 11 years, ASRM is the most computationally intensive society and should be run on a multi-core machine with</w:t>
      </w:r>
      <w:r>
        <w:t xml:space="preserve"> </w:t>
      </w:r>
      <w:r>
        <w:rPr>
          <w:rStyle w:val="VerbatimChar"/>
        </w:rPr>
        <w:t xml:space="preserve">furrr::future_map()</w:t>
      </w:r>
      <w:r>
        <w:t xml:space="preserve"> </w:t>
      </w:r>
      <w:r>
        <w:t xml:space="preserve">parallelization.</w:t>
      </w:r>
    </w:p>
    <w:p>
      <w:pPr>
        <w:pStyle w:val="BodyText"/>
      </w:pPr>
      <w:r>
        <w:rPr>
          <w:b/>
          <w:bCs/>
        </w:rPr>
        <w:t xml:space="preserve">Phase 5 (Year 2): LWW Societies — ACOG, CREOG/APGO, AUGS.</w:t>
      </w:r>
      <w:r>
        <w:t xml:space="preserve"> </w:t>
      </w:r>
      <w:r>
        <w:t xml:space="preserve">These three societies share the LWW platform and can be processed once a single LWW scraper is built. The scraper should handle: JavaScript-rendered TOC pagination (use</w:t>
      </w:r>
      <w:r>
        <w:t xml:space="preserve"> </w:t>
      </w:r>
      <w:r>
        <w:rPr>
          <w:rStyle w:val="VerbatimChar"/>
        </w:rPr>
        <w:t xml:space="preserve">httr2</w:t>
      </w:r>
      <w:r>
        <w:t xml:space="preserve"> </w:t>
      </w:r>
      <w:r>
        <w:t xml:space="preserve">with the LWW API endpoint or</w:t>
      </w:r>
      <w:r>
        <w:t xml:space="preserve"> </w:t>
      </w:r>
      <w:r>
        <w:rPr>
          <w:rStyle w:val="VerbatimChar"/>
        </w:rPr>
        <w:t xml:space="preserve">RSelenium</w:t>
      </w:r>
      <w:r>
        <w:t xml:space="preserve"> </w:t>
      </w:r>
      <w:r>
        <w:t xml:space="preserve">as fallback), LWW-specific HTML affiliation extraction (plain-text rather than JSON-blob), and hash-based DOI format (</w:t>
      </w:r>
      <w:r>
        <w:rPr>
          <w:rStyle w:val="VerbatimChar"/>
        </w:rPr>
        <w:t xml:space="preserve">10.1097/01.AOG.XXXXXXXX</w:t>
      </w:r>
      <w:r>
        <w:t xml:space="preserve">). Building and validating the scraper against the AUGS 2023 supplement (the most recent and structurally representative) is recommended before applying it to ACOG and CREOG/APGO. The three societies can then be processed in parallel.</w:t>
      </w:r>
    </w:p>
    <w:p>
      <w:pPr>
        <w:pStyle w:val="BodyText"/>
      </w:pPr>
      <w:r>
        <w:rPr>
          <w:b/>
          <w:bCs/>
        </w:rPr>
        <w:t xml:space="preserve">Defer: SFP and SASGOG.</w:t>
      </w:r>
      <w:r>
        <w:t xml:space="preserve"> </w:t>
      </w:r>
      <w:r>
        <w:t xml:space="preserve">SFP’s collection-level DOI model requires parsing full-text collection articles — a fundamentally different ingestion approach that should be tackled only after the volume societies (SMFM, SGO, ASRM) are validated. SASGOG lacks a journal, lacks DOIs, and lacks PubMed indexing; implementing the pipeline for SASGOG provides no DOI-chain search benefit and requires custom web scraping of a society website with unknown historical URL structure. SASGOG is deferred indefinitely unless the society introduces journal publication.</w:t>
      </w:r>
    </w:p>
    <w:bookmarkEnd w:id="78"/>
    <w:bookmarkStart w:id="79" w:name="X8be282f36c0076a3ef610b0435952eb5fb33bb5"/>
    <w:p>
      <w:pPr>
        <w:pStyle w:val="Heading3"/>
      </w:pPr>
      <w:r>
        <w:t xml:space="preserve">A11.9 Scientific Questions Enabled by Multi-Society Data</w:t>
      </w:r>
    </w:p>
    <w:p>
      <w:pPr>
        <w:pStyle w:val="FirstParagraph"/>
      </w:pPr>
      <w:r>
        <w:t xml:space="preserve">A fully assembled 10-society OB/GYN abstract-to-publication dataset would enable the following research questions, listed with expected effect sizes where empirical estimates exist in the literature and with the covariate structure available in the combined dataset.</w:t>
      </w:r>
    </w:p>
    <w:p>
      <w:pPr>
        <w:pStyle w:val="BodyText"/>
      </w:pPr>
      <w:r>
        <w:rPr>
          <w:b/>
          <w:bCs/>
        </w:rPr>
        <w:t xml:space="preserve">Hypothesis 1: Cross-subspecialty publication rate heterogeneity.</w:t>
      </w:r>
      <w:r>
        <w:t xml:space="preserve"> </w:t>
      </w:r>
      <w:r>
        <w:t xml:space="preserve">Publication rates at surgical subspecialty meetings (AAGL, AUGS, SGO) differ from those at medical/consultative subspecialty meetings (SMFM, ASRM) after controlling for study design and year.</w:t>
      </w:r>
      <w:r>
        <w:t xml:space="preserve"> </w:t>
      </w:r>
      <w:r>
        <w:rPr>
          <w:i/>
          <w:iCs/>
        </w:rPr>
        <w:t xml:space="preserve">Expected effect size:</w:t>
      </w:r>
      <w:r>
        <w:t xml:space="preserve"> </w:t>
      </w:r>
      <w:r>
        <w:t xml:space="preserve">Based on single-society studies, surgical meeting rates range 15–30% (SGO: Salani et al. 2008, 29%; AAGL current: 11.4%) and medical meeting rates range 20–40% (SMFM: Dunbar et al. 2022). A 10–15 pp difference between surgical and medical meetings is plausible.</w:t>
      </w:r>
      <w:r>
        <w:t xml:space="preserve"> </w:t>
      </w:r>
      <w:r>
        <w:rPr>
          <w:i/>
          <w:iCs/>
        </w:rPr>
        <w:t xml:space="preserve">Available covariates:</w:t>
      </w:r>
      <w:r>
        <w:t xml:space="preserve"> </w:t>
      </w:r>
      <w:r>
        <w:t xml:space="preserve">society, subspecialty, year, RCT status, result positivity, first-author gender, career stage, US vs. international affiliation.</w:t>
      </w:r>
    </w:p>
    <w:p>
      <w:pPr>
        <w:pStyle w:val="BodyText"/>
      </w:pPr>
      <w:r>
        <w:rPr>
          <w:b/>
          <w:bCs/>
        </w:rPr>
        <w:t xml:space="preserve">Hypothesis 2: The AAGL initials-only effect.</w:t>
      </w:r>
      <w:r>
        <w:t xml:space="preserve"> </w:t>
      </w:r>
      <w:r>
        <w:t xml:space="preserve">Controlling for all other factors, AAGL abstracts will show lower confirmed publication rates than structurally similar Elsevier societies (SMFM, SGO, NASPAG) — not because MIGS researchers publish less, but because the pipeline’s name-based search is less effective with initials. This methodological artifact can be estimated directly by comparing AAGL match rates for abstracts with confirmed publications (where full names can be recovered from PubMed) vs. abstract-only records.</w:t>
      </w:r>
      <w:r>
        <w:t xml:space="preserve"> </w:t>
      </w:r>
      <w:r>
        <w:rPr>
          <w:i/>
          <w:iCs/>
        </w:rPr>
        <w:t xml:space="preserve">Expected magnitude:</w:t>
      </w:r>
      <w:r>
        <w:t xml:space="preserve"> </w:t>
      </w:r>
      <w:r>
        <w:t xml:space="preserve">2–5 pp rate undercount attributable to initials-only limitation.</w:t>
      </w:r>
    </w:p>
    <w:p>
      <w:pPr>
        <w:pStyle w:val="BodyText"/>
      </w:pPr>
      <w:r>
        <w:rPr>
          <w:b/>
          <w:bCs/>
        </w:rPr>
        <w:t xml:space="preserve">Hypothesis 3: Publication bias is consistent across subspecialties.</w:t>
      </w:r>
      <w:r>
        <w:t xml:space="preserve"> </w:t>
      </w:r>
      <w:r>
        <w:t xml:space="preserve">The positive result publication advantage observed in AAGL (HR for positive results in Cox model: direction and magnitude to be confirmed from the current analysis) is replicated across societies. If the hazard ratio for positive-result abstracts is consistent across subspecialties (I² &lt; 25% in random-effects meta-analysis across societies), this supports a domain-general publication bias mechanism rather than subspecialty-specific editorial norms.</w:t>
      </w:r>
      <w:r>
        <w:t xml:space="preserve"> </w:t>
      </w:r>
      <w:r>
        <w:rPr>
          <w:i/>
          <w:iCs/>
        </w:rPr>
        <w:t xml:space="preserve">Covariate:</w:t>
      </w:r>
      <w:r>
        <w:t xml:space="preserve"> </w:t>
      </w:r>
      <w:r>
        <w:rPr>
          <w:rStyle w:val="VerbatimChar"/>
        </w:rPr>
        <w:t xml:space="preserve">result_positivity</w:t>
      </w:r>
      <w:r>
        <w:t xml:space="preserve"> </w:t>
      </w:r>
      <w:r>
        <w:t xml:space="preserve">(already extracted by NLP in the current pipeline).</w:t>
      </w:r>
    </w:p>
    <w:p>
      <w:pPr>
        <w:pStyle w:val="BodyText"/>
      </w:pPr>
      <w:r>
        <w:rPr>
          <w:b/>
          <w:bCs/>
        </w:rPr>
        <w:t xml:space="preserve">Hypothesis 4: Gender parity trends differ by subspecialty.</w:t>
      </w:r>
      <w:r>
        <w:t xml:space="preserve"> </w:t>
      </w:r>
      <w:r>
        <w:t xml:space="preserve">SMFM and NASPAG — the two OB/GYN subspecialties with the highest proportion of women practitioners — will show earlier gender parity in first authorship than AAGL (historically male-dominated MIGS) or SGO (historically male-dominated surgical oncology).</w:t>
      </w:r>
      <w:r>
        <w:t xml:space="preserve"> </w:t>
      </w:r>
      <w:r>
        <w:rPr>
          <w:i/>
          <w:iCs/>
        </w:rPr>
        <w:t xml:space="preserve">Available covariates:</w:t>
      </w:r>
      <w:r>
        <w:t xml:space="preserve"> </w:t>
      </w:r>
      <w:r>
        <w:rPr>
          <w:rStyle w:val="VerbatimChar"/>
        </w:rPr>
        <w:t xml:space="preserve">gender_unified</w:t>
      </w:r>
      <w:r>
        <w:t xml:space="preserve"> </w:t>
      </w:r>
      <w:r>
        <w:t xml:space="preserve">(genderize.io),</w:t>
      </w:r>
      <w:r>
        <w:t xml:space="preserve"> </w:t>
      </w:r>
      <w:r>
        <w:rPr>
          <w:rStyle w:val="VerbatimChar"/>
        </w:rPr>
        <w:t xml:space="preserve">congress_year</w:t>
      </w:r>
      <w:r>
        <w:t xml:space="preserve">, society.</w:t>
      </w:r>
      <w:r>
        <w:t xml:space="preserve"> </w:t>
      </w:r>
      <w:r>
        <w:rPr>
          <w:i/>
          <w:iCs/>
        </w:rPr>
        <w:t xml:space="preserve">Expected pattern based on prior literature:</w:t>
      </w:r>
      <w:r>
        <w:t xml:space="preserve"> </w:t>
      </w:r>
      <w:r>
        <w:t xml:space="preserve">2–4% annual increase in female first-authorship in surgical subspecialties (Rao et al. 2021); parity already achieved in SMFM by 2015 (Bhatt et al. 2019 reported 55% female at SMFM meetings).</w:t>
      </w:r>
    </w:p>
    <w:p>
      <w:pPr>
        <w:pStyle w:val="BodyText"/>
      </w:pPr>
      <w:r>
        <w:rPr>
          <w:b/>
          <w:bCs/>
        </w:rPr>
        <w:t xml:space="preserve">Hypothesis 5: RCT design advantage is attenuated in educational research.</w:t>
      </w:r>
      <w:r>
        <w:t xml:space="preserve"> </w:t>
      </w:r>
      <w:r>
        <w:t xml:space="preserve">The AAGL Cox model shows a hazard ratio of 2.36 for RCT vs. non-RCT abstracts — a strong design advantage for the gold-standard study type. In CREOG/APGO data, where the majority of presentations are simulation studies and curriculum evaluations, the RCT is less culturally normative. The RCT hazard ratio in CREOG/APGO data is expected to be smaller (projected HR 1.4–1.8) or non-significant, reflecting the different publication norms of medical education research.</w:t>
      </w:r>
    </w:p>
    <w:p>
      <w:pPr>
        <w:pStyle w:val="BodyText"/>
      </w:pPr>
      <w:r>
        <w:rPr>
          <w:b/>
          <w:bCs/>
        </w:rPr>
        <w:t xml:space="preserve">Combined dataset covariate matrix.</w:t>
      </w:r>
      <w:r>
        <w:t xml:space="preserve"> </w:t>
      </w:r>
      <w:r>
        <w:t xml:space="preserve">A fully assembled multi-society dataset would contain the following covariates for each abstract:</w:t>
      </w:r>
      <w:r>
        <w:t xml:space="preserve"> </w:t>
      </w:r>
      <w:r>
        <w:rPr>
          <w:rStyle w:val="VerbatimChar"/>
        </w:rPr>
        <w:t xml:space="preserve">society</w:t>
      </w:r>
      <w:r>
        <w:t xml:space="preserve"> </w:t>
      </w:r>
      <w:r>
        <w:t xml:space="preserve">(10-level factor),</w:t>
      </w:r>
      <w:r>
        <w:t xml:space="preserve"> </w:t>
      </w:r>
      <w:r>
        <w:rPr>
          <w:rStyle w:val="VerbatimChar"/>
        </w:rPr>
        <w:t xml:space="preserve">platform</w:t>
      </w:r>
      <w:r>
        <w:t xml:space="preserve"> </w:t>
      </w:r>
      <w:r>
        <w:t xml:space="preserve">(ScienceDirect/LWW/web),</w:t>
      </w:r>
      <w:r>
        <w:t xml:space="preserve"> </w:t>
      </w:r>
      <w:r>
        <w:rPr>
          <w:rStyle w:val="VerbatimChar"/>
        </w:rPr>
        <w:t xml:space="preserve">doi_type</w:t>
      </w:r>
      <w:r>
        <w:t xml:space="preserve"> </w:t>
      </w:r>
      <w:r>
        <w:t xml:space="preserve">(individual/collection/none),</w:t>
      </w:r>
      <w:r>
        <w:t xml:space="preserve"> </w:t>
      </w:r>
      <w:r>
        <w:rPr>
          <w:rStyle w:val="VerbatimChar"/>
        </w:rPr>
        <w:t xml:space="preserve">congress_year</w:t>
      </w:r>
      <w:r>
        <w:t xml:space="preserve"> </w:t>
      </w:r>
      <w:r>
        <w:t xml:space="preserve">(2012–2023),</w:t>
      </w:r>
      <w:r>
        <w:t xml:space="preserve"> </w:t>
      </w:r>
      <w:r>
        <w:rPr>
          <w:rStyle w:val="VerbatimChar"/>
        </w:rPr>
        <w:t xml:space="preserve">n_abstracts_that_year</w:t>
      </w:r>
      <w:r>
        <w:t xml:space="preserve"> </w:t>
      </w:r>
      <w:r>
        <w:t xml:space="preserve">(society-year abstract volume),</w:t>
      </w:r>
      <w:r>
        <w:t xml:space="preserve"> </w:t>
      </w:r>
      <w:r>
        <w:rPr>
          <w:rStyle w:val="VerbatimChar"/>
        </w:rPr>
        <w:t xml:space="preserve">first_author_full_name_available</w:t>
      </w:r>
      <w:r>
        <w:t xml:space="preserve"> </w:t>
      </w:r>
      <w:r>
        <w:t xml:space="preserve">(logical),</w:t>
      </w:r>
      <w:r>
        <w:t xml:space="preserve"> </w:t>
      </w:r>
      <w:r>
        <w:rPr>
          <w:rStyle w:val="VerbatimChar"/>
        </w:rPr>
        <w:t xml:space="preserve">result_positivity</w:t>
      </w:r>
      <w:r>
        <w:t xml:space="preserve">,</w:t>
      </w:r>
      <w:r>
        <w:t xml:space="preserve"> </w:t>
      </w:r>
      <w:r>
        <w:rPr>
          <w:rStyle w:val="VerbatimChar"/>
        </w:rPr>
        <w:t xml:space="preserve">is_rct</w:t>
      </w:r>
      <w:r>
        <w:t xml:space="preserve">,</w:t>
      </w:r>
      <w:r>
        <w:t xml:space="preserve"> </w:t>
      </w:r>
      <w:r>
        <w:rPr>
          <w:rStyle w:val="VerbatimChar"/>
        </w:rPr>
        <w:t xml:space="preserve">study_design</w:t>
      </w:r>
      <w:r>
        <w:t xml:space="preserve">,</w:t>
      </w:r>
      <w:r>
        <w:t xml:space="preserve"> </w:t>
      </w:r>
      <w:r>
        <w:rPr>
          <w:rStyle w:val="VerbatimChar"/>
        </w:rPr>
        <w:t xml:space="preserve">research_category</w:t>
      </w:r>
      <w:r>
        <w:t xml:space="preserve">,</w:t>
      </w:r>
      <w:r>
        <w:t xml:space="preserve"> </w:t>
      </w:r>
      <w:r>
        <w:rPr>
          <w:rStyle w:val="VerbatimChar"/>
        </w:rPr>
        <w:t xml:space="preserve">gender_unified</w:t>
      </w:r>
      <w:r>
        <w:t xml:space="preserve">,</w:t>
      </w:r>
      <w:r>
        <w:t xml:space="preserve"> </w:t>
      </w:r>
      <w:r>
        <w:rPr>
          <w:rStyle w:val="VerbatimChar"/>
        </w:rPr>
        <w:t xml:space="preserve">first_author_country</w:t>
      </w:r>
      <w:r>
        <w:t xml:space="preserve">,</w:t>
      </w:r>
      <w:r>
        <w:t xml:space="preserve"> </w:t>
      </w:r>
      <w:r>
        <w:rPr>
          <w:rStyle w:val="VerbatimChar"/>
        </w:rPr>
        <w:t xml:space="preserve">first_author_career_stage</w:t>
      </w:r>
      <w:r>
        <w:t xml:space="preserve">,</w:t>
      </w:r>
      <w:r>
        <w:t xml:space="preserve"> </w:t>
      </w:r>
      <w:r>
        <w:rPr>
          <w:rStyle w:val="VerbatimChar"/>
        </w:rPr>
        <w:t xml:space="preserve">practice_type</w:t>
      </w:r>
      <w:r>
        <w:t xml:space="preserve">,</w:t>
      </w:r>
      <w:r>
        <w:t xml:space="preserve"> </w:t>
      </w:r>
      <w:r>
        <w:rPr>
          <w:rStyle w:val="VerbatimChar"/>
        </w:rPr>
        <w:t xml:space="preserve">subspecialty_npi</w:t>
      </w:r>
      <w:r>
        <w:t xml:space="preserve">,</w:t>
      </w:r>
      <w:r>
        <w:t xml:space="preserve"> </w:t>
      </w:r>
      <w:r>
        <w:rPr>
          <w:rStyle w:val="VerbatimChar"/>
        </w:rPr>
        <w:t xml:space="preserve">has_industry_funding</w:t>
      </w:r>
      <w:r>
        <w:t xml:space="preserve">,</w:t>
      </w:r>
      <w:r>
        <w:t xml:space="preserve"> </w:t>
      </w:r>
      <w:r>
        <w:rPr>
          <w:rStyle w:val="VerbatimChar"/>
        </w:rPr>
        <w:t xml:space="preserve">has_trial_registration</w:t>
      </w:r>
      <w:r>
        <w:t xml:space="preserve">, and all matching-quality flags (</w:t>
      </w:r>
      <w:r>
        <w:rPr>
          <w:rStyle w:val="VerbatimChar"/>
        </w:rPr>
        <w:t xml:space="preserve">classification</w:t>
      </w:r>
      <w:r>
        <w:t xml:space="preserve">,</w:t>
      </w:r>
      <w:r>
        <w:t xml:space="preserve"> </w:t>
      </w:r>
      <w:r>
        <w:rPr>
          <w:rStyle w:val="VerbatimChar"/>
        </w:rPr>
        <w:t xml:space="preserve">best_score</w:t>
      </w:r>
      <w:r>
        <w:t xml:space="preserve">,</w:t>
      </w:r>
      <w:r>
        <w:t xml:space="preserve"> </w:t>
      </w:r>
      <w:r>
        <w:rPr>
          <w:rStyle w:val="VerbatimChar"/>
        </w:rPr>
        <w:t xml:space="preserve">n_candidates</w:t>
      </w:r>
      <w:r>
        <w:t xml:space="preserve">,</w:t>
      </w:r>
      <w:r>
        <w:t xml:space="preserve"> </w:t>
      </w:r>
      <w:r>
        <w:rPr>
          <w:rStyle w:val="VerbatimChar"/>
        </w:rPr>
        <w:t xml:space="preserve">has_tie</w:t>
      </w:r>
      <w:r>
        <w:t xml:space="preserve">). This covariate richness supports multi-level modeling with society as the clustering unit and abstract-year as the within-cluster observation.</w:t>
      </w:r>
    </w:p>
    <w:bookmarkEnd w:id="79"/>
    <w:bookmarkStart w:id="92" w:name="X5adcebed53402b0a470dee944c93ca36bc7dae6"/>
    <w:p>
      <w:pPr>
        <w:pStyle w:val="Heading3"/>
      </w:pPr>
      <w:r>
        <w:t xml:space="preserve">A11.10 SMFM Abstract Supplement URLs (2013–2023)</w:t>
      </w:r>
    </w:p>
    <w:p>
      <w:pPr>
        <w:pStyle w:val="FirstParagraph"/>
      </w:pPr>
      <w:r>
        <w:t xml:space="preserve">SMFM (Society for Maternal-Fetal Medicine) annual meeting abstracts are published as supplement issues of the</w:t>
      </w:r>
      <w:r>
        <w:t xml:space="preserve"> </w:t>
      </w:r>
      <w:r>
        <w:rPr>
          <w:i/>
          <w:iCs/>
        </w:rPr>
        <w:t xml:space="preserve">American Journal of Obstetrics and Gynecology</w:t>
      </w:r>
      <w:r>
        <w:t xml:space="preserve"> </w:t>
      </w:r>
      <w:r>
        <w:t xml:space="preserve">(AJOG) on ScienceDirect (Elsevier). Unlike AUGS abstracts,</w:t>
      </w:r>
      <w:r>
        <w:t xml:space="preserve"> </w:t>
      </w:r>
      <w:r>
        <w:rPr>
          <w:b/>
          <w:bCs/>
        </w:rPr>
        <w:t xml:space="preserve">each individual SMFM abstract receives a unique DOI</w:t>
      </w:r>
      <w:r>
        <w:t xml:space="preserve"> </w:t>
      </w:r>
      <w:r>
        <w:t xml:space="preserve">following the pattern</w:t>
      </w:r>
      <w:r>
        <w:t xml:space="preserve"> </w:t>
      </w:r>
      <w:r>
        <w:rPr>
          <w:rStyle w:val="VerbatimChar"/>
        </w:rPr>
        <w:t xml:space="preserve">10.1016/j.ajog.YYYY.MM.NNN</w:t>
      </w:r>
      <w:r>
        <w:t xml:space="preserve">, where NNN increments sequentially within the supplement. This was confirmed by inspecting the 2023 supplement, where abstracts are numbered sequentially (…004, …005, …006, etc.).</w:t>
      </w:r>
    </w:p>
    <w:p>
      <w:pPr>
        <w:pStyle w:val="BodyText"/>
      </w:pPr>
      <w:r>
        <w:t xml:space="preserve">This is the same DOI structure as AAGL/JMIG abstracts, meaning the full pipeline — including DOI-chain search via OpenAlex, CrossRef metadata retrieval, and ScienceDirect HTML affiliation backfill — can be applied without modification.</w:t>
      </w:r>
    </w:p>
    <w:p>
      <w:pPr>
        <w:pStyle w:val="BodyText"/>
      </w:pPr>
      <w:r>
        <w:rPr>
          <w:b/>
          <w:bCs/>
        </w:rPr>
        <w:t xml:space="preserve">Note:</w:t>
      </w:r>
      <w:r>
        <w:t xml:space="preserve"> </w:t>
      </w:r>
      <w:r>
        <w:t xml:space="preserve">The 2021 supplement appears in Issue 2 rather than Issue 1, likely due to meeting rescheduling from the COVID-19 virtual format. All other years use Issue 1.</w:t>
      </w:r>
    </w:p>
    <w:tbl>
      <w:tblPr>
        <w:tblStyle w:val="Table"/>
        <w:tblW w:type="pct" w:w="5000"/>
        <w:tblLayout w:type="fixed"/>
        <w:tblLook w:firstRow="1" w:lastRow="0" w:firstColumn="0" w:lastColumn="0" w:noHBand="0" w:noVBand="0" w:val="0020"/>
      </w:tblPr>
      <w:tblGrid>
        <w:gridCol w:w="742"/>
        <w:gridCol w:w="1113"/>
        <w:gridCol w:w="1237"/>
        <w:gridCol w:w="866"/>
        <w:gridCol w:w="2351"/>
        <w:gridCol w:w="1608"/>
      </w:tblGrid>
      <w:tr>
        <w:trPr>
          <w:tblHeader w:val="on"/>
        </w:trPr>
        <w:tc>
          <w:tcPr/>
          <w:p>
            <w:pPr>
              <w:pStyle w:val="Compact"/>
            </w:pPr>
            <w:r>
              <w:t xml:space="preserve">Year</w:t>
            </w:r>
          </w:p>
        </w:tc>
        <w:tc>
          <w:tcPr/>
          <w:p>
            <w:pPr>
              <w:pStyle w:val="Compact"/>
            </w:pPr>
            <w:r>
              <w:t xml:space="preserve">Meeting</w:t>
            </w:r>
          </w:p>
        </w:tc>
        <w:tc>
          <w:tcPr/>
          <w:p>
            <w:pPr>
              <w:pStyle w:val="Compact"/>
            </w:pPr>
            <w:r>
              <w:t xml:space="preserve">AJOG Vol</w:t>
            </w:r>
          </w:p>
        </w:tc>
        <w:tc>
          <w:tcPr/>
          <w:p>
            <w:pPr>
              <w:pStyle w:val="Compact"/>
            </w:pPr>
            <w:r>
              <w:t xml:space="preserve">Issue</w:t>
            </w:r>
          </w:p>
        </w:tc>
        <w:tc>
          <w:tcPr/>
          <w:p>
            <w:pPr>
              <w:pStyle w:val="Compact"/>
            </w:pPr>
            <w:r>
              <w:t xml:space="preserve">ScienceDirect URL</w:t>
            </w:r>
          </w:p>
        </w:tc>
        <w:tc>
          <w:tcPr/>
          <w:p>
            <w:pPr>
              <w:pStyle w:val="Compact"/>
            </w:pPr>
            <w:r>
              <w:t xml:space="preserve">DOI Pattern</w:t>
            </w:r>
          </w:p>
        </w:tc>
      </w:tr>
      <w:tr>
        <w:tc>
          <w:tcPr/>
          <w:p>
            <w:pPr>
              <w:pStyle w:val="Compact"/>
            </w:pPr>
            <w:r>
              <w:t xml:space="preserve">2023</w:t>
            </w:r>
          </w:p>
        </w:tc>
        <w:tc>
          <w:tcPr/>
          <w:p>
            <w:pPr>
              <w:pStyle w:val="Compact"/>
            </w:pPr>
            <w:r>
              <w:t xml:space="preserve">43rd</w:t>
            </w:r>
          </w:p>
        </w:tc>
        <w:tc>
          <w:tcPr/>
          <w:p>
            <w:pPr>
              <w:pStyle w:val="Compact"/>
            </w:pPr>
            <w:r>
              <w:t xml:space="preserve">228</w:t>
            </w:r>
          </w:p>
        </w:tc>
        <w:tc>
          <w:tcPr/>
          <w:p>
            <w:pPr>
              <w:pStyle w:val="Compact"/>
            </w:pPr>
            <w:r>
              <w:t xml:space="preserve">1, Suppl S</w:t>
            </w:r>
          </w:p>
        </w:tc>
        <w:tc>
          <w:tcPr/>
          <w:p>
            <w:pPr>
              <w:pStyle w:val="Compact"/>
            </w:pPr>
            <w:hyperlink r:id="rId80">
              <w:r>
                <w:rPr>
                  <w:rStyle w:val="Hyperlink"/>
                </w:rPr>
                <w:t xml:space="preserve">https://www.sciencedirect.com/journal/american-journal-of-obstetrics-and-gynecology/vol/228/issue/1/suppl/S</w:t>
              </w:r>
            </w:hyperlink>
          </w:p>
        </w:tc>
        <w:tc>
          <w:tcPr/>
          <w:p>
            <w:pPr>
              <w:pStyle w:val="Compact"/>
            </w:pPr>
            <w:r>
              <w:t xml:space="preserve">10.1016/j.ajog.2022.11.xxx</w:t>
            </w:r>
          </w:p>
        </w:tc>
      </w:tr>
      <w:tr>
        <w:tc>
          <w:tcPr/>
          <w:p>
            <w:pPr>
              <w:pStyle w:val="Compact"/>
            </w:pPr>
            <w:r>
              <w:t xml:space="preserve">2022</w:t>
            </w:r>
          </w:p>
        </w:tc>
        <w:tc>
          <w:tcPr/>
          <w:p>
            <w:pPr>
              <w:pStyle w:val="Compact"/>
            </w:pPr>
            <w:r>
              <w:t xml:space="preserve">42nd</w:t>
            </w:r>
          </w:p>
        </w:tc>
        <w:tc>
          <w:tcPr/>
          <w:p>
            <w:pPr>
              <w:pStyle w:val="Compact"/>
            </w:pPr>
            <w:r>
              <w:t xml:space="preserve">226</w:t>
            </w:r>
          </w:p>
        </w:tc>
        <w:tc>
          <w:tcPr/>
          <w:p>
            <w:pPr>
              <w:pStyle w:val="Compact"/>
            </w:pPr>
            <w:r>
              <w:t xml:space="preserve">1, Suppl S</w:t>
            </w:r>
          </w:p>
        </w:tc>
        <w:tc>
          <w:tcPr/>
          <w:p>
            <w:pPr>
              <w:pStyle w:val="Compact"/>
            </w:pPr>
            <w:hyperlink r:id="rId81">
              <w:r>
                <w:rPr>
                  <w:rStyle w:val="Hyperlink"/>
                </w:rPr>
                <w:t xml:space="preserve">https://www.sciencedirect.com/journal/american-journal-of-obstetrics-and-gynecology/vol/226/issue/1/suppl/S</w:t>
              </w:r>
            </w:hyperlink>
          </w:p>
        </w:tc>
        <w:tc>
          <w:tcPr/>
          <w:p>
            <w:pPr>
              <w:pStyle w:val="Compact"/>
            </w:pPr>
            <w:r>
              <w:t xml:space="preserve">10.1016/j.ajog.2021.11.xxx</w:t>
            </w:r>
          </w:p>
        </w:tc>
      </w:tr>
      <w:tr>
        <w:tc>
          <w:tcPr/>
          <w:p>
            <w:pPr>
              <w:pStyle w:val="Compact"/>
            </w:pPr>
            <w:r>
              <w:t xml:space="preserve">2021</w:t>
            </w:r>
          </w:p>
        </w:tc>
        <w:tc>
          <w:tcPr/>
          <w:p>
            <w:pPr>
              <w:pStyle w:val="Compact"/>
            </w:pPr>
            <w:r>
              <w:t xml:space="preserve">41st</w:t>
            </w:r>
          </w:p>
        </w:tc>
        <w:tc>
          <w:tcPr/>
          <w:p>
            <w:pPr>
              <w:pStyle w:val="Compact"/>
            </w:pPr>
            <w:r>
              <w:t xml:space="preserve">224</w:t>
            </w:r>
          </w:p>
        </w:tc>
        <w:tc>
          <w:tcPr/>
          <w:p>
            <w:pPr>
              <w:pStyle w:val="Compact"/>
            </w:pPr>
            <w:r>
              <w:rPr>
                <w:b/>
                <w:bCs/>
              </w:rPr>
              <w:t xml:space="preserve">2</w:t>
            </w:r>
            <w:r>
              <w:t xml:space="preserve">, Suppl S</w:t>
            </w:r>
          </w:p>
        </w:tc>
        <w:tc>
          <w:tcPr/>
          <w:p>
            <w:pPr>
              <w:pStyle w:val="Compact"/>
            </w:pPr>
            <w:hyperlink r:id="rId82">
              <w:r>
                <w:rPr>
                  <w:rStyle w:val="Hyperlink"/>
                </w:rPr>
                <w:t xml:space="preserve">https://www.sciencedirect.com/journal/american-journal-of-obstetrics-and-gynecology/vol/224/issue/2/suppl/S</w:t>
              </w:r>
            </w:hyperlink>
          </w:p>
        </w:tc>
        <w:tc>
          <w:tcPr/>
          <w:p>
            <w:pPr>
              <w:pStyle w:val="Compact"/>
            </w:pPr>
            <w:r>
              <w:t xml:space="preserve">10.1016/j.ajog.2020.12.xxx</w:t>
            </w:r>
          </w:p>
        </w:tc>
      </w:tr>
      <w:tr>
        <w:tc>
          <w:tcPr/>
          <w:p>
            <w:pPr>
              <w:pStyle w:val="Compact"/>
            </w:pPr>
            <w:r>
              <w:t xml:space="preserve">2020</w:t>
            </w:r>
          </w:p>
        </w:tc>
        <w:tc>
          <w:tcPr/>
          <w:p>
            <w:pPr>
              <w:pStyle w:val="Compact"/>
            </w:pPr>
            <w:r>
              <w:t xml:space="preserve">40th</w:t>
            </w:r>
          </w:p>
        </w:tc>
        <w:tc>
          <w:tcPr/>
          <w:p>
            <w:pPr>
              <w:pStyle w:val="Compact"/>
            </w:pPr>
            <w:r>
              <w:t xml:space="preserve">222</w:t>
            </w:r>
          </w:p>
        </w:tc>
        <w:tc>
          <w:tcPr/>
          <w:p>
            <w:pPr>
              <w:pStyle w:val="Compact"/>
            </w:pPr>
            <w:r>
              <w:t xml:space="preserve">1, Suppl S</w:t>
            </w:r>
          </w:p>
        </w:tc>
        <w:tc>
          <w:tcPr/>
          <w:p>
            <w:pPr>
              <w:pStyle w:val="Compact"/>
            </w:pPr>
            <w:hyperlink r:id="rId83">
              <w:r>
                <w:rPr>
                  <w:rStyle w:val="Hyperlink"/>
                </w:rPr>
                <w:t xml:space="preserve">https://www.sciencedirect.com/journal/american-journal-of-obstetrics-and-gynecology/vol/222/issue/1/suppl/S</w:t>
              </w:r>
            </w:hyperlink>
          </w:p>
        </w:tc>
        <w:tc>
          <w:tcPr/>
          <w:p>
            <w:pPr>
              <w:pStyle w:val="Compact"/>
            </w:pPr>
            <w:r>
              <w:t xml:space="preserve">10.1016/j.ajog.2019.11.xxx</w:t>
            </w:r>
          </w:p>
        </w:tc>
      </w:tr>
      <w:tr>
        <w:tc>
          <w:tcPr/>
          <w:p>
            <w:pPr>
              <w:pStyle w:val="Compact"/>
            </w:pPr>
            <w:r>
              <w:t xml:space="preserve">2019</w:t>
            </w:r>
          </w:p>
        </w:tc>
        <w:tc>
          <w:tcPr/>
          <w:p>
            <w:pPr>
              <w:pStyle w:val="Compact"/>
            </w:pPr>
            <w:r>
              <w:t xml:space="preserve">39th</w:t>
            </w:r>
          </w:p>
        </w:tc>
        <w:tc>
          <w:tcPr/>
          <w:p>
            <w:pPr>
              <w:pStyle w:val="Compact"/>
            </w:pPr>
            <w:r>
              <w:t xml:space="preserve">220</w:t>
            </w:r>
          </w:p>
        </w:tc>
        <w:tc>
          <w:tcPr/>
          <w:p>
            <w:pPr>
              <w:pStyle w:val="Compact"/>
            </w:pPr>
            <w:r>
              <w:t xml:space="preserve">1, Suppl S</w:t>
            </w:r>
          </w:p>
        </w:tc>
        <w:tc>
          <w:tcPr/>
          <w:p>
            <w:pPr>
              <w:pStyle w:val="Compact"/>
            </w:pPr>
            <w:hyperlink r:id="rId84">
              <w:r>
                <w:rPr>
                  <w:rStyle w:val="Hyperlink"/>
                </w:rPr>
                <w:t xml:space="preserve">https://www.sciencedirect.com/journal/american-journal-of-obstetrics-and-gynecology/vol/220/issue/1/suppl/S</w:t>
              </w:r>
            </w:hyperlink>
          </w:p>
        </w:tc>
        <w:tc>
          <w:tcPr/>
          <w:p>
            <w:pPr>
              <w:pStyle w:val="Compact"/>
            </w:pPr>
            <w:r>
              <w:t xml:space="preserve">10.1016/j.ajog.2018.11.xxx</w:t>
            </w:r>
          </w:p>
        </w:tc>
      </w:tr>
      <w:tr>
        <w:tc>
          <w:tcPr/>
          <w:p>
            <w:pPr>
              <w:pStyle w:val="Compact"/>
            </w:pPr>
            <w:r>
              <w:t xml:space="preserve">2018</w:t>
            </w:r>
          </w:p>
        </w:tc>
        <w:tc>
          <w:tcPr/>
          <w:p>
            <w:pPr>
              <w:pStyle w:val="Compact"/>
            </w:pPr>
            <w:r>
              <w:t xml:space="preserve">38th</w:t>
            </w:r>
          </w:p>
        </w:tc>
        <w:tc>
          <w:tcPr/>
          <w:p>
            <w:pPr>
              <w:pStyle w:val="Compact"/>
            </w:pPr>
            <w:r>
              <w:t xml:space="preserve">218</w:t>
            </w:r>
          </w:p>
        </w:tc>
        <w:tc>
          <w:tcPr/>
          <w:p>
            <w:pPr>
              <w:pStyle w:val="Compact"/>
            </w:pPr>
            <w:r>
              <w:t xml:space="preserve">1, Suppl S</w:t>
            </w:r>
          </w:p>
        </w:tc>
        <w:tc>
          <w:tcPr/>
          <w:p>
            <w:pPr>
              <w:pStyle w:val="Compact"/>
            </w:pPr>
            <w:hyperlink r:id="rId85">
              <w:r>
                <w:rPr>
                  <w:rStyle w:val="Hyperlink"/>
                </w:rPr>
                <w:t xml:space="preserve">https://www.sciencedirect.com/journal/american-journal-of-obstetrics-and-gynecology/vol/218/issue/1/suppl/S</w:t>
              </w:r>
            </w:hyperlink>
          </w:p>
        </w:tc>
        <w:tc>
          <w:tcPr/>
          <w:p>
            <w:pPr>
              <w:pStyle w:val="Compact"/>
            </w:pPr>
            <w:r>
              <w:t xml:space="preserve">10.1016/j.ajog.2017.11.xxx</w:t>
            </w:r>
          </w:p>
        </w:tc>
      </w:tr>
      <w:tr>
        <w:tc>
          <w:tcPr/>
          <w:p>
            <w:pPr>
              <w:pStyle w:val="Compact"/>
            </w:pPr>
            <w:r>
              <w:t xml:space="preserve">2017</w:t>
            </w:r>
          </w:p>
        </w:tc>
        <w:tc>
          <w:tcPr/>
          <w:p>
            <w:pPr>
              <w:pStyle w:val="Compact"/>
            </w:pPr>
            <w:r>
              <w:t xml:space="preserve">37th</w:t>
            </w:r>
          </w:p>
        </w:tc>
        <w:tc>
          <w:tcPr/>
          <w:p>
            <w:pPr>
              <w:pStyle w:val="Compact"/>
            </w:pPr>
            <w:r>
              <w:t xml:space="preserve">216</w:t>
            </w:r>
          </w:p>
        </w:tc>
        <w:tc>
          <w:tcPr/>
          <w:p>
            <w:pPr>
              <w:pStyle w:val="Compact"/>
            </w:pPr>
            <w:r>
              <w:t xml:space="preserve">1, Suppl S</w:t>
            </w:r>
          </w:p>
        </w:tc>
        <w:tc>
          <w:tcPr/>
          <w:p>
            <w:pPr>
              <w:pStyle w:val="Compact"/>
            </w:pPr>
            <w:hyperlink r:id="rId86">
              <w:r>
                <w:rPr>
                  <w:rStyle w:val="Hyperlink"/>
                </w:rPr>
                <w:t xml:space="preserve">https://www.sciencedirect.com/journal/american-journal-of-obstetrics-and-gynecology/vol/216/issue/1/suppl/S</w:t>
              </w:r>
            </w:hyperlink>
          </w:p>
        </w:tc>
        <w:tc>
          <w:tcPr/>
          <w:p>
            <w:pPr>
              <w:pStyle w:val="Compact"/>
            </w:pPr>
            <w:r>
              <w:t xml:space="preserve">10.1016/j.ajog.2016.11.xxx</w:t>
            </w:r>
          </w:p>
        </w:tc>
      </w:tr>
      <w:tr>
        <w:tc>
          <w:tcPr/>
          <w:p>
            <w:pPr>
              <w:pStyle w:val="Compact"/>
            </w:pPr>
            <w:r>
              <w:t xml:space="preserve">2016</w:t>
            </w:r>
          </w:p>
        </w:tc>
        <w:tc>
          <w:tcPr/>
          <w:p>
            <w:pPr>
              <w:pStyle w:val="Compact"/>
            </w:pPr>
            <w:r>
              <w:t xml:space="preserve">36th</w:t>
            </w:r>
          </w:p>
        </w:tc>
        <w:tc>
          <w:tcPr/>
          <w:p>
            <w:pPr>
              <w:pStyle w:val="Compact"/>
            </w:pPr>
            <w:r>
              <w:t xml:space="preserve">214</w:t>
            </w:r>
          </w:p>
        </w:tc>
        <w:tc>
          <w:tcPr/>
          <w:p>
            <w:pPr>
              <w:pStyle w:val="Compact"/>
            </w:pPr>
            <w:r>
              <w:t xml:space="preserve">1, Suppl S</w:t>
            </w:r>
          </w:p>
        </w:tc>
        <w:tc>
          <w:tcPr/>
          <w:p>
            <w:pPr>
              <w:pStyle w:val="Compact"/>
            </w:pPr>
            <w:hyperlink r:id="rId87">
              <w:r>
                <w:rPr>
                  <w:rStyle w:val="Hyperlink"/>
                </w:rPr>
                <w:t xml:space="preserve">https://www.sciencedirect.com/journal/american-journal-of-obstetrics-and-gynecology/vol/214/issue/1/suppl/S</w:t>
              </w:r>
            </w:hyperlink>
          </w:p>
        </w:tc>
        <w:tc>
          <w:tcPr/>
          <w:p>
            <w:pPr>
              <w:pStyle w:val="Compact"/>
            </w:pPr>
            <w:r>
              <w:t xml:space="preserve">10.1016/j.ajog.2015.11.xxx</w:t>
            </w:r>
          </w:p>
        </w:tc>
      </w:tr>
      <w:tr>
        <w:tc>
          <w:tcPr/>
          <w:p>
            <w:pPr>
              <w:pStyle w:val="Compact"/>
            </w:pPr>
            <w:r>
              <w:t xml:space="preserve">2015</w:t>
            </w:r>
          </w:p>
        </w:tc>
        <w:tc>
          <w:tcPr/>
          <w:p>
            <w:pPr>
              <w:pStyle w:val="Compact"/>
            </w:pPr>
            <w:r>
              <w:t xml:space="preserve">35th</w:t>
            </w:r>
          </w:p>
        </w:tc>
        <w:tc>
          <w:tcPr/>
          <w:p>
            <w:pPr>
              <w:pStyle w:val="Compact"/>
            </w:pPr>
            <w:r>
              <w:t xml:space="preserve">212</w:t>
            </w:r>
          </w:p>
        </w:tc>
        <w:tc>
          <w:tcPr/>
          <w:p>
            <w:pPr>
              <w:pStyle w:val="Compact"/>
            </w:pPr>
            <w:r>
              <w:t xml:space="preserve">1, Suppl S</w:t>
            </w:r>
          </w:p>
        </w:tc>
        <w:tc>
          <w:tcPr/>
          <w:p>
            <w:pPr>
              <w:pStyle w:val="Compact"/>
            </w:pPr>
            <w:hyperlink r:id="rId88">
              <w:r>
                <w:rPr>
                  <w:rStyle w:val="Hyperlink"/>
                </w:rPr>
                <w:t xml:space="preserve">https://www.sciencedirect.com/journal/american-journal-of-obstetrics-and-gynecology/vol/212/issue/1/suppl/S</w:t>
              </w:r>
            </w:hyperlink>
          </w:p>
        </w:tc>
        <w:tc>
          <w:tcPr/>
          <w:p>
            <w:pPr>
              <w:pStyle w:val="Compact"/>
            </w:pPr>
            <w:r>
              <w:t xml:space="preserve">10.1016/j.ajog.2014.11.xxx</w:t>
            </w:r>
          </w:p>
        </w:tc>
      </w:tr>
      <w:tr>
        <w:tc>
          <w:tcPr/>
          <w:p>
            <w:pPr>
              <w:pStyle w:val="Compact"/>
            </w:pPr>
            <w:r>
              <w:t xml:space="preserve">2014</w:t>
            </w:r>
          </w:p>
        </w:tc>
        <w:tc>
          <w:tcPr/>
          <w:p>
            <w:pPr>
              <w:pStyle w:val="Compact"/>
            </w:pPr>
            <w:r>
              <w:t xml:space="preserve">34th</w:t>
            </w:r>
          </w:p>
        </w:tc>
        <w:tc>
          <w:tcPr/>
          <w:p>
            <w:pPr>
              <w:pStyle w:val="Compact"/>
            </w:pPr>
            <w:r>
              <w:t xml:space="preserve">210</w:t>
            </w:r>
          </w:p>
        </w:tc>
        <w:tc>
          <w:tcPr/>
          <w:p>
            <w:pPr>
              <w:pStyle w:val="Compact"/>
            </w:pPr>
            <w:r>
              <w:t xml:space="preserve">1, Suppl S</w:t>
            </w:r>
          </w:p>
        </w:tc>
        <w:tc>
          <w:tcPr/>
          <w:p>
            <w:pPr>
              <w:pStyle w:val="Compact"/>
            </w:pPr>
            <w:hyperlink r:id="rId89">
              <w:r>
                <w:rPr>
                  <w:rStyle w:val="Hyperlink"/>
                </w:rPr>
                <w:t xml:space="preserve">https://www.sciencedirect.com/journal/american-journal-of-obstetrics-and-gynecology/vol/210/issue/1/suppl/S</w:t>
              </w:r>
            </w:hyperlink>
          </w:p>
        </w:tc>
        <w:tc>
          <w:tcPr/>
          <w:p>
            <w:pPr>
              <w:pStyle w:val="Compact"/>
            </w:pPr>
            <w:r>
              <w:t xml:space="preserve">10.1016/j.ajog.2013.11.xxx</w:t>
            </w:r>
          </w:p>
        </w:tc>
      </w:tr>
      <w:tr>
        <w:tc>
          <w:tcPr/>
          <w:p>
            <w:pPr>
              <w:pStyle w:val="Compact"/>
            </w:pPr>
            <w:r>
              <w:t xml:space="preserve">2013</w:t>
            </w:r>
          </w:p>
        </w:tc>
        <w:tc>
          <w:tcPr/>
          <w:p>
            <w:pPr>
              <w:pStyle w:val="Compact"/>
            </w:pPr>
            <w:r>
              <w:t xml:space="preserve">33rd</w:t>
            </w:r>
          </w:p>
        </w:tc>
        <w:tc>
          <w:tcPr/>
          <w:p>
            <w:pPr>
              <w:pStyle w:val="Compact"/>
            </w:pPr>
            <w:r>
              <w:t xml:space="preserve">208</w:t>
            </w:r>
          </w:p>
        </w:tc>
        <w:tc>
          <w:tcPr/>
          <w:p>
            <w:pPr>
              <w:pStyle w:val="Compact"/>
            </w:pPr>
            <w:r>
              <w:t xml:space="preserve">1, Suppl S</w:t>
            </w:r>
          </w:p>
        </w:tc>
        <w:tc>
          <w:tcPr/>
          <w:p>
            <w:pPr>
              <w:pStyle w:val="Compact"/>
            </w:pPr>
            <w:hyperlink r:id="rId90">
              <w:r>
                <w:rPr>
                  <w:rStyle w:val="Hyperlink"/>
                </w:rPr>
                <w:t xml:space="preserve">https://www.sciencedirect.com/journal/american-journal-of-obstetrics-and-gynecology/vol/208/issue/1/suppl/S</w:t>
              </w:r>
            </w:hyperlink>
          </w:p>
        </w:tc>
        <w:tc>
          <w:tcPr/>
          <w:p>
            <w:pPr>
              <w:pStyle w:val="Compact"/>
            </w:pPr>
            <w:r>
              <w:t xml:space="preserve">10.1016/j.ajog.2012.11.xxx</w:t>
            </w:r>
          </w:p>
        </w:tc>
      </w:tr>
    </w:tbl>
    <w:p>
      <w:pPr>
        <w:pStyle w:val="BodyText"/>
      </w:pPr>
      <w:r>
        <w:rPr>
          <w:b/>
          <w:bCs/>
        </w:rPr>
        <w:t xml:space="preserve">DOI uniqueness confirmed:</w:t>
      </w:r>
      <w:r>
        <w:t xml:space="preserve"> </w:t>
      </w:r>
      <w:r>
        <w:t xml:space="preserve">Individual abstract DOIs increment sequentially within each supplement. Because AJOG is hosted on ScienceDirect (Elsevier) — the same platform as JMIG — the existing</w:t>
      </w:r>
      <w:r>
        <w:t xml:space="preserve"> </w:t>
      </w:r>
      <w:r>
        <w:rPr>
          <w:rStyle w:val="VerbatimChar"/>
        </w:rPr>
        <w:t xml:space="preserve">backfill_affiliations_from_cache.R</w:t>
      </w:r>
      <w:r>
        <w:t xml:space="preserve">,</w:t>
      </w:r>
      <w:r>
        <w:t xml:space="preserve"> </w:t>
      </w:r>
      <w:r>
        <w:rPr>
          <w:rStyle w:val="VerbatimChar"/>
        </w:rPr>
        <w:t xml:space="preserve">01b_parse_web.R</w:t>
      </w:r>
      <w:r>
        <w:t xml:space="preserve">, and</w:t>
      </w:r>
      <w:r>
        <w:t xml:space="preserve"> </w:t>
      </w:r>
      <w:r>
        <w:rPr>
          <w:rStyle w:val="VerbatimChar"/>
        </w:rPr>
        <w:t xml:space="preserve">03c_doi_chain_search.R</w:t>
      </w:r>
      <w:r>
        <w:t xml:space="preserve"> </w:t>
      </w:r>
      <w:r>
        <w:t xml:space="preserve">scripts can be adapted for SMFM with minimal modification, primarily updating the journal-specific URL patterns and PII extraction logic.</w:t>
      </w:r>
    </w:p>
    <w:p>
      <w:pPr>
        <w:pStyle w:val="BodyText"/>
      </w:pPr>
      <w:r>
        <w:rPr>
          <w:i/>
          <w:iCs/>
        </w:rPr>
        <w:t xml:space="preserve">Sources: ScienceDirect AJOG special issues index;</w:t>
      </w:r>
      <w:r>
        <w:rPr>
          <w:i/>
          <w:iCs/>
        </w:rPr>
        <w:t xml:space="preserve"> </w:t>
      </w:r>
      <w:hyperlink r:id="rId91">
        <w:r>
          <w:rPr>
            <w:rStyle w:val="Hyperlink"/>
            <w:i/>
            <w:iCs/>
          </w:rPr>
          <w:t xml:space="preserve">https://publications.smfm.org/</w:t>
        </w:r>
      </w:hyperlink>
    </w:p>
    <w:bookmarkEnd w:id="92"/>
    <w:bookmarkStart w:id="93" w:name="X0194632da0eacb2919432c7e09a49e6d1a40992"/>
    <w:p>
      <w:pPr>
        <w:pStyle w:val="Heading3"/>
      </w:pPr>
      <w:r>
        <w:t xml:space="preserve">A11.11 ASRM Abstract Supplement URLs (2013–2023)</w:t>
      </w:r>
    </w:p>
    <w:p>
      <w:pPr>
        <w:pStyle w:val="FirstParagraph"/>
      </w:pPr>
      <w:r>
        <w:t xml:space="preserve">ASRM (American Society for Reproductive Medicine) annual meeting abstracts are published as supplement issues of</w:t>
      </w:r>
      <w:r>
        <w:t xml:space="preserve"> </w:t>
      </w:r>
      <w:r>
        <w:rPr>
          <w:i/>
          <w:iCs/>
        </w:rPr>
        <w:t xml:space="preserve">Fertility and Sterility</w:t>
      </w:r>
      <w:r>
        <w:t xml:space="preserve"> </w:t>
      </w:r>
      <w:r>
        <w:t xml:space="preserve">(ISSN 0015-0282) on ScienceDirect (Elsevier).</w:t>
      </w:r>
      <w:r>
        <w:t xml:space="preserve"> </w:t>
      </w:r>
      <w:r>
        <w:rPr>
          <w:b/>
          <w:bCs/>
        </w:rPr>
        <w:t xml:space="preserve">Every abstract receives a unique DOI</w:t>
      </w:r>
      <w:r>
        <w:t xml:space="preserve"> </w:t>
      </w:r>
      <w:r>
        <w:t xml:space="preserve">in the format</w:t>
      </w:r>
      <w:r>
        <w:t xml:space="preserve"> </w:t>
      </w:r>
      <w:r>
        <w:rPr>
          <w:rStyle w:val="VerbatimChar"/>
        </w:rPr>
        <w:t xml:space="preserve">10.1016/j.fertnstert.YYYY.MM.NNN</w:t>
      </w:r>
      <w:r>
        <w:t xml:space="preserve">, where NNN is a sequential article number. DOI uniqueness is guaranteed by the DOI standard, enforced by CrossRef at ingestion (duplicates are rejected), and confirmed by spot-check of 50 sampled DOIs across years.</w:t>
      </w:r>
    </w:p>
    <w:p>
      <w:pPr>
        <w:pStyle w:val="BodyText"/>
      </w:pPr>
      <w:r>
        <w:t xml:space="preserve">Because</w:t>
      </w:r>
      <w:r>
        <w:t xml:space="preserve"> </w:t>
      </w:r>
      <w:r>
        <w:rPr>
          <w:i/>
          <w:iCs/>
        </w:rPr>
        <w:t xml:space="preserve">Fertility and Sterility</w:t>
      </w:r>
      <w:r>
        <w:t xml:space="preserve"> </w:t>
      </w:r>
      <w:r>
        <w:t xml:space="preserve">is hosted on ScienceDirect (Elsevier) — the same platform as JMIG and AJOG — the existing pipeline components for DOI-chain search, ScienceDirect HTML affiliation extraction, and web scraping apply directly.</w:t>
      </w:r>
    </w:p>
    <w:p>
      <w:pPr>
        <w:pStyle w:val="BodyText"/>
      </w:pPr>
      <w:r>
        <w:rPr>
          <w:b/>
          <w:bCs/>
        </w:rPr>
        <w:t xml:space="preserve">Note:</w:t>
      </w:r>
      <w:r>
        <w:t xml:space="preserve"> </w:t>
      </w:r>
      <w:r>
        <w:t xml:space="preserve">Full supplement browsing requires institutional ScienceDirect authentication (fertstert.org and sciencedirect.com return 403 for unauthenticated access). Individual abstracts resolve publicly via</w:t>
      </w:r>
      <w:r>
        <w:t xml:space="preserve"> </w:t>
      </w:r>
      <w:r>
        <w:rPr>
          <w:rStyle w:val="VerbatimChar"/>
        </w:rPr>
        <w:t xml:space="preserve">https://doi.org/10.1016/j.fertnstert.YYYY.MM.NNN</w:t>
      </w:r>
      <w:r>
        <w:t xml:space="preserve">. PubMed indexes selected abstracts from these supplements and is freely accessible.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ASRM Meeting</w:t>
            </w:r>
          </w:p>
        </w:tc>
        <w:tc>
          <w:tcPr/>
          <w:p>
            <w:pPr>
              <w:pStyle w:val="Compact"/>
            </w:pPr>
            <w:r>
              <w:t xml:space="preserve">Volume</w:t>
            </w:r>
          </w:p>
        </w:tc>
        <w:tc>
          <w:tcPr/>
          <w:p>
            <w:pPr>
              <w:pStyle w:val="Compact"/>
            </w:pPr>
            <w:r>
              <w:t xml:space="preserve">Issue</w:t>
            </w:r>
          </w:p>
        </w:tc>
        <w:tc>
          <w:tcPr/>
          <w:p>
            <w:pPr>
              <w:pStyle w:val="Compact"/>
            </w:pPr>
            <w:r>
              <w:t xml:space="preserve">DOI Pattern</w:t>
            </w:r>
          </w:p>
        </w:tc>
      </w:tr>
      <w:tr>
        <w:tc>
          <w:tcPr/>
          <w:p>
            <w:pPr>
              <w:pStyle w:val="Compact"/>
            </w:pPr>
            <w:r>
              <w:t xml:space="preserve">2023</w:t>
            </w:r>
          </w:p>
        </w:tc>
        <w:tc>
          <w:tcPr/>
          <w:p>
            <w:pPr>
              <w:pStyle w:val="Compact"/>
            </w:pPr>
            <w:r>
              <w:t xml:space="preserve">79th Annual</w:t>
            </w:r>
          </w:p>
        </w:tc>
        <w:tc>
          <w:tcPr/>
          <w:p>
            <w:pPr>
              <w:pStyle w:val="Compact"/>
            </w:pPr>
            <w:r>
              <w:t xml:space="preserve">120</w:t>
            </w:r>
          </w:p>
        </w:tc>
        <w:tc>
          <w:tcPr/>
          <w:p>
            <w:pPr>
              <w:pStyle w:val="Compact"/>
            </w:pPr>
            <w:r>
              <w:t xml:space="preserve">4</w:t>
            </w:r>
          </w:p>
        </w:tc>
        <w:tc>
          <w:tcPr/>
          <w:p>
            <w:pPr>
              <w:pStyle w:val="Compact"/>
            </w:pPr>
            <w:r>
              <w:t xml:space="preserve">10.1016/j.fertnstert.2023.MM.xxx</w:t>
            </w:r>
          </w:p>
        </w:tc>
      </w:tr>
      <w:tr>
        <w:tc>
          <w:tcPr/>
          <w:p>
            <w:pPr>
              <w:pStyle w:val="Compact"/>
            </w:pPr>
            <w:r>
              <w:t xml:space="preserve">2022</w:t>
            </w:r>
          </w:p>
        </w:tc>
        <w:tc>
          <w:tcPr/>
          <w:p>
            <w:pPr>
              <w:pStyle w:val="Compact"/>
            </w:pPr>
            <w:r>
              <w:t xml:space="preserve">78th Annual</w:t>
            </w:r>
          </w:p>
        </w:tc>
        <w:tc>
          <w:tcPr/>
          <w:p>
            <w:pPr>
              <w:pStyle w:val="Compact"/>
            </w:pPr>
            <w:r>
              <w:t xml:space="preserve">118</w:t>
            </w:r>
          </w:p>
        </w:tc>
        <w:tc>
          <w:tcPr/>
          <w:p>
            <w:pPr>
              <w:pStyle w:val="Compact"/>
            </w:pPr>
            <w:r>
              <w:t xml:space="preserve">4</w:t>
            </w:r>
          </w:p>
        </w:tc>
        <w:tc>
          <w:tcPr/>
          <w:p>
            <w:pPr>
              <w:pStyle w:val="Compact"/>
            </w:pPr>
            <w:r>
              <w:t xml:space="preserve">10.1016/j.fertnstert.2022.MM.xxx</w:t>
            </w:r>
          </w:p>
        </w:tc>
      </w:tr>
      <w:tr>
        <w:tc>
          <w:tcPr/>
          <w:p>
            <w:pPr>
              <w:pStyle w:val="Compact"/>
            </w:pPr>
            <w:r>
              <w:t xml:space="preserve">2021</w:t>
            </w:r>
          </w:p>
        </w:tc>
        <w:tc>
          <w:tcPr/>
          <w:p>
            <w:pPr>
              <w:pStyle w:val="Compact"/>
            </w:pPr>
            <w:r>
              <w:t xml:space="preserve">77th Annual</w:t>
            </w:r>
          </w:p>
        </w:tc>
        <w:tc>
          <w:tcPr/>
          <w:p>
            <w:pPr>
              <w:pStyle w:val="Compact"/>
            </w:pPr>
            <w:r>
              <w:t xml:space="preserve">116</w:t>
            </w:r>
          </w:p>
        </w:tc>
        <w:tc>
          <w:tcPr/>
          <w:p>
            <w:pPr>
              <w:pStyle w:val="Compact"/>
            </w:pPr>
            <w:r>
              <w:t xml:space="preserve">3</w:t>
            </w:r>
          </w:p>
        </w:tc>
        <w:tc>
          <w:tcPr/>
          <w:p>
            <w:pPr>
              <w:pStyle w:val="Compact"/>
            </w:pPr>
            <w:r>
              <w:t xml:space="preserve">10.1016/j.fertnstert.2021.MM.xxx</w:t>
            </w:r>
          </w:p>
        </w:tc>
      </w:tr>
      <w:tr>
        <w:tc>
          <w:tcPr/>
          <w:p>
            <w:pPr>
              <w:pStyle w:val="Compact"/>
            </w:pPr>
            <w:r>
              <w:t xml:space="preserve">2020</w:t>
            </w:r>
          </w:p>
        </w:tc>
        <w:tc>
          <w:tcPr/>
          <w:p>
            <w:pPr>
              <w:pStyle w:val="Compact"/>
            </w:pPr>
            <w:r>
              <w:t xml:space="preserve">76th Annual</w:t>
            </w:r>
          </w:p>
        </w:tc>
        <w:tc>
          <w:tcPr/>
          <w:p>
            <w:pPr>
              <w:pStyle w:val="Compact"/>
            </w:pPr>
            <w:r>
              <w:t xml:space="preserve">114</w:t>
            </w:r>
          </w:p>
        </w:tc>
        <w:tc>
          <w:tcPr/>
          <w:p>
            <w:pPr>
              <w:pStyle w:val="Compact"/>
            </w:pPr>
            <w:r>
              <w:t xml:space="preserve">3</w:t>
            </w:r>
          </w:p>
        </w:tc>
        <w:tc>
          <w:tcPr/>
          <w:p>
            <w:pPr>
              <w:pStyle w:val="Compact"/>
            </w:pPr>
            <w:r>
              <w:t xml:space="preserve">10.1016/j.fertnstert.2020.MM.xxx</w:t>
            </w:r>
          </w:p>
        </w:tc>
      </w:tr>
      <w:tr>
        <w:tc>
          <w:tcPr/>
          <w:p>
            <w:pPr>
              <w:pStyle w:val="Compact"/>
            </w:pPr>
            <w:r>
              <w:t xml:space="preserve">2019</w:t>
            </w:r>
          </w:p>
        </w:tc>
        <w:tc>
          <w:tcPr/>
          <w:p>
            <w:pPr>
              <w:pStyle w:val="Compact"/>
            </w:pPr>
            <w:r>
              <w:t xml:space="preserve">75th Annual</w:t>
            </w:r>
          </w:p>
        </w:tc>
        <w:tc>
          <w:tcPr/>
          <w:p>
            <w:pPr>
              <w:pStyle w:val="Compact"/>
            </w:pPr>
            <w:r>
              <w:t xml:space="preserve">112</w:t>
            </w:r>
          </w:p>
        </w:tc>
        <w:tc>
          <w:tcPr/>
          <w:p>
            <w:pPr>
              <w:pStyle w:val="Compact"/>
            </w:pPr>
            <w:r>
              <w:t xml:space="preserve">3</w:t>
            </w:r>
          </w:p>
        </w:tc>
        <w:tc>
          <w:tcPr/>
          <w:p>
            <w:pPr>
              <w:pStyle w:val="Compact"/>
            </w:pPr>
            <w:r>
              <w:t xml:space="preserve">10.1016/j.fertnstert.2019.MM.xxx</w:t>
            </w:r>
          </w:p>
        </w:tc>
      </w:tr>
      <w:tr>
        <w:tc>
          <w:tcPr/>
          <w:p>
            <w:pPr>
              <w:pStyle w:val="Compact"/>
            </w:pPr>
            <w:r>
              <w:t xml:space="preserve">2018</w:t>
            </w:r>
          </w:p>
        </w:tc>
        <w:tc>
          <w:tcPr/>
          <w:p>
            <w:pPr>
              <w:pStyle w:val="Compact"/>
            </w:pPr>
            <w:r>
              <w:t xml:space="preserve">74th Annual</w:t>
            </w:r>
          </w:p>
        </w:tc>
        <w:tc>
          <w:tcPr/>
          <w:p>
            <w:pPr>
              <w:pStyle w:val="Compact"/>
            </w:pPr>
            <w:r>
              <w:t xml:space="preserve">110</w:t>
            </w:r>
          </w:p>
        </w:tc>
        <w:tc>
          <w:tcPr/>
          <w:p>
            <w:pPr>
              <w:pStyle w:val="Compact"/>
            </w:pPr>
            <w:r>
              <w:t xml:space="preserve">4</w:t>
            </w:r>
          </w:p>
        </w:tc>
        <w:tc>
          <w:tcPr/>
          <w:p>
            <w:pPr>
              <w:pStyle w:val="Compact"/>
            </w:pPr>
            <w:r>
              <w:t xml:space="preserve">10.1016/j.fertnstert.2018.MM.xxx</w:t>
            </w:r>
          </w:p>
        </w:tc>
      </w:tr>
      <w:tr>
        <w:tc>
          <w:tcPr/>
          <w:p>
            <w:pPr>
              <w:pStyle w:val="Compact"/>
            </w:pPr>
            <w:r>
              <w:t xml:space="preserve">2017</w:t>
            </w:r>
          </w:p>
        </w:tc>
        <w:tc>
          <w:tcPr/>
          <w:p>
            <w:pPr>
              <w:pStyle w:val="Compact"/>
            </w:pPr>
            <w:r>
              <w:t xml:space="preserve">73rd Annual</w:t>
            </w:r>
          </w:p>
        </w:tc>
        <w:tc>
          <w:tcPr/>
          <w:p>
            <w:pPr>
              <w:pStyle w:val="Compact"/>
            </w:pPr>
            <w:r>
              <w:t xml:space="preserve">108</w:t>
            </w:r>
          </w:p>
        </w:tc>
        <w:tc>
          <w:tcPr/>
          <w:p>
            <w:pPr>
              <w:pStyle w:val="Compact"/>
            </w:pPr>
            <w:r>
              <w:t xml:space="preserve">3</w:t>
            </w:r>
          </w:p>
        </w:tc>
        <w:tc>
          <w:tcPr/>
          <w:p>
            <w:pPr>
              <w:pStyle w:val="Compact"/>
            </w:pPr>
            <w:r>
              <w:t xml:space="preserve">10.1016/j.fertnstert.2017.MM.xxx</w:t>
            </w:r>
          </w:p>
        </w:tc>
      </w:tr>
      <w:tr>
        <w:tc>
          <w:tcPr/>
          <w:p>
            <w:pPr>
              <w:pStyle w:val="Compact"/>
            </w:pPr>
            <w:r>
              <w:t xml:space="preserve">2016</w:t>
            </w:r>
          </w:p>
        </w:tc>
        <w:tc>
          <w:tcPr/>
          <w:p>
            <w:pPr>
              <w:pStyle w:val="Compact"/>
            </w:pPr>
            <w:r>
              <w:t xml:space="preserve">72nd Annual</w:t>
            </w:r>
          </w:p>
        </w:tc>
        <w:tc>
          <w:tcPr/>
          <w:p>
            <w:pPr>
              <w:pStyle w:val="Compact"/>
            </w:pPr>
            <w:r>
              <w:t xml:space="preserve">106</w:t>
            </w:r>
          </w:p>
        </w:tc>
        <w:tc>
          <w:tcPr/>
          <w:p>
            <w:pPr>
              <w:pStyle w:val="Compact"/>
            </w:pPr>
            <w:r>
              <w:t xml:space="preserve">3</w:t>
            </w:r>
          </w:p>
        </w:tc>
        <w:tc>
          <w:tcPr/>
          <w:p>
            <w:pPr>
              <w:pStyle w:val="Compact"/>
            </w:pPr>
            <w:r>
              <w:t xml:space="preserve">10.1016/j.fertnstert.2016.MM.xxx</w:t>
            </w:r>
          </w:p>
        </w:tc>
      </w:tr>
      <w:tr>
        <w:tc>
          <w:tcPr/>
          <w:p>
            <w:pPr>
              <w:pStyle w:val="Compact"/>
            </w:pPr>
            <w:r>
              <w:t xml:space="preserve">2015</w:t>
            </w:r>
          </w:p>
        </w:tc>
        <w:tc>
          <w:tcPr/>
          <w:p>
            <w:pPr>
              <w:pStyle w:val="Compact"/>
            </w:pPr>
            <w:r>
              <w:t xml:space="preserve">71st Annual</w:t>
            </w:r>
          </w:p>
        </w:tc>
        <w:tc>
          <w:tcPr/>
          <w:p>
            <w:pPr>
              <w:pStyle w:val="Compact"/>
            </w:pPr>
            <w:r>
              <w:t xml:space="preserve">104</w:t>
            </w:r>
          </w:p>
        </w:tc>
        <w:tc>
          <w:tcPr/>
          <w:p>
            <w:pPr>
              <w:pStyle w:val="Compact"/>
            </w:pPr>
            <w:r>
              <w:t xml:space="preserve">3</w:t>
            </w:r>
          </w:p>
        </w:tc>
        <w:tc>
          <w:tcPr/>
          <w:p>
            <w:pPr>
              <w:pStyle w:val="Compact"/>
            </w:pPr>
            <w:r>
              <w:t xml:space="preserve">10.1016/j.fertnstert.2015.MM.xxx</w:t>
            </w:r>
          </w:p>
        </w:tc>
      </w:tr>
      <w:tr>
        <w:tc>
          <w:tcPr/>
          <w:p>
            <w:pPr>
              <w:pStyle w:val="Compact"/>
            </w:pPr>
            <w:r>
              <w:t xml:space="preserve">2014</w:t>
            </w:r>
          </w:p>
        </w:tc>
        <w:tc>
          <w:tcPr/>
          <w:p>
            <w:pPr>
              <w:pStyle w:val="Compact"/>
            </w:pPr>
            <w:r>
              <w:t xml:space="preserve">70th Annual</w:t>
            </w:r>
          </w:p>
        </w:tc>
        <w:tc>
          <w:tcPr/>
          <w:p>
            <w:pPr>
              <w:pStyle w:val="Compact"/>
            </w:pPr>
            <w:r>
              <w:t xml:space="preserve">102</w:t>
            </w:r>
          </w:p>
        </w:tc>
        <w:tc>
          <w:tcPr/>
          <w:p>
            <w:pPr>
              <w:pStyle w:val="Compact"/>
            </w:pPr>
            <w:r>
              <w:t xml:space="preserve">3</w:t>
            </w:r>
          </w:p>
        </w:tc>
        <w:tc>
          <w:tcPr/>
          <w:p>
            <w:pPr>
              <w:pStyle w:val="Compact"/>
            </w:pPr>
            <w:r>
              <w:t xml:space="preserve">10.1016/j.fertnstert.2014.MM.xxx</w:t>
            </w:r>
          </w:p>
        </w:tc>
      </w:tr>
      <w:tr>
        <w:tc>
          <w:tcPr/>
          <w:p>
            <w:pPr>
              <w:pStyle w:val="Compact"/>
            </w:pPr>
            <w:r>
              <w:t xml:space="preserve">2013</w:t>
            </w:r>
          </w:p>
        </w:tc>
        <w:tc>
          <w:tcPr/>
          <w:p>
            <w:pPr>
              <w:pStyle w:val="Compact"/>
            </w:pPr>
            <w:r>
              <w:t xml:space="preserve">69th Annual</w:t>
            </w:r>
          </w:p>
        </w:tc>
        <w:tc>
          <w:tcPr/>
          <w:p>
            <w:pPr>
              <w:pStyle w:val="Compact"/>
            </w:pPr>
            <w:r>
              <w:t xml:space="preserve">100</w:t>
            </w:r>
          </w:p>
        </w:tc>
        <w:tc>
          <w:tcPr/>
          <w:p>
            <w:pPr>
              <w:pStyle w:val="Compact"/>
            </w:pPr>
            <w:r>
              <w:t xml:space="preserve">3</w:t>
            </w:r>
          </w:p>
        </w:tc>
        <w:tc>
          <w:tcPr/>
          <w:p>
            <w:pPr>
              <w:pStyle w:val="Compact"/>
            </w:pPr>
            <w:r>
              <w:t xml:space="preserve">10.1016/j.fertnstert.2013.MM.xxx</w:t>
            </w:r>
          </w:p>
        </w:tc>
      </w:tr>
    </w:tbl>
    <w:p>
      <w:pPr>
        <w:pStyle w:val="BodyText"/>
      </w:pPr>
      <w:r>
        <w:rPr>
          <w:b/>
          <w:bCs/>
        </w:rPr>
        <w:t xml:space="preserve">Abstract counts per year (CrossRef):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DOIs indexed in CrossRef</w:t>
            </w:r>
          </w:p>
        </w:tc>
      </w:tr>
      <w:tr>
        <w:tc>
          <w:tcPr/>
          <w:p>
            <w:pPr>
              <w:pStyle w:val="Compact"/>
            </w:pPr>
            <w:r>
              <w:t xml:space="preserve">2023</w:t>
            </w:r>
          </w:p>
        </w:tc>
        <w:tc>
          <w:tcPr/>
          <w:p>
            <w:pPr>
              <w:pStyle w:val="Compact"/>
            </w:pPr>
            <w:r>
              <w:t xml:space="preserve">940</w:t>
            </w:r>
          </w:p>
        </w:tc>
      </w:tr>
      <w:tr>
        <w:tc>
          <w:tcPr/>
          <w:p>
            <w:pPr>
              <w:pStyle w:val="Compact"/>
            </w:pPr>
            <w:r>
              <w:t xml:space="preserve">2022</w:t>
            </w:r>
          </w:p>
        </w:tc>
        <w:tc>
          <w:tcPr/>
          <w:p>
            <w:pPr>
              <w:pStyle w:val="Compact"/>
            </w:pPr>
            <w:r>
              <w:t xml:space="preserve">1,142</w:t>
            </w:r>
          </w:p>
        </w:tc>
      </w:tr>
      <w:tr>
        <w:tc>
          <w:tcPr/>
          <w:p>
            <w:pPr>
              <w:pStyle w:val="Compact"/>
            </w:pPr>
            <w:r>
              <w:t xml:space="preserve">2021</w:t>
            </w:r>
          </w:p>
        </w:tc>
        <w:tc>
          <w:tcPr/>
          <w:p>
            <w:pPr>
              <w:pStyle w:val="Compact"/>
            </w:pPr>
            <w:r>
              <w:t xml:space="preserve">1,239</w:t>
            </w:r>
          </w:p>
        </w:tc>
      </w:tr>
      <w:tr>
        <w:tc>
          <w:tcPr/>
          <w:p>
            <w:pPr>
              <w:pStyle w:val="Compact"/>
            </w:pPr>
            <w:r>
              <w:t xml:space="preserve">2020</w:t>
            </w:r>
          </w:p>
        </w:tc>
        <w:tc>
          <w:tcPr/>
          <w:p>
            <w:pPr>
              <w:pStyle w:val="Compact"/>
            </w:pPr>
            <w:r>
              <w:t xml:space="preserve">1,456</w:t>
            </w:r>
          </w:p>
        </w:tc>
      </w:tr>
      <w:tr>
        <w:tc>
          <w:tcPr/>
          <w:p>
            <w:pPr>
              <w:pStyle w:val="Compact"/>
            </w:pPr>
            <w:r>
              <w:t xml:space="preserve">2019</w:t>
            </w:r>
          </w:p>
        </w:tc>
        <w:tc>
          <w:tcPr/>
          <w:p>
            <w:pPr>
              <w:pStyle w:val="Compact"/>
            </w:pPr>
            <w:r>
              <w:t xml:space="preserve">1,259</w:t>
            </w:r>
          </w:p>
        </w:tc>
      </w:tr>
      <w:tr>
        <w:tc>
          <w:tcPr/>
          <w:p>
            <w:pPr>
              <w:pStyle w:val="Compact"/>
            </w:pPr>
            <w:r>
              <w:t xml:space="preserve">2018</w:t>
            </w:r>
          </w:p>
        </w:tc>
        <w:tc>
          <w:tcPr/>
          <w:p>
            <w:pPr>
              <w:pStyle w:val="Compact"/>
            </w:pPr>
            <w:r>
              <w:t xml:space="preserve">1,214</w:t>
            </w:r>
          </w:p>
        </w:tc>
      </w:tr>
      <w:tr>
        <w:tc>
          <w:tcPr/>
          <w:p>
            <w:pPr>
              <w:pStyle w:val="Compact"/>
            </w:pPr>
            <w:r>
              <w:t xml:space="preserve">2017</w:t>
            </w:r>
          </w:p>
        </w:tc>
        <w:tc>
          <w:tcPr/>
          <w:p>
            <w:pPr>
              <w:pStyle w:val="Compact"/>
            </w:pPr>
            <w:r>
              <w:t xml:space="preserve">1,111</w:t>
            </w:r>
          </w:p>
        </w:tc>
      </w:tr>
      <w:tr>
        <w:tc>
          <w:tcPr/>
          <w:p>
            <w:pPr>
              <w:pStyle w:val="Compact"/>
            </w:pPr>
            <w:r>
              <w:t xml:space="preserve">2016</w:t>
            </w:r>
          </w:p>
        </w:tc>
        <w:tc>
          <w:tcPr/>
          <w:p>
            <w:pPr>
              <w:pStyle w:val="Compact"/>
            </w:pPr>
            <w:r>
              <w:t xml:space="preserve">1,147</w:t>
            </w:r>
          </w:p>
        </w:tc>
      </w:tr>
      <w:tr>
        <w:tc>
          <w:tcPr/>
          <w:p>
            <w:pPr>
              <w:pStyle w:val="Compact"/>
            </w:pPr>
            <w:r>
              <w:t xml:space="preserve">2015</w:t>
            </w:r>
          </w:p>
        </w:tc>
        <w:tc>
          <w:tcPr/>
          <w:p>
            <w:pPr>
              <w:pStyle w:val="Compact"/>
            </w:pPr>
            <w:r>
              <w:t xml:space="preserve">1,153</w:t>
            </w:r>
          </w:p>
        </w:tc>
      </w:tr>
      <w:tr>
        <w:tc>
          <w:tcPr/>
          <w:p>
            <w:pPr>
              <w:pStyle w:val="Compact"/>
            </w:pPr>
            <w:r>
              <w:t xml:space="preserve">2014</w:t>
            </w:r>
          </w:p>
        </w:tc>
        <w:tc>
          <w:tcPr/>
          <w:p>
            <w:pPr>
              <w:pStyle w:val="Compact"/>
            </w:pPr>
            <w:r>
              <w:t xml:space="preserve">1,227</w:t>
            </w:r>
          </w:p>
        </w:tc>
      </w:tr>
      <w:tr>
        <w:tc>
          <w:tcPr/>
          <w:p>
            <w:pPr>
              <w:pStyle w:val="Compact"/>
            </w:pPr>
            <w:r>
              <w:t xml:space="preserve">2013</w:t>
            </w:r>
          </w:p>
        </w:tc>
        <w:tc>
          <w:tcPr/>
          <w:p>
            <w:pPr>
              <w:pStyle w:val="Compact"/>
            </w:pPr>
            <w:r>
              <w:t xml:space="preserve">2,010</w:t>
            </w:r>
          </w:p>
        </w:tc>
      </w:tr>
    </w:tbl>
    <w:p>
      <w:pPr>
        <w:pStyle w:val="BodyText"/>
      </w:pPr>
      <w:r>
        <w:rPr>
          <w:b/>
          <w:bCs/>
        </w:rPr>
        <w:t xml:space="preserve">Advance program DOIs</w:t>
      </w:r>
      <w:r>
        <w:t xml:space="preserve"> </w:t>
      </w:r>
      <w:r>
        <w:t xml:space="preserve">(publicly resolvable</w:t>
      </w:r>
      <w:r>
        <w:t xml:space="preserve"> </w:t>
      </w:r>
      <w:r>
        <w:t xml:space="preserve">“Scientific Papers to Be Presented”</w:t>
      </w:r>
      <w:r>
        <w:t xml:space="preserve"> </w:t>
      </w:r>
      <w:r>
        <w:t xml:space="preserve">TOC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Year</w:t>
            </w:r>
          </w:p>
        </w:tc>
        <w:tc>
          <w:tcPr/>
          <w:p>
            <w:pPr>
              <w:pStyle w:val="Compact"/>
            </w:pPr>
            <w:r>
              <w:t xml:space="preserve">Advance Program DOI</w:t>
            </w:r>
          </w:p>
        </w:tc>
      </w:tr>
      <w:tr>
        <w:tc>
          <w:tcPr/>
          <w:p>
            <w:pPr>
              <w:pStyle w:val="Compact"/>
            </w:pPr>
            <w:r>
              <w:t xml:space="preserve">2013</w:t>
            </w:r>
          </w:p>
        </w:tc>
        <w:tc>
          <w:tcPr/>
          <w:p>
            <w:pPr>
              <w:pStyle w:val="Compact"/>
            </w:pPr>
            <w:r>
              <w:t xml:space="preserve">10.1016/j.fertnstert.2013.01.001</w:t>
            </w:r>
          </w:p>
        </w:tc>
      </w:tr>
      <w:tr>
        <w:tc>
          <w:tcPr/>
          <w:p>
            <w:pPr>
              <w:pStyle w:val="Compact"/>
            </w:pPr>
            <w:r>
              <w:t xml:space="preserve">2014</w:t>
            </w:r>
          </w:p>
        </w:tc>
        <w:tc>
          <w:tcPr/>
          <w:p>
            <w:pPr>
              <w:pStyle w:val="Compact"/>
            </w:pPr>
            <w:r>
              <w:t xml:space="preserve">10.1016/j.fertnstert.2013.11.036</w:t>
            </w:r>
          </w:p>
        </w:tc>
      </w:tr>
      <w:tr>
        <w:tc>
          <w:tcPr/>
          <w:p>
            <w:pPr>
              <w:pStyle w:val="Compact"/>
            </w:pPr>
            <w:r>
              <w:t xml:space="preserve">2015</w:t>
            </w:r>
          </w:p>
        </w:tc>
        <w:tc>
          <w:tcPr/>
          <w:p>
            <w:pPr>
              <w:pStyle w:val="Compact"/>
            </w:pPr>
            <w:r>
              <w:t xml:space="preserve">10.1016/j.fertnstert.2014.12.002</w:t>
            </w:r>
          </w:p>
        </w:tc>
      </w:tr>
      <w:tr>
        <w:tc>
          <w:tcPr/>
          <w:p>
            <w:pPr>
              <w:pStyle w:val="Compact"/>
            </w:pPr>
            <w:r>
              <w:t xml:space="preserve">2016</w:t>
            </w:r>
          </w:p>
        </w:tc>
        <w:tc>
          <w:tcPr/>
          <w:p>
            <w:pPr>
              <w:pStyle w:val="Compact"/>
            </w:pPr>
            <w:r>
              <w:t xml:space="preserve">10.1016/j.fertnstert.2015.12.123</w:t>
            </w:r>
          </w:p>
        </w:tc>
      </w:tr>
      <w:tr>
        <w:tc>
          <w:tcPr/>
          <w:p>
            <w:pPr>
              <w:pStyle w:val="Compact"/>
            </w:pPr>
            <w:r>
              <w:t xml:space="preserve">2017</w:t>
            </w:r>
          </w:p>
        </w:tc>
        <w:tc>
          <w:tcPr/>
          <w:p>
            <w:pPr>
              <w:pStyle w:val="Compact"/>
            </w:pPr>
            <w:r>
              <w:t xml:space="preserve">10.1016/j.fertnstert.2017.02.003</w:t>
            </w:r>
          </w:p>
        </w:tc>
      </w:tr>
      <w:tr>
        <w:tc>
          <w:tcPr/>
          <w:p>
            <w:pPr>
              <w:pStyle w:val="Compact"/>
            </w:pPr>
            <w:r>
              <w:t xml:space="preserve">2018</w:t>
            </w:r>
          </w:p>
        </w:tc>
        <w:tc>
          <w:tcPr/>
          <w:p>
            <w:pPr>
              <w:pStyle w:val="Compact"/>
            </w:pPr>
            <w:r>
              <w:t xml:space="preserve">10.1016/j.fertnstert.2018.02.014</w:t>
            </w:r>
          </w:p>
        </w:tc>
      </w:tr>
      <w:tr>
        <w:tc>
          <w:tcPr/>
          <w:p>
            <w:pPr>
              <w:pStyle w:val="Compact"/>
            </w:pPr>
            <w:r>
              <w:t xml:space="preserve">2019</w:t>
            </w:r>
          </w:p>
        </w:tc>
        <w:tc>
          <w:tcPr/>
          <w:p>
            <w:pPr>
              <w:pStyle w:val="Compact"/>
            </w:pPr>
            <w:r>
              <w:t xml:space="preserve">10.1016/j.fertnstert.2019.02.032</w:t>
            </w:r>
          </w:p>
        </w:tc>
      </w:tr>
      <w:tr>
        <w:tc>
          <w:tcPr/>
          <w:p>
            <w:pPr>
              <w:pStyle w:val="Compact"/>
            </w:pPr>
            <w:r>
              <w:t xml:space="preserve">2022</w:t>
            </w:r>
          </w:p>
        </w:tc>
        <w:tc>
          <w:tcPr/>
          <w:p>
            <w:pPr>
              <w:pStyle w:val="Compact"/>
            </w:pPr>
            <w:r>
              <w:t xml:space="preserve">10.1016/s0015-0282(22)01984-7</w:t>
            </w:r>
          </w:p>
        </w:tc>
      </w:tr>
    </w:tbl>
    <w:p>
      <w:pPr>
        <w:pStyle w:val="BodyText"/>
      </w:pPr>
      <w:r>
        <w:rPr>
          <w:i/>
          <w:iCs/>
        </w:rPr>
        <w:t xml:space="preserve">Note: Advance program DOIs for 2020, 2021, and 2023 were not recoverable from CrossRef search.</w:t>
      </w:r>
    </w:p>
    <w:p>
      <w:pPr>
        <w:pStyle w:val="BodyText"/>
      </w:pPr>
      <w:r>
        <w:rPr>
          <w:b/>
          <w:bCs/>
        </w:rPr>
        <w:t xml:space="preserve">Comparison with AAGL and SMFM for pipeline reuse:</w:t>
      </w:r>
    </w:p>
    <w:tbl>
      <w:tblPr>
        <w:tblStyle w:val="Table"/>
        <w:tblW w:type="pct" w:w="5000"/>
        <w:tblLayout w:type="fixed"/>
        <w:tblLook w:firstRow="1" w:lastRow="0" w:firstColumn="0" w:lastColumn="0" w:noHBand="0" w:noVBand="0" w:val="0020"/>
      </w:tblPr>
      <w:tblGrid>
        <w:gridCol w:w="1033"/>
        <w:gridCol w:w="1492"/>
        <w:gridCol w:w="1492"/>
        <w:gridCol w:w="1377"/>
        <w:gridCol w:w="2525"/>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r>
      <w:tr>
        <w:tc>
          <w:tcPr/>
          <w:p>
            <w:pPr>
              <w:pStyle w:val="Compact"/>
            </w:pPr>
            <w:r>
              <w:t xml:space="preserve">CrossRef abstract count (avg/year)</w:t>
            </w:r>
          </w:p>
        </w:tc>
        <w:tc>
          <w:tcPr/>
          <w:p>
            <w:pPr>
              <w:pStyle w:val="Compact"/>
            </w:pPr>
            <w:r>
              <w:t xml:space="preserve">~90</w:t>
            </w:r>
          </w:p>
        </w:tc>
        <w:tc>
          <w:tcPr/>
          <w:p>
            <w:pPr>
              <w:pStyle w:val="Compact"/>
            </w:pPr>
            <w:r>
              <w:t xml:space="preserve">~500</w:t>
            </w:r>
          </w:p>
        </w:tc>
        <w:tc>
          <w:tcPr/>
          <w:p>
            <w:pPr>
              <w:pStyle w:val="Compact"/>
            </w:pPr>
            <w:r>
              <w:t xml:space="preserve">~1,300</w:t>
            </w:r>
          </w:p>
        </w:tc>
        <w:tc>
          <w:tcPr/>
          <w:p>
            <w:pPr>
              <w:pStyle w:val="Compact"/>
            </w:pPr>
            <w:r>
              <w:t xml:space="preserve">~400</w:t>
            </w:r>
          </w:p>
        </w:tc>
      </w:tr>
    </w:tbl>
    <w:p>
      <w:pPr>
        <w:pStyle w:val="BodyText"/>
      </w:pPr>
      <w:r>
        <w:t xml:space="preserve">ASRM is the largest of the four societies by abstract volume (~1,100–2,000/year vs. ~90 for AAGL), making it the highest-powered dataset for publication-rate analysis but also the most computationally intensive to process.</w:t>
      </w:r>
    </w:p>
    <w:bookmarkEnd w:id="93"/>
    <w:bookmarkStart w:id="105" w:name="Xe76bb52889b8f468b0dbf41a7eaa3b845bc40a9"/>
    <w:p>
      <w:pPr>
        <w:pStyle w:val="Heading3"/>
      </w:pPr>
      <w:r>
        <w:t xml:space="preserve">A11.12 Society of Family Planning (SFP) Abstract URLs (2013–2023)</w:t>
      </w:r>
    </w:p>
    <w:p>
      <w:pPr>
        <w:pStyle w:val="FirstParagraph"/>
      </w:pPr>
      <w:r>
        <w:t xml:space="preserve">SFP (Society of Family Planning) annual meeting abstracts are published in</w:t>
      </w:r>
      <w:r>
        <w:t xml:space="preserve"> </w:t>
      </w:r>
      <w:r>
        <w:rPr>
          <w:i/>
          <w:iCs/>
        </w:rPr>
        <w:t xml:space="preserve">Contraception</w:t>
      </w:r>
      <w:r>
        <w:t xml:space="preserve"> </w:t>
      </w:r>
      <w:r>
        <w:t xml:space="preserve">(ISSN 0010-7824, Elsevier) as one or two regular journal articles — not as a supplement issue. This is a structurally different publication model from SMFM and ASRM:</w:t>
      </w:r>
    </w:p>
    <w:p>
      <w:pPr>
        <w:pStyle w:val="Compact"/>
        <w:numPr>
          <w:ilvl w:val="0"/>
          <w:numId w:val="1008"/>
        </w:numPr>
      </w:pPr>
      <w:r>
        <w:rPr>
          <w:b/>
          <w:bCs/>
        </w:rPr>
        <w:t xml:space="preserve">Abstract collection article:</w:t>
      </w:r>
      <w:r>
        <w:t xml:space="preserve"> </w:t>
      </w:r>
      <w:r>
        <w:t xml:space="preserve">All submitted abstracts published as a single article with one DOI</w:t>
      </w:r>
    </w:p>
    <w:p>
      <w:pPr>
        <w:pStyle w:val="Compact"/>
        <w:numPr>
          <w:ilvl w:val="0"/>
          <w:numId w:val="1008"/>
        </w:numPr>
      </w:pPr>
      <w:r>
        <w:rPr>
          <w:b/>
          <w:bCs/>
        </w:rPr>
        <w:t xml:space="preserve">Featured research article:</w:t>
      </w:r>
      <w:r>
        <w:t xml:space="preserve"> </w:t>
      </w:r>
      <w:r>
        <w:t xml:space="preserve">Selected high-scoring abstracts published as a companion article with a separate DOI (introduced ~2018)</w:t>
      </w:r>
    </w:p>
    <w:p>
      <w:pPr>
        <w:pStyle w:val="Compact"/>
        <w:numPr>
          <w:ilvl w:val="0"/>
          <w:numId w:val="1008"/>
        </w:numPr>
      </w:pPr>
      <w:r>
        <w:rPr>
          <w:b/>
          <w:bCs/>
        </w:rPr>
        <w:t xml:space="preserve">Individual abstracts do NOT have unique DOIs</w:t>
      </w:r>
      <w:r>
        <w:t xml:space="preserve"> </w:t>
      </w:r>
      <w:r>
        <w:t xml:space="preserve">— the entire collection shares one DOI per year</w:t>
      </w:r>
    </w:p>
    <w:p>
      <w:pPr>
        <w:pStyle w:val="FirstParagraph"/>
      </w:pPr>
      <w:r>
        <w:t xml:space="preserve">The meeting was called the</w:t>
      </w:r>
      <w:r>
        <w:t xml:space="preserve"> </w:t>
      </w:r>
      <w:r>
        <w:rPr>
          <w:b/>
          <w:bCs/>
        </w:rPr>
        <w:t xml:space="preserve">North American Forum on Family Planning (NAFP)</w:t>
      </w:r>
      <w:r>
        <w:t xml:space="preserve"> </w:t>
      </w:r>
      <w:r>
        <w:t xml:space="preserve">through 2018, then renamed to the</w:t>
      </w:r>
      <w:r>
        <w:t xml:space="preserve"> </w:t>
      </w:r>
      <w:r>
        <w:rPr>
          <w:b/>
          <w:bCs/>
        </w:rPr>
        <w:t xml:space="preserve">SFP Annual Meeting</w:t>
      </w:r>
      <w:r>
        <w:t xml:space="preserve"> </w:t>
      </w:r>
      <w:r>
        <w:t xml:space="preserve">starting 2019. Abstract collections for 2013 and 2014 could not be located in PubMed or ScienceDirect; these years may not have been published in</w:t>
      </w:r>
      <w:r>
        <w:t xml:space="preserve"> </w:t>
      </w:r>
      <w:r>
        <w:rPr>
          <w:i/>
          <w:iCs/>
        </w:rPr>
        <w:t xml:space="preserve">Contraception</w:t>
      </w:r>
      <w:r>
        <w:t xml:space="preserve"> </w:t>
      </w:r>
      <w:r>
        <w:t xml:space="preserve">or may have appeared in a different format. A 2017</w:t>
      </w:r>
      <w:r>
        <w:t xml:space="preserve"> </w:t>
      </w:r>
      <w:r>
        <w:t xml:space="preserve">“TEMPORARY REMOVAL”</w:t>
      </w:r>
      <w:r>
        <w:t xml:space="preserve"> </w:t>
      </w:r>
      <w:r>
        <w:t xml:space="preserve">notice on PubMed may indicate a correction or republication.</w:t>
      </w:r>
    </w:p>
    <w:tbl>
      <w:tblPr>
        <w:tblStyle w:val="Table"/>
        <w:tblW w:type="pct" w:w="5000"/>
        <w:tblLayout w:type="fixed"/>
        <w:tblLook w:firstRow="1" w:lastRow="0" w:firstColumn="0" w:lastColumn="0" w:noHBand="0" w:noVBand="0" w:val="0020"/>
      </w:tblPr>
      <w:tblGrid>
        <w:gridCol w:w="688"/>
        <w:gridCol w:w="1033"/>
        <w:gridCol w:w="2754"/>
        <w:gridCol w:w="2525"/>
        <w:gridCol w:w="918"/>
      </w:tblGrid>
      <w:tr>
        <w:trPr>
          <w:tblHeader w:val="on"/>
        </w:trPr>
        <w:tc>
          <w:tcPr/>
          <w:p>
            <w:pPr>
              <w:pStyle w:val="Compact"/>
            </w:pPr>
            <w:r>
              <w:t xml:space="preserve">Year</w:t>
            </w:r>
          </w:p>
        </w:tc>
        <w:tc>
          <w:tcPr/>
          <w:p>
            <w:pPr>
              <w:pStyle w:val="Compact"/>
            </w:pPr>
            <w:r>
              <w:t xml:space="preserve">Meeting</w:t>
            </w:r>
          </w:p>
        </w:tc>
        <w:tc>
          <w:tcPr/>
          <w:p>
            <w:pPr>
              <w:pStyle w:val="Compact"/>
            </w:pPr>
            <w:r>
              <w:t xml:space="preserve">Abstract Collection DOI</w:t>
            </w:r>
          </w:p>
        </w:tc>
        <w:tc>
          <w:tcPr/>
          <w:p>
            <w:pPr>
              <w:pStyle w:val="Compact"/>
            </w:pPr>
            <w:r>
              <w:t xml:space="preserve">Featured Research DOI</w:t>
            </w:r>
          </w:p>
        </w:tc>
        <w:tc>
          <w:tcPr/>
          <w:p>
            <w:pPr>
              <w:pStyle w:val="Compact"/>
            </w:pPr>
            <w:r>
              <w:t xml:space="preserve">PubMed</w:t>
            </w:r>
          </w:p>
        </w:tc>
      </w:tr>
      <w:tr>
        <w:tc>
          <w:tcPr/>
          <w:p>
            <w:pPr>
              <w:pStyle w:val="Compact"/>
            </w:pPr>
            <w:r>
              <w:t xml:space="preserve">2023</w:t>
            </w:r>
          </w:p>
        </w:tc>
        <w:tc>
          <w:tcPr/>
          <w:p>
            <w:pPr>
              <w:pStyle w:val="Compact"/>
            </w:pPr>
            <w:r>
              <w:t xml:space="preserve">SFP Annual</w:t>
            </w:r>
          </w:p>
        </w:tc>
        <w:tc>
          <w:tcPr/>
          <w:p>
            <w:pPr>
              <w:pStyle w:val="Compact"/>
            </w:pPr>
            <w:r>
              <w:t xml:space="preserve">10.1016/j.contraception.2023.110145</w:t>
            </w:r>
          </w:p>
        </w:tc>
        <w:tc>
          <w:tcPr/>
          <w:p>
            <w:pPr>
              <w:pStyle w:val="Compact"/>
            </w:pPr>
            <w:r>
              <w:t xml:space="preserve">10.1016/j.contraception.2023.110144</w:t>
            </w:r>
          </w:p>
        </w:tc>
        <w:tc>
          <w:tcPr/>
          <w:p>
            <w:pPr>
              <w:pStyle w:val="Compact"/>
            </w:pPr>
            <w:hyperlink r:id="rId94">
              <w:r>
                <w:rPr>
                  <w:rStyle w:val="Hyperlink"/>
                </w:rPr>
                <w:t xml:space="preserve">https://pubmed.ncbi.nlm.nih.gov/37821000/</w:t>
              </w:r>
            </w:hyperlink>
          </w:p>
        </w:tc>
      </w:tr>
      <w:tr>
        <w:tc>
          <w:tcPr/>
          <w:p>
            <w:pPr>
              <w:pStyle w:val="Compact"/>
            </w:pPr>
            <w:r>
              <w:t xml:space="preserve">2022</w:t>
            </w:r>
          </w:p>
        </w:tc>
        <w:tc>
          <w:tcPr/>
          <w:p>
            <w:pPr>
              <w:pStyle w:val="Compact"/>
            </w:pPr>
            <w:r>
              <w:t xml:space="preserve">SFP Annual</w:t>
            </w:r>
          </w:p>
        </w:tc>
        <w:tc>
          <w:tcPr/>
          <w:p>
            <w:pPr>
              <w:pStyle w:val="Compact"/>
            </w:pPr>
            <w:r>
              <w:t xml:space="preserve">10.1016/j.contraception.2022.10.001</w:t>
            </w:r>
          </w:p>
        </w:tc>
        <w:tc>
          <w:tcPr/>
          <w:p>
            <w:pPr>
              <w:pStyle w:val="Compact"/>
            </w:pPr>
            <w:r>
              <w:t xml:space="preserve">10.1016/j.contraception.2022.09.004</w:t>
            </w:r>
          </w:p>
        </w:tc>
        <w:tc>
          <w:tcPr/>
          <w:p>
            <w:pPr>
              <w:pStyle w:val="Compact"/>
            </w:pPr>
            <w:hyperlink r:id="rId95">
              <w:r>
                <w:rPr>
                  <w:rStyle w:val="Hyperlink"/>
                </w:rPr>
                <w:t xml:space="preserve">https://pubmed.ncbi.nlm.nih.gov/36403795/</w:t>
              </w:r>
            </w:hyperlink>
          </w:p>
        </w:tc>
      </w:tr>
      <w:tr>
        <w:tc>
          <w:tcPr/>
          <w:p>
            <w:pPr>
              <w:pStyle w:val="Compact"/>
            </w:pPr>
            <w:r>
              <w:t xml:space="preserve">2021</w:t>
            </w:r>
          </w:p>
        </w:tc>
        <w:tc>
          <w:tcPr/>
          <w:p>
            <w:pPr>
              <w:pStyle w:val="Compact"/>
            </w:pPr>
            <w:r>
              <w:t xml:space="preserve">SFP Annual</w:t>
            </w:r>
          </w:p>
        </w:tc>
        <w:tc>
          <w:tcPr/>
          <w:p>
            <w:pPr>
              <w:pStyle w:val="Compact"/>
            </w:pPr>
            <w:r>
              <w:t xml:space="preserve">10.1016/j.contraception.2021.07.006</w:t>
            </w:r>
          </w:p>
        </w:tc>
        <w:tc>
          <w:tcPr/>
          <w:p>
            <w:pPr>
              <w:pStyle w:val="Compact"/>
            </w:pPr>
            <w:r>
              <w:t xml:space="preserve">10.1016/j.contraception.2021.07.007</w:t>
            </w:r>
          </w:p>
        </w:tc>
        <w:tc>
          <w:tcPr/>
          <w:p>
            <w:pPr>
              <w:pStyle w:val="Compact"/>
            </w:pPr>
            <w:hyperlink r:id="rId96">
              <w:r>
                <w:rPr>
                  <w:rStyle w:val="Hyperlink"/>
                </w:rPr>
                <w:t xml:space="preserve">https://pubmed.ncbi.nlm.nih.gov/34289414/</w:t>
              </w:r>
            </w:hyperlink>
          </w:p>
        </w:tc>
      </w:tr>
      <w:tr>
        <w:tc>
          <w:tcPr/>
          <w:p>
            <w:pPr>
              <w:pStyle w:val="Compact"/>
            </w:pPr>
            <w:r>
              <w:t xml:space="preserve">2020</w:t>
            </w:r>
          </w:p>
        </w:tc>
        <w:tc>
          <w:tcPr/>
          <w:p>
            <w:pPr>
              <w:pStyle w:val="Compact"/>
            </w:pPr>
            <w:r>
              <w:t xml:space="preserve">SFP Annual</w:t>
            </w:r>
          </w:p>
        </w:tc>
        <w:tc>
          <w:tcPr/>
          <w:p>
            <w:pPr>
              <w:pStyle w:val="Compact"/>
            </w:pPr>
            <w:r>
              <w:t xml:space="preserve">10.1016/j.contraception.2020.07.008</w:t>
            </w:r>
          </w:p>
        </w:tc>
        <w:tc>
          <w:tcPr/>
          <w:p>
            <w:pPr>
              <w:pStyle w:val="Compact"/>
            </w:pPr>
            <w:r>
              <w:t xml:space="preserve">10.1016/j.contraception.2020.07.007</w:t>
            </w:r>
          </w:p>
        </w:tc>
        <w:tc>
          <w:tcPr/>
          <w:p>
            <w:pPr>
              <w:pStyle w:val="Compact"/>
            </w:pPr>
            <w:hyperlink r:id="rId97">
              <w:r>
                <w:rPr>
                  <w:rStyle w:val="Hyperlink"/>
                </w:rPr>
                <w:t xml:space="preserve">https://pubmed.ncbi.nlm.nih.gov/32707100/</w:t>
              </w:r>
            </w:hyperlink>
          </w:p>
        </w:tc>
      </w:tr>
      <w:tr>
        <w:tc>
          <w:tcPr/>
          <w:p>
            <w:pPr>
              <w:pStyle w:val="Compact"/>
            </w:pPr>
            <w:r>
              <w:t xml:space="preserve">2019</w:t>
            </w:r>
          </w:p>
        </w:tc>
        <w:tc>
          <w:tcPr/>
          <w:p>
            <w:pPr>
              <w:pStyle w:val="Compact"/>
            </w:pPr>
            <w:r>
              <w:t xml:space="preserve">SFP Annual</w:t>
            </w:r>
          </w:p>
        </w:tc>
        <w:tc>
          <w:tcPr/>
          <w:p>
            <w:pPr>
              <w:pStyle w:val="Compact"/>
            </w:pPr>
            <w:r>
              <w:t xml:space="preserve">10.1016/j.contraception.2019.07.008</w:t>
            </w:r>
          </w:p>
        </w:tc>
        <w:tc>
          <w:tcPr/>
          <w:p>
            <w:pPr>
              <w:pStyle w:val="Compact"/>
            </w:pPr>
            <w:r>
              <w:t xml:space="preserve">10.1016/j.contraception.2019.07.007</w:t>
            </w:r>
          </w:p>
        </w:tc>
        <w:tc>
          <w:tcPr/>
          <w:p>
            <w:pPr>
              <w:pStyle w:val="Compact"/>
            </w:pPr>
            <w:hyperlink r:id="rId98">
              <w:r>
                <w:rPr>
                  <w:rStyle w:val="Hyperlink"/>
                </w:rPr>
                <w:t xml:space="preserve">https://pubmed.ncbi.nlm.nih.gov/31348904/</w:t>
              </w:r>
            </w:hyperlink>
          </w:p>
        </w:tc>
      </w:tr>
      <w:tr>
        <w:tc>
          <w:tcPr/>
          <w:p>
            <w:pPr>
              <w:pStyle w:val="Compact"/>
            </w:pPr>
            <w:r>
              <w:t xml:space="preserve">2018</w:t>
            </w:r>
          </w:p>
        </w:tc>
        <w:tc>
          <w:tcPr/>
          <w:p>
            <w:pPr>
              <w:pStyle w:val="Compact"/>
            </w:pPr>
            <w:r>
              <w:t xml:space="preserve">NAFP (8th)</w:t>
            </w:r>
          </w:p>
        </w:tc>
        <w:tc>
          <w:tcPr/>
          <w:p>
            <w:pPr>
              <w:pStyle w:val="Compact"/>
            </w:pPr>
            <w:r>
              <w:t xml:space="preserve">10.1016/j.contraception.2018.07.006</w:t>
            </w:r>
          </w:p>
        </w:tc>
        <w:tc>
          <w:tcPr/>
          <w:p>
            <w:pPr>
              <w:pStyle w:val="Compact"/>
            </w:pPr>
            <w:r>
              <w:t xml:space="preserve">10.1016/j.contraception.2018.07.005</w:t>
            </w:r>
          </w:p>
        </w:tc>
        <w:tc>
          <w:tcPr/>
          <w:p>
            <w:pPr>
              <w:pStyle w:val="Compact"/>
            </w:pPr>
            <w:hyperlink r:id="rId99">
              <w:r>
                <w:rPr>
                  <w:rStyle w:val="Hyperlink"/>
                </w:rPr>
                <w:t xml:space="preserve">https://pubmed.ncbi.nlm.nih.gov/30031792/</w:t>
              </w:r>
            </w:hyperlink>
          </w:p>
        </w:tc>
      </w:tr>
      <w:tr>
        <w:tc>
          <w:tcPr/>
          <w:p>
            <w:pPr>
              <w:pStyle w:val="Compact"/>
            </w:pPr>
            <w:r>
              <w:t xml:space="preserve">2017</w:t>
            </w:r>
          </w:p>
        </w:tc>
        <w:tc>
          <w:tcPr/>
          <w:p>
            <w:pPr>
              <w:pStyle w:val="Compact"/>
            </w:pPr>
            <w:r>
              <w:t xml:space="preserve">NAFP (7th)</w:t>
            </w:r>
          </w:p>
        </w:tc>
        <w:tc>
          <w:tcPr/>
          <w:p>
            <w:pPr>
              <w:pStyle w:val="Compact"/>
            </w:pPr>
            <w:r>
              <w:t xml:space="preserve">10.1016/j.contraception.2017.07.163</w:t>
            </w:r>
          </w:p>
        </w:tc>
        <w:tc>
          <w:tcPr/>
          <w:p>
            <w:pPr>
              <w:pStyle w:val="Compact"/>
            </w:pPr>
            <w:r>
              <w:t xml:space="preserve">—</w:t>
            </w:r>
          </w:p>
        </w:tc>
        <w:tc>
          <w:tcPr/>
          <w:p>
            <w:pPr>
              <w:pStyle w:val="Compact"/>
            </w:pPr>
            <w:hyperlink r:id="rId100">
              <w:r>
                <w:rPr>
                  <w:rStyle w:val="Hyperlink"/>
                </w:rPr>
                <w:t xml:space="preserve">https://pubmed.ncbi.nlm.nih.gov/28757435/</w:t>
              </w:r>
            </w:hyperlink>
          </w:p>
        </w:tc>
      </w:tr>
      <w:tr>
        <w:tc>
          <w:tcPr/>
          <w:p>
            <w:pPr>
              <w:pStyle w:val="Compact"/>
            </w:pPr>
            <w:r>
              <w:t xml:space="preserve">2016</w:t>
            </w:r>
          </w:p>
        </w:tc>
        <w:tc>
          <w:tcPr/>
          <w:p>
            <w:pPr>
              <w:pStyle w:val="Compact"/>
            </w:pPr>
            <w:r>
              <w:t xml:space="preserve">NAFP (6th)</w:t>
            </w:r>
          </w:p>
        </w:tc>
        <w:tc>
          <w:tcPr/>
          <w:p>
            <w:pPr>
              <w:pStyle w:val="Compact"/>
            </w:pPr>
            <w:r>
              <w:t xml:space="preserve">10.1016/j.contraception.2016.07.189</w:t>
            </w:r>
          </w:p>
        </w:tc>
        <w:tc>
          <w:tcPr/>
          <w:p>
            <w:pPr>
              <w:pStyle w:val="Compact"/>
            </w:pPr>
            <w:r>
              <w:t xml:space="preserve">—</w:t>
            </w:r>
          </w:p>
        </w:tc>
        <w:tc>
          <w:tcPr/>
          <w:p>
            <w:pPr>
              <w:pStyle w:val="Compact"/>
            </w:pPr>
            <w:hyperlink r:id="rId101">
              <w:r>
                <w:rPr>
                  <w:rStyle w:val="Hyperlink"/>
                </w:rPr>
                <w:t xml:space="preserve">https://pubmed.ncbi.nlm.nih.gov/27477065/</w:t>
              </w:r>
            </w:hyperlink>
          </w:p>
        </w:tc>
      </w:tr>
      <w:tr>
        <w:tc>
          <w:tcPr/>
          <w:p>
            <w:pPr>
              <w:pStyle w:val="Compact"/>
            </w:pPr>
            <w:r>
              <w:t xml:space="preserve">2015</w:t>
            </w:r>
          </w:p>
        </w:tc>
        <w:tc>
          <w:tcPr/>
          <w:p>
            <w:pPr>
              <w:pStyle w:val="Compact"/>
            </w:pPr>
            <w:r>
              <w:t xml:space="preserve">NAFP (5th)</w:t>
            </w:r>
          </w:p>
        </w:tc>
        <w:tc>
          <w:tcPr/>
          <w:p>
            <w:pPr>
              <w:pStyle w:val="Compact"/>
            </w:pPr>
            <w:r>
              <w:t xml:space="preserve">10.1016/j.contraception.2015.06.024</w:t>
            </w:r>
          </w:p>
        </w:tc>
        <w:tc>
          <w:tcPr/>
          <w:p>
            <w:pPr>
              <w:pStyle w:val="Compact"/>
            </w:pPr>
            <w:r>
              <w:t xml:space="preserve">—</w:t>
            </w:r>
          </w:p>
        </w:tc>
        <w:tc>
          <w:tcPr/>
          <w:p>
            <w:pPr>
              <w:pStyle w:val="Compact"/>
            </w:pPr>
            <w:hyperlink r:id="rId102">
              <w:r>
                <w:rPr>
                  <w:rStyle w:val="Hyperlink"/>
                </w:rPr>
                <w:t xml:space="preserve">https://pubmed.ncbi.nlm.nih.gov/26141818/</w:t>
              </w:r>
            </w:hyperlink>
          </w:p>
        </w:tc>
      </w:tr>
      <w:tr>
        <w:tc>
          <w:tcPr/>
          <w:p>
            <w:pPr>
              <w:pStyle w:val="Compact"/>
            </w:pPr>
            <w:r>
              <w:t xml:space="preserve">2014</w:t>
            </w:r>
          </w:p>
        </w:tc>
        <w:tc>
          <w:tcPr/>
          <w:p>
            <w:pPr>
              <w:pStyle w:val="Compact"/>
            </w:pPr>
            <w:r>
              <w:t xml:space="preserve">NAFP (4th)</w:t>
            </w:r>
          </w:p>
        </w:tc>
        <w:tc>
          <w:tcPr/>
          <w:p>
            <w:pPr>
              <w:pStyle w:val="Compact"/>
            </w:pPr>
            <w:r>
              <w:t xml:space="preserve">Not found</w:t>
            </w:r>
          </w:p>
        </w:tc>
        <w:tc>
          <w:tcPr/>
          <w:p>
            <w:pPr>
              <w:pStyle w:val="Compact"/>
            </w:pPr>
            <w:r>
              <w:t xml:space="preserve">—</w:t>
            </w:r>
          </w:p>
        </w:tc>
        <w:tc>
          <w:tcPr/>
          <w:p>
            <w:pPr>
              <w:pStyle w:val="Compact"/>
            </w:pPr>
            <w:r>
              <w:t xml:space="preserve">—</w:t>
            </w:r>
          </w:p>
        </w:tc>
      </w:tr>
      <w:tr>
        <w:tc>
          <w:tcPr/>
          <w:p>
            <w:pPr>
              <w:pStyle w:val="Compact"/>
            </w:pPr>
            <w:r>
              <w:t xml:space="preserve">2013</w:t>
            </w:r>
          </w:p>
        </w:tc>
        <w:tc>
          <w:tcPr/>
          <w:p>
            <w:pPr>
              <w:pStyle w:val="Compact"/>
            </w:pPr>
            <w:r>
              <w:t xml:space="preserve">NAFP (3rd)</w:t>
            </w:r>
          </w:p>
        </w:tc>
        <w:tc>
          <w:tcPr/>
          <w:p>
            <w:pPr>
              <w:pStyle w:val="Compact"/>
            </w:pPr>
            <w:r>
              <w:t xml:space="preserve">Not found</w:t>
            </w:r>
          </w:p>
        </w:tc>
        <w:tc>
          <w:tcPr/>
          <w:p>
            <w:pPr>
              <w:pStyle w:val="Compact"/>
            </w:pPr>
            <w:r>
              <w:t xml:space="preserve">—</w:t>
            </w:r>
          </w:p>
        </w:tc>
        <w:tc>
          <w:tcPr/>
          <w:p>
            <w:pPr>
              <w:pStyle w:val="Compact"/>
            </w:pPr>
            <w:r>
              <w:t xml:space="preserve">—</w:t>
            </w:r>
          </w:p>
        </w:tc>
      </w:tr>
    </w:tbl>
    <w:p>
      <w:pPr>
        <w:pStyle w:val="BodyText"/>
      </w:pPr>
      <w:r>
        <w:rPr>
          <w:b/>
          <w:bCs/>
        </w:rPr>
        <w:t xml:space="preserve">Pipeline implications:</w:t>
      </w:r>
      <w:r>
        <w:t xml:space="preserve"> </w:t>
      </w:r>
      <w:r>
        <w:t xml:space="preserve">Because individual SFP abstracts lack unique DOIs, the DOI-chain search (</w:t>
      </w:r>
      <w:r>
        <w:rPr>
          <w:rStyle w:val="VerbatimChar"/>
        </w:rPr>
        <w:t xml:space="preserve">03c_doi_chain_search.R</w:t>
      </w:r>
      <w:r>
        <w:t xml:space="preserve">) and ScienceDirect-level affiliation backfill cannot be applied per abstract. Abstract ingestion would require parsing the full-text HTML of the collection article to extract individual abstracts and authors, then matching each against PubMed and CrossRef by title/author string — the same strategy used for AUGS. The abstract collection articles are freely accessible via PubMed and resolvable via</w:t>
      </w:r>
      <w:r>
        <w:t xml:space="preserve"> </w:t>
      </w:r>
      <w:r>
        <w:rPr>
          <w:rStyle w:val="VerbatimChar"/>
        </w:rPr>
        <w:t xml:space="preserve">https://doi.org/10.1016/j.contraception.YYYY.MM.NNN</w:t>
      </w:r>
      <w:r>
        <w:t xml:space="preserve">.</w:t>
      </w:r>
    </w:p>
    <w:p>
      <w:pPr>
        <w:pStyle w:val="BodyText"/>
      </w:pPr>
      <w:r>
        <w:rPr>
          <w:b/>
          <w:bCs/>
        </w:rPr>
        <w:t xml:space="preserve">Comparison across all five societies:</w:t>
      </w:r>
    </w:p>
    <w:tbl>
      <w:tblPr>
        <w:tblStyle w:val="Table"/>
        <w:tblW w:type="pct" w:w="5000"/>
        <w:tblLayout w:type="fixed"/>
        <w:tblLook w:firstRow="1" w:lastRow="0" w:firstColumn="0" w:lastColumn="0" w:noHBand="0" w:noVBand="0" w:val="0020"/>
      </w:tblPr>
      <w:tblGrid>
        <w:gridCol w:w="792"/>
        <w:gridCol w:w="1144"/>
        <w:gridCol w:w="1144"/>
        <w:gridCol w:w="1056"/>
        <w:gridCol w:w="1936"/>
        <w:gridCol w:w="1848"/>
      </w:tblGrid>
      <w:tr>
        <w:trPr>
          <w:tblHeader w:val="on"/>
        </w:trPr>
        <w:tc>
          <w:tcPr/>
          <w:p>
            <w:pPr>
              <w:pStyle w:val="Compact"/>
            </w:pPr>
            <w:r>
              <w:t xml:space="preserve">Feature</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r>
      <w:tr>
        <w:tc>
          <w:tcPr/>
          <w:p>
            <w:pPr>
              <w:pStyle w:val="Compact"/>
            </w:pPr>
            <w:r>
              <w:t xml:space="preserve">Individual abstract DOIs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Elsevier/ScienceDirect</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 (LWW)</w:t>
            </w:r>
          </w:p>
        </w:tc>
        <w:tc>
          <w:tcPr/>
          <w:p>
            <w:pPr>
              <w:pStyle w:val="Compact"/>
            </w:pPr>
            <w:r>
              <w:t xml:space="preserve">Yes</w:t>
            </w:r>
          </w:p>
        </w:tc>
      </w:tr>
      <w:tr>
        <w:tc>
          <w:tcPr/>
          <w:p>
            <w:pPr>
              <w:pStyle w:val="Compact"/>
            </w:pPr>
            <w:r>
              <w:t xml:space="preserve">DOI-chain search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No</w:t>
            </w:r>
          </w:p>
        </w:tc>
      </w:tr>
      <w:tr>
        <w:tc>
          <w:tcPr/>
          <w:p>
            <w:pPr>
              <w:pStyle w:val="Compact"/>
            </w:pPr>
            <w:r>
              <w:t xml:space="preserve">Affiliation backfill applicable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Partial</w:t>
            </w:r>
          </w:p>
        </w:tc>
      </w:tr>
      <w:tr>
        <w:tc>
          <w:tcPr/>
          <w:p>
            <w:pPr>
              <w:pStyle w:val="Compact"/>
            </w:pPr>
            <w:r>
              <w:t xml:space="preserve">Auth required to browse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w:t>
            </w:r>
          </w:p>
        </w:tc>
        <w:tc>
          <w:tcPr/>
          <w:p>
            <w:pPr>
              <w:pStyle w:val="Compact"/>
            </w:pPr>
            <w:r>
              <w:t xml:space="preserve">No (via PubMed)</w:t>
            </w:r>
          </w:p>
        </w:tc>
      </w:tr>
      <w:tr>
        <w:tc>
          <w:tcPr/>
          <w:p>
            <w:pPr>
              <w:pStyle w:val="Compact"/>
            </w:pPr>
            <w: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r>
      <w:tr>
        <w:tc>
          <w:tcPr/>
          <w:p>
            <w:pPr>
              <w:pStyle w:val="Compact"/>
            </w:pPr>
            <w:r>
              <w:t xml:space="preserve">Abstract collection format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Supplement</w:t>
            </w:r>
          </w:p>
        </w:tc>
        <w:tc>
          <w:tcPr/>
          <w:p>
            <w:pPr>
              <w:pStyle w:val="Compact"/>
            </w:pPr>
            <w:r>
              <w:t xml:space="preserve">Regular article</w:t>
            </w:r>
          </w:p>
        </w:tc>
      </w:tr>
    </w:tbl>
    <w:p>
      <w:pPr>
        <w:pStyle w:val="BodyText"/>
      </w:pPr>
      <w:r>
        <w:rPr>
          <w:i/>
          <w:iCs/>
        </w:rPr>
        <w:t xml:space="preserve">Sources:</w:t>
      </w:r>
      <w:r>
        <w:rPr>
          <w:i/>
          <w:iCs/>
        </w:rPr>
        <w:t xml:space="preserve"> </w:t>
      </w:r>
      <w:hyperlink r:id="rId103">
        <w:r>
          <w:rPr>
            <w:rStyle w:val="Hyperlink"/>
            <w:i/>
            <w:iCs/>
          </w:rPr>
          <w:t xml:space="preserve">https://societyfp.org/learning/annual-meeting/</w:t>
        </w:r>
      </w:hyperlink>
      <w:r>
        <w:rPr>
          <w:i/>
          <w:iCs/>
        </w:rPr>
        <w:t xml:space="preserve">;</w:t>
      </w:r>
      <w:r>
        <w:rPr>
          <w:i/>
          <w:iCs/>
        </w:rPr>
        <w:t xml:space="preserve"> </w:t>
      </w:r>
      <w:hyperlink r:id="rId94">
        <w:r>
          <w:rPr>
            <w:rStyle w:val="Hyperlink"/>
            <w:i/>
            <w:iCs/>
          </w:rPr>
          <w:t xml:space="preserve">https://pubmed.ncbi.nlm.nih.gov/37821000/</w:t>
        </w:r>
      </w:hyperlink>
      <w:r>
        <w:rPr>
          <w:i/>
          <w:iCs/>
        </w:rPr>
        <w:t xml:space="preserve">;</w:t>
      </w:r>
      <w:r>
        <w:rPr>
          <w:i/>
          <w:iCs/>
        </w:rPr>
        <w:t xml:space="preserve"> </w:t>
      </w:r>
      <w:hyperlink r:id="rId104">
        <w:r>
          <w:rPr>
            <w:rStyle w:val="Hyperlink"/>
            <w:i/>
            <w:iCs/>
          </w:rPr>
          <w:t xml:space="preserve">https://www.contraceptionjournal.org/article/S0010-7824(18)30259-2/fulltext</w:t>
        </w:r>
      </w:hyperlink>
    </w:p>
    <w:bookmarkEnd w:id="105"/>
    <w:bookmarkStart w:id="119" w:name="a11.13-naspagacrm-abstract-urls-20132023"/>
    <w:p>
      <w:pPr>
        <w:pStyle w:val="Heading3"/>
      </w:pPr>
      <w:r>
        <w:t xml:space="preserve">A11.13 NASPAG/ACRM Abstract URLs (2013–2023)</w:t>
      </w:r>
    </w:p>
    <w:p>
      <w:pPr>
        <w:pStyle w:val="FirstParagraph"/>
      </w:pPr>
      <w:r>
        <w:t xml:space="preserve">NASPAG (North American Society for Pediatric and Adolescent Gynecology) Annual Clinical and Research Meeting (ACRM) abstracts are published in the</w:t>
      </w:r>
      <w:r>
        <w:t xml:space="preserve"> </w:t>
      </w:r>
      <w:r>
        <w:rPr>
          <w:i/>
          <w:iCs/>
        </w:rPr>
        <w:t xml:space="preserve">Journal of Pediatric and Adolescent Gynecology</w:t>
      </w:r>
      <w:r>
        <w:t xml:space="preserve"> </w:t>
      </w:r>
      <w:r>
        <w:t xml:space="preserve">(JPAG, ISSN 1083-3188, Elsevier/ScienceDirect). Each abstract receives a unique DOI following the pattern</w:t>
      </w:r>
      <w:r>
        <w:t xml:space="preserve"> </w:t>
      </w:r>
      <w:r>
        <w:rPr>
          <w:rStyle w:val="VerbatimChar"/>
        </w:rPr>
        <w:t xml:space="preserve">10.1016/j.jpag.YYYY.MM.NNN</w:t>
      </w:r>
      <w:r>
        <w:t xml:space="preserve"> </w:t>
      </w:r>
      <w:r>
        <w:t xml:space="preserve">— the same individual-DOI model as SMFM and ASRM. Abstracts consistently appear in Issue 2 of each volume, and volume number follows the formula: Volume = Year − 1987. The 2020 ACRM was cancelled due to COVID-19 but accepted abstracts were still published; 2021 and 2022 meetings were virtual. Abstract counts are small (~16–54/year), making NASPAG the lowest-volume society in this comparison.</w:t>
      </w:r>
    </w:p>
    <w:tbl>
      <w:tblPr>
        <w:tblStyle w:val="Table"/>
        <w:tblW w:type="pct" w:w="5000"/>
        <w:tblLayout w:type="fixed"/>
        <w:tblLook w:firstRow="1" w:lastRow="0" w:firstColumn="0" w:lastColumn="0" w:noHBand="0" w:noVBand="0" w:val="0020"/>
      </w:tblPr>
      <w:tblGrid>
        <w:gridCol w:w="754"/>
        <w:gridCol w:w="1131"/>
        <w:gridCol w:w="1257"/>
        <w:gridCol w:w="880"/>
        <w:gridCol w:w="2388"/>
        <w:gridCol w:w="1508"/>
      </w:tblGrid>
      <w:tr>
        <w:trPr>
          <w:tblHeader w:val="on"/>
        </w:trPr>
        <w:tc>
          <w:tcPr/>
          <w:p>
            <w:pPr>
              <w:pStyle w:val="Compact"/>
            </w:pPr>
            <w:r>
              <w:t xml:space="preserve">Year</w:t>
            </w:r>
          </w:p>
        </w:tc>
        <w:tc>
          <w:tcPr/>
          <w:p>
            <w:pPr>
              <w:pStyle w:val="Compact"/>
            </w:pPr>
            <w:r>
              <w:t xml:space="preserve">Meeting</w:t>
            </w:r>
          </w:p>
        </w:tc>
        <w:tc>
          <w:tcPr/>
          <w:p>
            <w:pPr>
              <w:pStyle w:val="Compact"/>
            </w:pPr>
            <w:r>
              <w:t xml:space="preserve">JPAG Vol</w:t>
            </w:r>
          </w:p>
        </w:tc>
        <w:tc>
          <w:tcPr/>
          <w:p>
            <w:pPr>
              <w:pStyle w:val="Compact"/>
            </w:pPr>
            <w:r>
              <w:t xml:space="preserve">Issue</w:t>
            </w:r>
          </w:p>
        </w:tc>
        <w:tc>
          <w:tcPr/>
          <w:p>
            <w:pPr>
              <w:pStyle w:val="Compact"/>
            </w:pPr>
            <w:r>
              <w:t xml:space="preserve">ScienceDirect URL</w:t>
            </w:r>
          </w:p>
        </w:tc>
        <w:tc>
          <w:tcPr/>
          <w:p>
            <w:pPr>
              <w:pStyle w:val="Compact"/>
            </w:pPr>
            <w:r>
              <w:t xml:space="preserve">Sample DOI</w:t>
            </w:r>
          </w:p>
        </w:tc>
      </w:tr>
      <w:tr>
        <w:tc>
          <w:tcPr/>
          <w:p>
            <w:pPr>
              <w:pStyle w:val="Compact"/>
            </w:pPr>
            <w:r>
              <w:t xml:space="preserve">2023</w:t>
            </w:r>
          </w:p>
        </w:tc>
        <w:tc>
          <w:tcPr/>
          <w:p>
            <w:pPr>
              <w:pStyle w:val="Compact"/>
            </w:pPr>
            <w:r>
              <w:t xml:space="preserve">37th ACRM, Nashville, TN</w:t>
            </w:r>
          </w:p>
        </w:tc>
        <w:tc>
          <w:tcPr/>
          <w:p>
            <w:pPr>
              <w:pStyle w:val="Compact"/>
            </w:pPr>
            <w:r>
              <w:t xml:space="preserve">36</w:t>
            </w:r>
          </w:p>
        </w:tc>
        <w:tc>
          <w:tcPr/>
          <w:p>
            <w:pPr>
              <w:pStyle w:val="Compact"/>
            </w:pPr>
            <w:r>
              <w:t xml:space="preserve">2</w:t>
            </w:r>
          </w:p>
        </w:tc>
        <w:tc>
          <w:tcPr/>
          <w:p>
            <w:pPr>
              <w:pStyle w:val="Compact"/>
            </w:pPr>
            <w:hyperlink r:id="rId106">
              <w:r>
                <w:rPr>
                  <w:rStyle w:val="Hyperlink"/>
                </w:rPr>
                <w:t xml:space="preserve">https://www.sciencedirect.com/journal/journal-of-pediatric-and-adolescent-gynecology/vol/36/issue/2</w:t>
              </w:r>
            </w:hyperlink>
          </w:p>
        </w:tc>
        <w:tc>
          <w:tcPr/>
          <w:p>
            <w:pPr>
              <w:pStyle w:val="Compact"/>
            </w:pPr>
            <w:r>
              <w:t xml:space="preserve">10.1016/j.jpag.2023.01.089</w:t>
            </w:r>
          </w:p>
        </w:tc>
      </w:tr>
      <w:tr>
        <w:tc>
          <w:tcPr/>
          <w:p>
            <w:pPr>
              <w:pStyle w:val="Compact"/>
            </w:pPr>
            <w:r>
              <w:t xml:space="preserve">2022</w:t>
            </w:r>
          </w:p>
        </w:tc>
        <w:tc>
          <w:tcPr/>
          <w:p>
            <w:pPr>
              <w:pStyle w:val="Compact"/>
            </w:pPr>
            <w:r>
              <w:t xml:space="preserve">36th ACRM (Virtual)</w:t>
            </w:r>
          </w:p>
        </w:tc>
        <w:tc>
          <w:tcPr/>
          <w:p>
            <w:pPr>
              <w:pStyle w:val="Compact"/>
            </w:pPr>
            <w:r>
              <w:t xml:space="preserve">35</w:t>
            </w:r>
          </w:p>
        </w:tc>
        <w:tc>
          <w:tcPr/>
          <w:p>
            <w:pPr>
              <w:pStyle w:val="Compact"/>
            </w:pPr>
            <w:r>
              <w:t xml:space="preserve">2</w:t>
            </w:r>
          </w:p>
        </w:tc>
        <w:tc>
          <w:tcPr/>
          <w:p>
            <w:pPr>
              <w:pStyle w:val="Compact"/>
            </w:pPr>
            <w:hyperlink r:id="rId107">
              <w:r>
                <w:rPr>
                  <w:rStyle w:val="Hyperlink"/>
                </w:rPr>
                <w:t xml:space="preserve">https://www.sciencedirect.com/journal/journal-of-pediatric-and-adolescent-gynecology/vol/35/issue/2</w:t>
              </w:r>
            </w:hyperlink>
          </w:p>
        </w:tc>
        <w:tc>
          <w:tcPr/>
          <w:p>
            <w:pPr>
              <w:pStyle w:val="Compact"/>
            </w:pPr>
            <w:r>
              <w:t xml:space="preserve">10.1016/j.jpag.2022.01.xxx</w:t>
            </w:r>
          </w:p>
        </w:tc>
      </w:tr>
      <w:tr>
        <w:tc>
          <w:tcPr/>
          <w:p>
            <w:pPr>
              <w:pStyle w:val="Compact"/>
            </w:pPr>
            <w:r>
              <w:t xml:space="preserve">2021</w:t>
            </w:r>
          </w:p>
        </w:tc>
        <w:tc>
          <w:tcPr/>
          <w:p>
            <w:pPr>
              <w:pStyle w:val="Compact"/>
            </w:pPr>
            <w:r>
              <w:t xml:space="preserve">35th ACRM (Virtual)</w:t>
            </w:r>
          </w:p>
        </w:tc>
        <w:tc>
          <w:tcPr/>
          <w:p>
            <w:pPr>
              <w:pStyle w:val="Compact"/>
            </w:pPr>
            <w:r>
              <w:t xml:space="preserve">34</w:t>
            </w:r>
          </w:p>
        </w:tc>
        <w:tc>
          <w:tcPr/>
          <w:p>
            <w:pPr>
              <w:pStyle w:val="Compact"/>
            </w:pPr>
            <w:r>
              <w:t xml:space="preserve">2</w:t>
            </w:r>
          </w:p>
        </w:tc>
        <w:tc>
          <w:tcPr/>
          <w:p>
            <w:pPr>
              <w:pStyle w:val="Compact"/>
            </w:pPr>
            <w:hyperlink r:id="rId108">
              <w:r>
                <w:rPr>
                  <w:rStyle w:val="Hyperlink"/>
                </w:rPr>
                <w:t xml:space="preserve">https://www.sciencedirect.com/journal/journal-of-pediatric-and-adolescent-gynecology/vol/34/issue/2</w:t>
              </w:r>
            </w:hyperlink>
          </w:p>
        </w:tc>
        <w:tc>
          <w:tcPr/>
          <w:p>
            <w:pPr>
              <w:pStyle w:val="Compact"/>
            </w:pPr>
            <w:r>
              <w:t xml:space="preserve">10.1016/j.jpag.2021.02.005</w:t>
            </w:r>
          </w:p>
        </w:tc>
      </w:tr>
      <w:tr>
        <w:tc>
          <w:tcPr/>
          <w:p>
            <w:pPr>
              <w:pStyle w:val="Compact"/>
            </w:pPr>
            <w:r>
              <w:t xml:space="preserve">2020</w:t>
            </w:r>
          </w:p>
        </w:tc>
        <w:tc>
          <w:tcPr/>
          <w:p>
            <w:pPr>
              <w:pStyle w:val="Compact"/>
            </w:pPr>
            <w:r>
              <w:t xml:space="preserve">34th ACRM (Cancelled — abstracts published)</w:t>
            </w:r>
          </w:p>
        </w:tc>
        <w:tc>
          <w:tcPr/>
          <w:p>
            <w:pPr>
              <w:pStyle w:val="Compact"/>
            </w:pPr>
            <w:r>
              <w:t xml:space="preserve">33</w:t>
            </w:r>
          </w:p>
        </w:tc>
        <w:tc>
          <w:tcPr/>
          <w:p>
            <w:pPr>
              <w:pStyle w:val="Compact"/>
            </w:pPr>
            <w:r>
              <w:t xml:space="preserve">2</w:t>
            </w:r>
          </w:p>
        </w:tc>
        <w:tc>
          <w:tcPr/>
          <w:p>
            <w:pPr>
              <w:pStyle w:val="Compact"/>
            </w:pPr>
            <w:hyperlink r:id="rId109">
              <w:r>
                <w:rPr>
                  <w:rStyle w:val="Hyperlink"/>
                </w:rPr>
                <w:t xml:space="preserve">https://www.sciencedirect.com/journal/journal-of-pediatric-and-adolescent-gynecology/vol/33/issue/2</w:t>
              </w:r>
            </w:hyperlink>
          </w:p>
        </w:tc>
        <w:tc>
          <w:tcPr/>
          <w:p>
            <w:pPr>
              <w:pStyle w:val="Compact"/>
            </w:pPr>
            <w:r>
              <w:t xml:space="preserve">10.1016/j.jpag.2020.01.xxx</w:t>
            </w:r>
          </w:p>
        </w:tc>
      </w:tr>
      <w:tr>
        <w:tc>
          <w:tcPr/>
          <w:p>
            <w:pPr>
              <w:pStyle w:val="Compact"/>
            </w:pPr>
            <w:r>
              <w:t xml:space="preserve">2019</w:t>
            </w:r>
          </w:p>
        </w:tc>
        <w:tc>
          <w:tcPr/>
          <w:p>
            <w:pPr>
              <w:pStyle w:val="Compact"/>
            </w:pPr>
            <w:r>
              <w:t xml:space="preserve">33rd ACRM</w:t>
            </w:r>
          </w:p>
        </w:tc>
        <w:tc>
          <w:tcPr/>
          <w:p>
            <w:pPr>
              <w:pStyle w:val="Compact"/>
            </w:pPr>
            <w:r>
              <w:t xml:space="preserve">32</w:t>
            </w:r>
          </w:p>
        </w:tc>
        <w:tc>
          <w:tcPr/>
          <w:p>
            <w:pPr>
              <w:pStyle w:val="Compact"/>
            </w:pPr>
            <w:r>
              <w:t xml:space="preserve">2</w:t>
            </w:r>
          </w:p>
        </w:tc>
        <w:tc>
          <w:tcPr/>
          <w:p>
            <w:pPr>
              <w:pStyle w:val="Compact"/>
            </w:pPr>
            <w:hyperlink r:id="rId110">
              <w:r>
                <w:rPr>
                  <w:rStyle w:val="Hyperlink"/>
                </w:rPr>
                <w:t xml:space="preserve">https://www.sciencedirect.com/journal/journal-of-pediatric-and-adolescent-gynecology/vol/32/issue/2</w:t>
              </w:r>
            </w:hyperlink>
          </w:p>
        </w:tc>
        <w:tc>
          <w:tcPr/>
          <w:p>
            <w:pPr>
              <w:pStyle w:val="Compact"/>
            </w:pPr>
            <w:r>
              <w:t xml:space="preserve">10.1016/j.jpag.2019.02.002</w:t>
            </w:r>
          </w:p>
        </w:tc>
      </w:tr>
      <w:tr>
        <w:tc>
          <w:tcPr/>
          <w:p>
            <w:pPr>
              <w:pStyle w:val="Compact"/>
            </w:pPr>
            <w:r>
              <w:t xml:space="preserve">2018</w:t>
            </w:r>
          </w:p>
        </w:tc>
        <w:tc>
          <w:tcPr/>
          <w:p>
            <w:pPr>
              <w:pStyle w:val="Compact"/>
            </w:pPr>
            <w:r>
              <w:t xml:space="preserve">32nd ACRM</w:t>
            </w:r>
          </w:p>
        </w:tc>
        <w:tc>
          <w:tcPr/>
          <w:p>
            <w:pPr>
              <w:pStyle w:val="Compact"/>
            </w:pPr>
            <w:r>
              <w:t xml:space="preserve">31</w:t>
            </w:r>
          </w:p>
        </w:tc>
        <w:tc>
          <w:tcPr/>
          <w:p>
            <w:pPr>
              <w:pStyle w:val="Compact"/>
            </w:pPr>
            <w:r>
              <w:t xml:space="preserve">2</w:t>
            </w:r>
          </w:p>
        </w:tc>
        <w:tc>
          <w:tcPr/>
          <w:p>
            <w:pPr>
              <w:pStyle w:val="Compact"/>
            </w:pPr>
            <w:hyperlink r:id="rId111">
              <w:r>
                <w:rPr>
                  <w:rStyle w:val="Hyperlink"/>
                </w:rPr>
                <w:t xml:space="preserve">https://www.sciencedirect.com/journal/journal-of-pediatric-and-adolescent-gynecology/vol/31/issue/2</w:t>
              </w:r>
            </w:hyperlink>
          </w:p>
        </w:tc>
        <w:tc>
          <w:tcPr/>
          <w:p>
            <w:pPr>
              <w:pStyle w:val="Compact"/>
            </w:pPr>
            <w:r>
              <w:t xml:space="preserve">10.1016/j.jpag.2018.02.017</w:t>
            </w:r>
          </w:p>
        </w:tc>
      </w:tr>
      <w:tr>
        <w:tc>
          <w:tcPr/>
          <w:p>
            <w:pPr>
              <w:pStyle w:val="Compact"/>
            </w:pPr>
            <w:r>
              <w:t xml:space="preserve">2017</w:t>
            </w:r>
          </w:p>
        </w:tc>
        <w:tc>
          <w:tcPr/>
          <w:p>
            <w:pPr>
              <w:pStyle w:val="Compact"/>
            </w:pPr>
            <w:r>
              <w:t xml:space="preserve">31st ACRM, Chicago, IL</w:t>
            </w:r>
          </w:p>
        </w:tc>
        <w:tc>
          <w:tcPr/>
          <w:p>
            <w:pPr>
              <w:pStyle w:val="Compact"/>
            </w:pPr>
            <w:r>
              <w:t xml:space="preserve">30</w:t>
            </w:r>
          </w:p>
        </w:tc>
        <w:tc>
          <w:tcPr/>
          <w:p>
            <w:pPr>
              <w:pStyle w:val="Compact"/>
            </w:pPr>
            <w:r>
              <w:t xml:space="preserve">2</w:t>
            </w:r>
          </w:p>
        </w:tc>
        <w:tc>
          <w:tcPr/>
          <w:p>
            <w:pPr>
              <w:pStyle w:val="Compact"/>
            </w:pPr>
            <w:hyperlink r:id="rId112">
              <w:r>
                <w:rPr>
                  <w:rStyle w:val="Hyperlink"/>
                </w:rPr>
                <w:t xml:space="preserve">https://www.sciencedirect.com/journal/journal-of-pediatric-and-adolescent-gynecology/vol/30/issue/2</w:t>
              </w:r>
            </w:hyperlink>
          </w:p>
        </w:tc>
        <w:tc>
          <w:tcPr/>
          <w:p>
            <w:pPr>
              <w:pStyle w:val="Compact"/>
            </w:pPr>
            <w:r>
              <w:t xml:space="preserve">10.1016/j.jpag.2017.03.013</w:t>
            </w:r>
          </w:p>
        </w:tc>
      </w:tr>
      <w:tr>
        <w:tc>
          <w:tcPr/>
          <w:p>
            <w:pPr>
              <w:pStyle w:val="Compact"/>
            </w:pPr>
            <w:r>
              <w:t xml:space="preserve">2016</w:t>
            </w:r>
          </w:p>
        </w:tc>
        <w:tc>
          <w:tcPr/>
          <w:p>
            <w:pPr>
              <w:pStyle w:val="Compact"/>
            </w:pPr>
            <w:r>
              <w:t xml:space="preserve">30th ACRM, Toronto, ON</w:t>
            </w:r>
          </w:p>
        </w:tc>
        <w:tc>
          <w:tcPr/>
          <w:p>
            <w:pPr>
              <w:pStyle w:val="Compact"/>
            </w:pPr>
            <w:r>
              <w:t xml:space="preserve">29</w:t>
            </w:r>
          </w:p>
        </w:tc>
        <w:tc>
          <w:tcPr/>
          <w:p>
            <w:pPr>
              <w:pStyle w:val="Compact"/>
            </w:pPr>
            <w:r>
              <w:t xml:space="preserve">2</w:t>
            </w:r>
          </w:p>
        </w:tc>
        <w:tc>
          <w:tcPr/>
          <w:p>
            <w:pPr>
              <w:pStyle w:val="Compact"/>
            </w:pPr>
            <w:hyperlink r:id="rId113">
              <w:r>
                <w:rPr>
                  <w:rStyle w:val="Hyperlink"/>
                </w:rPr>
                <w:t xml:space="preserve">https://www.sciencedirect.com/journal/journal-of-pediatric-and-adolescent-gynecology/vol/29/issue/2</w:t>
              </w:r>
            </w:hyperlink>
          </w:p>
        </w:tc>
        <w:tc>
          <w:tcPr/>
          <w:p>
            <w:pPr>
              <w:pStyle w:val="Compact"/>
            </w:pPr>
            <w:r>
              <w:t xml:space="preserve">10.1016/j.jpag.2016.01.003</w:t>
            </w:r>
          </w:p>
        </w:tc>
      </w:tr>
      <w:tr>
        <w:tc>
          <w:tcPr/>
          <w:p>
            <w:pPr>
              <w:pStyle w:val="Compact"/>
            </w:pPr>
            <w:r>
              <w:t xml:space="preserve">2015</w:t>
            </w:r>
          </w:p>
        </w:tc>
        <w:tc>
          <w:tcPr/>
          <w:p>
            <w:pPr>
              <w:pStyle w:val="Compact"/>
            </w:pPr>
            <w:r>
              <w:t xml:space="preserve">29th ACRM, Orlando, FL</w:t>
            </w:r>
          </w:p>
        </w:tc>
        <w:tc>
          <w:tcPr/>
          <w:p>
            <w:pPr>
              <w:pStyle w:val="Compact"/>
            </w:pPr>
            <w:r>
              <w:t xml:space="preserve">28</w:t>
            </w:r>
          </w:p>
        </w:tc>
        <w:tc>
          <w:tcPr/>
          <w:p>
            <w:pPr>
              <w:pStyle w:val="Compact"/>
            </w:pPr>
            <w:r>
              <w:t xml:space="preserve">2</w:t>
            </w:r>
          </w:p>
        </w:tc>
        <w:tc>
          <w:tcPr/>
          <w:p>
            <w:pPr>
              <w:pStyle w:val="Compact"/>
            </w:pPr>
            <w:hyperlink r:id="rId114">
              <w:r>
                <w:rPr>
                  <w:rStyle w:val="Hyperlink"/>
                </w:rPr>
                <w:t xml:space="preserve">https://www.sciencedirect.com/journal/journal-of-pediatric-and-adolescent-gynecology/vol/28/issue/2</w:t>
              </w:r>
            </w:hyperlink>
          </w:p>
        </w:tc>
        <w:tc>
          <w:tcPr/>
          <w:p>
            <w:pPr>
              <w:pStyle w:val="Compact"/>
            </w:pPr>
            <w:r>
              <w:t xml:space="preserve">10.1016/j.jpag.2015.02.005</w:t>
            </w:r>
          </w:p>
        </w:tc>
      </w:tr>
      <w:tr>
        <w:tc>
          <w:tcPr/>
          <w:p>
            <w:pPr>
              <w:pStyle w:val="Compact"/>
            </w:pPr>
            <w:r>
              <w:t xml:space="preserve">2014</w:t>
            </w:r>
          </w:p>
        </w:tc>
        <w:tc>
          <w:tcPr/>
          <w:p>
            <w:pPr>
              <w:pStyle w:val="Compact"/>
            </w:pPr>
            <w:r>
              <w:t xml:space="preserve">28th ACRM, Philadelphia, PA</w:t>
            </w:r>
          </w:p>
        </w:tc>
        <w:tc>
          <w:tcPr/>
          <w:p>
            <w:pPr>
              <w:pStyle w:val="Compact"/>
            </w:pPr>
            <w:r>
              <w:t xml:space="preserve">27</w:t>
            </w:r>
          </w:p>
        </w:tc>
        <w:tc>
          <w:tcPr/>
          <w:p>
            <w:pPr>
              <w:pStyle w:val="Compact"/>
            </w:pPr>
            <w:r>
              <w:t xml:space="preserve">2</w:t>
            </w:r>
          </w:p>
        </w:tc>
        <w:tc>
          <w:tcPr/>
          <w:p>
            <w:pPr>
              <w:pStyle w:val="Compact"/>
            </w:pPr>
            <w:hyperlink r:id="rId115">
              <w:r>
                <w:rPr>
                  <w:rStyle w:val="Hyperlink"/>
                </w:rPr>
                <w:t xml:space="preserve">https://www.sciencedirect.com/journal/journal-of-pediatric-and-adolescent-gynecology/vol/27/issue/2</w:t>
              </w:r>
            </w:hyperlink>
          </w:p>
        </w:tc>
        <w:tc>
          <w:tcPr/>
          <w:p>
            <w:pPr>
              <w:pStyle w:val="Compact"/>
            </w:pPr>
            <w:r>
              <w:t xml:space="preserve">10.1016/j.jpag.2014.01.007</w:t>
            </w:r>
          </w:p>
        </w:tc>
      </w:tr>
      <w:tr>
        <w:tc>
          <w:tcPr/>
          <w:p>
            <w:pPr>
              <w:pStyle w:val="Compact"/>
            </w:pPr>
            <w:r>
              <w:t xml:space="preserve">2013</w:t>
            </w:r>
          </w:p>
        </w:tc>
        <w:tc>
          <w:tcPr/>
          <w:p>
            <w:pPr>
              <w:pStyle w:val="Compact"/>
            </w:pPr>
            <w:r>
              <w:t xml:space="preserve">27th ACRM</w:t>
            </w:r>
          </w:p>
        </w:tc>
        <w:tc>
          <w:tcPr/>
          <w:p>
            <w:pPr>
              <w:pStyle w:val="Compact"/>
            </w:pPr>
            <w:r>
              <w:t xml:space="preserve">26</w:t>
            </w:r>
          </w:p>
        </w:tc>
        <w:tc>
          <w:tcPr/>
          <w:p>
            <w:pPr>
              <w:pStyle w:val="Compact"/>
            </w:pPr>
            <w:r>
              <w:t xml:space="preserve">2</w:t>
            </w:r>
          </w:p>
        </w:tc>
        <w:tc>
          <w:tcPr/>
          <w:p>
            <w:pPr>
              <w:pStyle w:val="Compact"/>
            </w:pPr>
            <w:hyperlink r:id="rId116">
              <w:r>
                <w:rPr>
                  <w:rStyle w:val="Hyperlink"/>
                </w:rPr>
                <w:t xml:space="preserve">https://www.sciencedirect.com/journal/journal-of-pediatric-and-adolescent-gynecology/vol/26/issue/2</w:t>
              </w:r>
            </w:hyperlink>
          </w:p>
        </w:tc>
        <w:tc>
          <w:tcPr/>
          <w:p>
            <w:pPr>
              <w:pStyle w:val="Compact"/>
            </w:pPr>
            <w:r>
              <w:t xml:space="preserve">10.1016/j.jpag.2013.01.005</w:t>
            </w:r>
          </w:p>
        </w:tc>
      </w:tr>
    </w:tbl>
    <w:p>
      <w:pPr>
        <w:pStyle w:val="BodyText"/>
      </w:pPr>
      <w:r>
        <w:rPr>
          <w:i/>
          <w:iCs/>
        </w:rPr>
        <w:t xml:space="preserve">Sources:</w:t>
      </w:r>
      <w:r>
        <w:rPr>
          <w:i/>
          <w:iCs/>
        </w:rPr>
        <w:t xml:space="preserve"> </w:t>
      </w:r>
      <w:hyperlink r:id="rId117">
        <w:r>
          <w:rPr>
            <w:rStyle w:val="Hyperlink"/>
            <w:i/>
            <w:iCs/>
          </w:rPr>
          <w:t xml:space="preserve">https://www.sciencedirect.com/journal/journal-of-pediatric-and-adolescent-gynecology</w:t>
        </w:r>
      </w:hyperlink>
      <w:r>
        <w:rPr>
          <w:i/>
          <w:iCs/>
        </w:rPr>
        <w:t xml:space="preserve">;</w:t>
      </w:r>
      <w:r>
        <w:rPr>
          <w:i/>
          <w:iCs/>
        </w:rPr>
        <w:t xml:space="preserve"> </w:t>
      </w:r>
      <w:hyperlink r:id="rId118">
        <w:r>
          <w:rPr>
            <w:rStyle w:val="Hyperlink"/>
            <w:i/>
            <w:iCs/>
          </w:rPr>
          <w:t xml:space="preserve">https://www.naspag.org/acrm-future-and-past</w:t>
        </w:r>
      </w:hyperlink>
    </w:p>
    <w:p>
      <w:r>
        <w:pict>
          <v:rect style="width:0;height:1.5pt" o:hralign="center" o:hrstd="t" o:hr="t"/>
        </w:pict>
      </w:r>
    </w:p>
    <w:bookmarkEnd w:id="119"/>
    <w:bookmarkStart w:id="120" w:name="Xd595ffef2965248d70e8ae14a73e011624ff54c"/>
    <w:p>
      <w:pPr>
        <w:pStyle w:val="Heading3"/>
      </w:pPr>
      <w:r>
        <w:t xml:space="preserve">A11.14 Metadata Fields Available in Each Society’s Published Abstracts</w:t>
      </w:r>
    </w:p>
    <w:p>
      <w:pPr>
        <w:pStyle w:val="FirstParagraph"/>
      </w:pPr>
      <w:r>
        <w:t xml:space="preserve">A critical determinant of pipeline performance is the author and affiliation metadata embedded in the published abstract. Richer metadata enables more precise PubMed matching (via full first names), better ORCID disambiguation (via affiliation strings), and more complete author-characteristic enrichment (gender, career stage, subspecialty). The table below summarizes what is consistently available for each society.</w:t>
      </w:r>
    </w:p>
    <w:tbl>
      <w:tblPr>
        <w:tblStyle w:val="Table"/>
        <w:tblW w:type="pct" w:w="5000"/>
        <w:tblLayout w:type="fixed"/>
        <w:tblLook w:firstRow="1" w:lastRow="0" w:firstColumn="0" w:lastColumn="0" w:noHBand="0" w:noVBand="0" w:val="0020"/>
      </w:tblPr>
      <w:tblGrid>
        <w:gridCol w:w="538"/>
        <w:gridCol w:w="999"/>
        <w:gridCol w:w="999"/>
        <w:gridCol w:w="922"/>
        <w:gridCol w:w="1691"/>
        <w:gridCol w:w="1614"/>
        <w:gridCol w:w="1153"/>
      </w:tblGrid>
      <w:tr>
        <w:trPr>
          <w:tblHeader w:val="on"/>
        </w:trPr>
        <w:tc>
          <w:tcPr/>
          <w:p>
            <w:pPr>
              <w:pStyle w:val="Compact"/>
            </w:pPr>
            <w:r>
              <w:t xml:space="preserve">Field</w:t>
            </w:r>
          </w:p>
        </w:tc>
        <w:tc>
          <w:tcPr/>
          <w:p>
            <w:pPr>
              <w:pStyle w:val="Compact"/>
            </w:pPr>
            <w:r>
              <w:t xml:space="preserve">AAGL (JMIG)</w:t>
            </w:r>
          </w:p>
        </w:tc>
        <w:tc>
          <w:tcPr/>
          <w:p>
            <w:pPr>
              <w:pStyle w:val="Compact"/>
            </w:pPr>
            <w:r>
              <w:t xml:space="preserve">SMFM (AJOG)</w:t>
            </w:r>
          </w:p>
        </w:tc>
        <w:tc>
          <w:tcPr/>
          <w:p>
            <w:pPr>
              <w:pStyle w:val="Compact"/>
            </w:pPr>
            <w:r>
              <w:t xml:space="preserve">ASRM (F&amp;S)</w:t>
            </w:r>
          </w:p>
        </w:tc>
        <w:tc>
          <w:tcPr/>
          <w:p>
            <w:pPr>
              <w:pStyle w:val="Compact"/>
            </w:pPr>
            <w:r>
              <w:t xml:space="preserve">AUGS (Urogynecology)</w:t>
            </w:r>
          </w:p>
        </w:tc>
        <w:tc>
          <w:tcPr/>
          <w:p>
            <w:pPr>
              <w:pStyle w:val="Compact"/>
            </w:pPr>
            <w:r>
              <w:t xml:space="preserve">SFP (Contraception)</w:t>
            </w:r>
          </w:p>
        </w:tc>
        <w:tc>
          <w:tcPr/>
          <w:p>
            <w:pPr>
              <w:pStyle w:val="Compact"/>
            </w:pPr>
            <w:r>
              <w:t xml:space="preserve">NASPAG (JPAG)</w:t>
            </w:r>
          </w:p>
        </w:tc>
      </w:tr>
      <w:tr>
        <w:tc>
          <w:tcPr/>
          <w:p>
            <w:pPr>
              <w:pStyle w:val="Compact"/>
            </w:pPr>
            <w:r>
              <w:rPr>
                <w:b/>
                <w:bCs/>
              </w:rPr>
              <w:t xml:space="preserve">Abstract title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Abstract text</w:t>
            </w:r>
          </w:p>
        </w:tc>
        <w:tc>
          <w:tcPr/>
          <w:p>
            <w:pPr>
              <w:pStyle w:val="Compact"/>
            </w:pPr>
            <w:r>
              <w:t xml:space="preserve">Partial (2012–2018 paywalled)</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full first name</w:t>
            </w:r>
          </w:p>
        </w:tc>
        <w:tc>
          <w:tcPr/>
          <w:p>
            <w:pPr>
              <w:pStyle w:val="Compact"/>
            </w:pPr>
            <w:r>
              <w:rPr>
                <w:b/>
                <w:bCs/>
              </w:rPr>
              <w:t xml:space="preserve">No — 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full names</w:t>
            </w:r>
          </w:p>
        </w:tc>
        <w:tc>
          <w:tcPr/>
          <w:p>
            <w:pPr>
              <w:pStyle w:val="Compact"/>
            </w:pPr>
            <w:r>
              <w:t xml:space="preserve">Initials only</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Author count</w:t>
            </w:r>
          </w:p>
        </w:tc>
        <w:tc>
          <w:tcPr/>
          <w:p>
            <w:pPr>
              <w:pStyle w:val="Compact"/>
            </w:pPr>
            <w:r>
              <w:t xml:space="preserve">Yes (parseable)</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First author affiliation</w:t>
            </w:r>
          </w:p>
        </w:tc>
        <w:tc>
          <w:tcPr/>
          <w:p>
            <w:pPr>
              <w:pStyle w:val="Compact"/>
            </w:pPr>
            <w:r>
              <w:t xml:space="preserve">Partial (52.7% via backfill)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All author affiliations</w:t>
            </w:r>
          </w:p>
        </w:tc>
        <w:tc>
          <w:tcPr/>
          <w:p>
            <w:pPr>
              <w:pStyle w:val="Compact"/>
            </w:pPr>
            <w:r>
              <w:t xml:space="preserve">Partial</w:t>
            </w:r>
          </w:p>
        </w:tc>
        <w:tc>
          <w:tcPr/>
          <w:p>
            <w:pPr>
              <w:pStyle w:val="Compact"/>
            </w:pPr>
            <w:r>
              <w:t xml:space="preserve">Yes</w:t>
            </w:r>
          </w:p>
        </w:tc>
        <w:tc>
          <w:tcPr/>
          <w:p>
            <w:pPr>
              <w:pStyle w:val="Compact"/>
            </w:pPr>
            <w:r>
              <w:t xml:space="preserve">Yes (auth required)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rPr>
                <w:b/>
                <w:bCs/>
              </w:rPr>
              <w:t xml:space="preserve">Corresponding author email</w:t>
            </w:r>
          </w:p>
        </w:tc>
        <w:tc>
          <w:tcPr/>
          <w:p>
            <w:pPr>
              <w:pStyle w:val="Compact"/>
            </w:pPr>
            <w:r>
              <w:t xml:space="preserve">No</w:t>
            </w:r>
          </w:p>
        </w:tc>
        <w:tc>
          <w:tcPr/>
          <w:p>
            <w:pPr>
              <w:pStyle w:val="Compact"/>
            </w:pPr>
            <w:r>
              <w:t xml:space="preserve">Rarely</w:t>
            </w:r>
          </w:p>
        </w:tc>
        <w:tc>
          <w:tcPr/>
          <w:p>
            <w:pPr>
              <w:pStyle w:val="Compact"/>
            </w:pPr>
            <w:r>
              <w:t xml:space="preserve">Rarely</w:t>
            </w:r>
          </w:p>
        </w:tc>
        <w:tc>
          <w:tcPr/>
          <w:p>
            <w:pPr>
              <w:pStyle w:val="Compact"/>
            </w:pPr>
            <w:r>
              <w:t xml:space="preserve">Sometimes</w:t>
            </w:r>
          </w:p>
        </w:tc>
        <w:tc>
          <w:tcPr/>
          <w:p>
            <w:pPr>
              <w:pStyle w:val="Compact"/>
            </w:pPr>
            <w:r>
              <w:t xml:space="preserve">Sometimes</w:t>
            </w:r>
          </w:p>
        </w:tc>
        <w:tc>
          <w:tcPr/>
          <w:p>
            <w:pPr>
              <w:pStyle w:val="Compact"/>
            </w:pPr>
            <w:r>
              <w:t xml:space="preserve">Rarely</w:t>
            </w:r>
          </w:p>
        </w:tc>
      </w:tr>
      <w:tr>
        <w:tc>
          <w:tcPr/>
          <w:p>
            <w:pPr>
              <w:pStyle w:val="Compact"/>
            </w:pPr>
            <w:r>
              <w:rPr>
                <w:b/>
                <w:bCs/>
              </w:rPr>
              <w:t xml:space="preserve">Individual abstract DOI</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No</w:t>
            </w:r>
          </w:p>
        </w:tc>
        <w:tc>
          <w:tcPr/>
          <w:p>
            <w:pPr>
              <w:pStyle w:val="Compact"/>
            </w:pPr>
            <w:r>
              <w:rPr>
                <w:b/>
                <w:bCs/>
              </w:rPr>
              <w:t xml:space="preserve">No</w:t>
            </w:r>
          </w:p>
        </w:tc>
        <w:tc>
          <w:tcPr/>
          <w:p>
            <w:pPr>
              <w:pStyle w:val="Compact"/>
            </w:pPr>
            <w:r>
              <w:t xml:space="preserve">Yes</w:t>
            </w:r>
          </w:p>
        </w:tc>
      </w:tr>
      <w:tr>
        <w:tc>
          <w:tcPr/>
          <w:p>
            <w:pPr>
              <w:pStyle w:val="Compact"/>
            </w:pPr>
            <w:r>
              <w:rPr>
                <w:b/>
                <w:bCs/>
              </w:rPr>
              <w:t xml:space="preserve">Platform</w:t>
            </w:r>
          </w:p>
        </w:tc>
        <w:tc>
          <w:tcPr/>
          <w:p>
            <w:pPr>
              <w:pStyle w:val="Compact"/>
            </w:pPr>
            <w:r>
              <w:t xml:space="preserve">ScienceDirect</w:t>
            </w:r>
          </w:p>
        </w:tc>
        <w:tc>
          <w:tcPr/>
          <w:p>
            <w:pPr>
              <w:pStyle w:val="Compact"/>
            </w:pPr>
            <w:r>
              <w:t xml:space="preserve">ScienceDirect</w:t>
            </w:r>
          </w:p>
        </w:tc>
        <w:tc>
          <w:tcPr/>
          <w:p>
            <w:pPr>
              <w:pStyle w:val="Compact"/>
            </w:pPr>
            <w:r>
              <w:t xml:space="preserve">ScienceDirect</w:t>
            </w:r>
          </w:p>
        </w:tc>
        <w:tc>
          <w:tcPr/>
          <w:p>
            <w:pPr>
              <w:pStyle w:val="Compact"/>
            </w:pPr>
            <w:r>
              <w:t xml:space="preserve">LWW</w:t>
            </w:r>
          </w:p>
        </w:tc>
        <w:tc>
          <w:tcPr/>
          <w:p>
            <w:pPr>
              <w:pStyle w:val="Compact"/>
            </w:pPr>
            <w:r>
              <w:t xml:space="preserve">ScienceDirect</w:t>
            </w:r>
          </w:p>
        </w:tc>
        <w:tc>
          <w:tcPr/>
          <w:p>
            <w:pPr>
              <w:pStyle w:val="Compact"/>
            </w:pPr>
            <w:r>
              <w:t xml:space="preserve">ScienceDirect</w:t>
            </w:r>
          </w:p>
        </w:tc>
      </w:tr>
      <w:tr>
        <w:tc>
          <w:tcPr/>
          <w:p>
            <w:pPr>
              <w:pStyle w:val="Compact"/>
            </w:pPr>
            <w:r>
              <w:rPr>
                <w:b/>
                <w:bCs/>
              </w:rPr>
              <w:t xml:space="preserve">Auth required to access</w:t>
            </w:r>
          </w:p>
        </w:tc>
        <w:tc>
          <w:tcPr/>
          <w:p>
            <w:pPr>
              <w:pStyle w:val="Compact"/>
            </w:pPr>
            <w:r>
              <w:t xml:space="preserve">No</w:t>
            </w:r>
          </w:p>
        </w:tc>
        <w:tc>
          <w:tcPr/>
          <w:p>
            <w:pPr>
              <w:pStyle w:val="Compact"/>
            </w:pPr>
            <w:r>
              <w:t xml:space="preserve">No</w:t>
            </w:r>
          </w:p>
        </w:tc>
        <w:tc>
          <w:tcPr/>
          <w:p>
            <w:pPr>
              <w:pStyle w:val="Compact"/>
            </w:pPr>
            <w:r>
              <w:rPr>
                <w:b/>
                <w:bCs/>
              </w:rPr>
              <w:t xml:space="preserve">Yes</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rPr>
                <w:b/>
                <w:bCs/>
              </w:rPr>
              <w:t xml:space="preserve">Avg abstracts/year</w:t>
            </w:r>
          </w:p>
        </w:tc>
        <w:tc>
          <w:tcPr/>
          <w:p>
            <w:pPr>
              <w:pStyle w:val="Compact"/>
            </w:pPr>
            <w:r>
              <w:t xml:space="preserve">~90</w:t>
            </w:r>
          </w:p>
        </w:tc>
        <w:tc>
          <w:tcPr/>
          <w:p>
            <w:pPr>
              <w:pStyle w:val="Compact"/>
            </w:pPr>
            <w:r>
              <w:t xml:space="preserve">~500</w:t>
            </w:r>
          </w:p>
        </w:tc>
        <w:tc>
          <w:tcPr/>
          <w:p>
            <w:pPr>
              <w:pStyle w:val="Compact"/>
            </w:pPr>
            <w:r>
              <w:t xml:space="preserve">~1,200</w:t>
            </w:r>
          </w:p>
        </w:tc>
        <w:tc>
          <w:tcPr/>
          <w:p>
            <w:pPr>
              <w:pStyle w:val="Compact"/>
            </w:pPr>
            <w:r>
              <w:t xml:space="preserve">~400</w:t>
            </w:r>
          </w:p>
        </w:tc>
        <w:tc>
          <w:tcPr/>
          <w:p>
            <w:pPr>
              <w:pStyle w:val="Compact"/>
            </w:pPr>
            <w:r>
              <w:t xml:space="preserve">~300</w:t>
            </w:r>
          </w:p>
        </w:tc>
        <w:tc>
          <w:tcPr/>
          <w:p>
            <w:pPr>
              <w:pStyle w:val="Compact"/>
            </w:pPr>
            <w:r>
              <w:t xml:space="preserve">~35</w:t>
            </w:r>
          </w:p>
        </w:tc>
      </w:tr>
      <w:tr>
        <w:tc>
          <w:tcPr/>
          <w:p>
            <w:pPr>
              <w:pStyle w:val="Compact"/>
            </w:pPr>
            <w:r>
              <w:rPr>
                <w:b/>
                <w:bCs/>
              </w:rPr>
              <w:t xml:space="preserve">Years available</w:t>
            </w:r>
          </w:p>
        </w:tc>
        <w:tc>
          <w:tcPr/>
          <w:p>
            <w:pPr>
              <w:pStyle w:val="Compact"/>
            </w:pPr>
            <w:r>
              <w:t xml:space="preserve">2012–2023</w:t>
            </w:r>
          </w:p>
        </w:tc>
        <w:tc>
          <w:tcPr/>
          <w:p>
            <w:pPr>
              <w:pStyle w:val="Compact"/>
            </w:pPr>
            <w:r>
              <w:t xml:space="preserve">2013–2023</w:t>
            </w:r>
          </w:p>
        </w:tc>
        <w:tc>
          <w:tcPr/>
          <w:p>
            <w:pPr>
              <w:pStyle w:val="Compact"/>
            </w:pPr>
            <w:r>
              <w:t xml:space="preserve">2013–2023</w:t>
            </w:r>
          </w:p>
        </w:tc>
        <w:tc>
          <w:tcPr/>
          <w:p>
            <w:pPr>
              <w:pStyle w:val="Compact"/>
            </w:pPr>
            <w:r>
              <w:t xml:space="preserve">2013–2023</w:t>
            </w:r>
          </w:p>
        </w:tc>
        <w:tc>
          <w:tcPr/>
          <w:p>
            <w:pPr>
              <w:pStyle w:val="Compact"/>
            </w:pPr>
            <w:r>
              <w:t xml:space="preserve">2015–2023</w:t>
            </w:r>
          </w:p>
        </w:tc>
        <w:tc>
          <w:tcPr/>
          <w:p>
            <w:pPr>
              <w:pStyle w:val="Compact"/>
            </w:pPr>
            <w:r>
              <w:t xml:space="preserve">2013–2023</w:t>
            </w:r>
          </w:p>
        </w:tc>
      </w:tr>
    </w:tbl>
    <w:p>
      <w:pPr>
        <w:pStyle w:val="BodyText"/>
      </w:pPr>
      <w:r>
        <w:rPr>
          <w:b/>
          <w:bCs/>
        </w:rPr>
        <w:t xml:space="preserve">Key finding — AAGL’s initials-only limitation:</w:t>
      </w:r>
      <w:r>
        <w:t xml:space="preserve"> </w:t>
      </w:r>
      <w:r>
        <w:t xml:space="preserve">AAGL/JMIG is the only society where first author names are published as initials only (e.g.,</w:t>
      </w:r>
      <w:r>
        <w:t xml:space="preserve"> </w:t>
      </w:r>
      <w:r>
        <w:t xml:space="preserve">“R.S. Guido”</w:t>
      </w:r>
      <w:r>
        <w:t xml:space="preserve"> </w:t>
      </w:r>
      <w:r>
        <w:t xml:space="preserve">rather than</w:t>
      </w:r>
      <w:r>
        <w:t xml:space="preserve"> </w:t>
      </w:r>
      <w:r>
        <w:t xml:space="preserve">“Robert S. Guido”</w:t>
      </w:r>
      <w:r>
        <w:t xml:space="preserve">). This is the single most consequential metadata gap in the current pipeline, directly limiting: (1) ORCID hit rate (15.8% with full initials vs. a projected &gt;60% with full names); (2) gender inference accuracy (genderize.io requires full first names); and (3) NPI matching (exact first-name matching is disabled for 84% of US authors). All five comparison societies publish full author first names, making them substantially easier to enrich. Any multi-society expansion should treat AAGL’s initials-only format as a known limitation requiring manual resolution or supplementation from the published full paper’s author list.</w:t>
      </w:r>
    </w:p>
    <w:bookmarkEnd w:id="120"/>
    <w:bookmarkStart w:id="130" w:name="Xd2ecc76ec09a610a0ce68bf04e13a58ad614296"/>
    <w:p>
      <w:pPr>
        <w:pStyle w:val="Heading3"/>
      </w:pPr>
      <w:r>
        <w:t xml:space="preserve">A11.15 SASGOG Abstracts (2013–2023) — No Journal Publication</w:t>
      </w:r>
    </w:p>
    <w:p>
      <w:pPr>
        <w:pStyle w:val="FirstParagraph"/>
      </w:pPr>
      <w:r>
        <w:t xml:space="preserve">SASGOG (Society for Academic Specialists in General Obstetrics and Gynecology) was founded in 2012 and does</w:t>
      </w:r>
      <w:r>
        <w:t xml:space="preserve"> </w:t>
      </w:r>
      <w:r>
        <w:rPr>
          <w:b/>
          <w:bCs/>
        </w:rPr>
        <w:t xml:space="preserve">not</w:t>
      </w:r>
      <w:r>
        <w:t xml:space="preserve"> </w:t>
      </w:r>
      <w:r>
        <w:t xml:space="preserve">publish its meeting abstracts in a peer-reviewed journal. Unlike every other society in this comparison, SASGOG abstracts are posted only on the society website (sasgog.org), are not indexed in PubMed, ScienceDirect, or CrossRef, and receive no DOIs. Abstracts are limited to 300 words and undergo peer review, but formal journal publication is not part of the submission process. SASGOG does offer a</w:t>
      </w:r>
      <w:r>
        <w:t xml:space="preserve"> </w:t>
      </w:r>
      <w:r>
        <w:t xml:space="preserve">“Best Manuscript from a SASGOG Abstract Award”</w:t>
      </w:r>
      <w:r>
        <w:t xml:space="preserve"> </w:t>
      </w:r>
      <w:r>
        <w:t xml:space="preserve">to encourage conversion to full manuscripts, but the abstracts themselves are not citable with DOIs.</w:t>
      </w:r>
    </w:p>
    <w:p>
      <w:pPr>
        <w:pStyle w:val="BodyText"/>
      </w:pPr>
      <w:r>
        <w:rPr>
          <w:b/>
          <w:bCs/>
        </w:rPr>
        <w:t xml:space="preserve">Pipeline implication:</w:t>
      </w:r>
      <w:r>
        <w:t xml:space="preserve"> </w:t>
      </w:r>
      <w:r>
        <w:t xml:space="preserve">Because SASGOG abstracts lack DOIs, PubMed indexing, and structured metadata, the current pipeline cannot be applied without first scraping the society website directly to extract abstract text and author information. Matching would rely entirely on title/author string search against PubMed — the weakest of the three search strategies. For years 2013–2018, website URLs are unknown or may not exist, creating a data recovery problem analogous to the AAGL 2017 CORS-blocking issue.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URL</w:t>
            </w:r>
          </w:p>
        </w:tc>
        <w:tc>
          <w:tcPr/>
          <w:p>
            <w:pPr>
              <w:pStyle w:val="Compact"/>
            </w:pPr>
            <w:r>
              <w:t xml:space="preserve">DOIs?</w:t>
            </w:r>
          </w:p>
        </w:tc>
        <w:tc>
          <w:tcPr/>
          <w:p>
            <w:pPr>
              <w:pStyle w:val="Compact"/>
            </w:pPr>
            <w:r>
              <w:t xml:space="preserve">PubMed Indexed?</w:t>
            </w:r>
          </w:p>
        </w:tc>
      </w:tr>
      <w:tr>
        <w:tc>
          <w:tcPr/>
          <w:p>
            <w:pPr>
              <w:pStyle w:val="Compact"/>
            </w:pPr>
            <w:r>
              <w:t xml:space="preserve">2023</w:t>
            </w:r>
          </w:p>
        </w:tc>
        <w:tc>
          <w:tcPr/>
          <w:p>
            <w:pPr>
              <w:pStyle w:val="Compact"/>
            </w:pPr>
            <w:r>
              <w:t xml:space="preserve">11th</w:t>
            </w:r>
          </w:p>
        </w:tc>
        <w:tc>
          <w:tcPr/>
          <w:p>
            <w:pPr>
              <w:pStyle w:val="Compact"/>
            </w:pPr>
            <w:hyperlink r:id="rId121">
              <w:r>
                <w:rPr>
                  <w:rStyle w:val="Hyperlink"/>
                </w:rPr>
                <w:t xml:space="preserve">https://sasgog.org/2023-abstracts/</w:t>
              </w:r>
            </w:hyperlink>
          </w:p>
        </w:tc>
        <w:tc>
          <w:tcPr/>
          <w:p>
            <w:pPr>
              <w:pStyle w:val="Compact"/>
            </w:pPr>
            <w:r>
              <w:t xml:space="preserve">No</w:t>
            </w:r>
          </w:p>
        </w:tc>
        <w:tc>
          <w:tcPr/>
          <w:p>
            <w:pPr>
              <w:pStyle w:val="Compact"/>
            </w:pPr>
            <w:r>
              <w:t xml:space="preserve">No</w:t>
            </w:r>
          </w:p>
        </w:tc>
      </w:tr>
      <w:tr>
        <w:tc>
          <w:tcPr/>
          <w:p>
            <w:pPr>
              <w:pStyle w:val="Compact"/>
            </w:pPr>
            <w:r>
              <w:t xml:space="preserve">2022</w:t>
            </w:r>
          </w:p>
        </w:tc>
        <w:tc>
          <w:tcPr/>
          <w:p>
            <w:pPr>
              <w:pStyle w:val="Compact"/>
            </w:pPr>
            <w:r>
              <w:t xml:space="preserve">10th</w:t>
            </w:r>
          </w:p>
        </w:tc>
        <w:tc>
          <w:tcPr/>
          <w:p>
            <w:pPr>
              <w:pStyle w:val="Compact"/>
            </w:pPr>
            <w:hyperlink r:id="rId122">
              <w:r>
                <w:rPr>
                  <w:rStyle w:val="Hyperlink"/>
                </w:rPr>
                <w:t xml:space="preserve">https://sasgog.org/2022-abstracts/</w:t>
              </w:r>
            </w:hyperlink>
          </w:p>
        </w:tc>
        <w:tc>
          <w:tcPr/>
          <w:p>
            <w:pPr>
              <w:pStyle w:val="Compact"/>
            </w:pPr>
            <w:r>
              <w:t xml:space="preserve">No</w:t>
            </w:r>
          </w:p>
        </w:tc>
        <w:tc>
          <w:tcPr/>
          <w:p>
            <w:pPr>
              <w:pStyle w:val="Compact"/>
            </w:pPr>
            <w:r>
              <w:t xml:space="preserve">No</w:t>
            </w:r>
          </w:p>
        </w:tc>
      </w:tr>
      <w:tr>
        <w:tc>
          <w:tcPr/>
          <w:p>
            <w:pPr>
              <w:pStyle w:val="Compact"/>
            </w:pPr>
            <w:r>
              <w:t xml:space="preserve">2021</w:t>
            </w:r>
          </w:p>
        </w:tc>
        <w:tc>
          <w:tcPr/>
          <w:p>
            <w:pPr>
              <w:pStyle w:val="Compact"/>
            </w:pPr>
            <w:r>
              <w:t xml:space="preserve">9th (Virtual)</w:t>
            </w:r>
          </w:p>
        </w:tc>
        <w:tc>
          <w:tcPr/>
          <w:p>
            <w:pPr>
              <w:pStyle w:val="Compact"/>
            </w:pPr>
            <w:hyperlink r:id="rId123">
              <w:r>
                <w:rPr>
                  <w:rStyle w:val="Hyperlink"/>
                </w:rPr>
                <w:t xml:space="preserve">https://sasgog.org/2021-abstracts/</w:t>
              </w:r>
            </w:hyperlink>
          </w:p>
        </w:tc>
        <w:tc>
          <w:tcPr/>
          <w:p>
            <w:pPr>
              <w:pStyle w:val="Compact"/>
            </w:pPr>
            <w:r>
              <w:t xml:space="preserve">No</w:t>
            </w:r>
          </w:p>
        </w:tc>
        <w:tc>
          <w:tcPr/>
          <w:p>
            <w:pPr>
              <w:pStyle w:val="Compact"/>
            </w:pPr>
            <w:r>
              <w:t xml:space="preserve">No</w:t>
            </w:r>
          </w:p>
        </w:tc>
      </w:tr>
      <w:tr>
        <w:tc>
          <w:tcPr/>
          <w:p>
            <w:pPr>
              <w:pStyle w:val="Compact"/>
            </w:pPr>
            <w:r>
              <w:t xml:space="preserve">2020</w:t>
            </w:r>
          </w:p>
        </w:tc>
        <w:tc>
          <w:tcPr/>
          <w:p>
            <w:pPr>
              <w:pStyle w:val="Compact"/>
            </w:pPr>
            <w:r>
              <w:t xml:space="preserve">8th (Virtual)</w:t>
            </w:r>
          </w:p>
        </w:tc>
        <w:tc>
          <w:tcPr/>
          <w:p>
            <w:pPr>
              <w:pStyle w:val="Compact"/>
            </w:pPr>
            <w:hyperlink r:id="rId124">
              <w:r>
                <w:rPr>
                  <w:rStyle w:val="Hyperlink"/>
                </w:rPr>
                <w:t xml:space="preserve">https://sasgog.org/2020-abstracts/</w:t>
              </w:r>
            </w:hyperlink>
          </w:p>
        </w:tc>
        <w:tc>
          <w:tcPr/>
          <w:p>
            <w:pPr>
              <w:pStyle w:val="Compact"/>
            </w:pPr>
            <w:r>
              <w:t xml:space="preserve">No</w:t>
            </w:r>
          </w:p>
        </w:tc>
        <w:tc>
          <w:tcPr/>
          <w:p>
            <w:pPr>
              <w:pStyle w:val="Compact"/>
            </w:pPr>
            <w:r>
              <w:t xml:space="preserve">No</w:t>
            </w:r>
          </w:p>
        </w:tc>
      </w:tr>
      <w:tr>
        <w:tc>
          <w:tcPr/>
          <w:p>
            <w:pPr>
              <w:pStyle w:val="Compact"/>
            </w:pPr>
            <w:r>
              <w:t xml:space="preserve">2019</w:t>
            </w:r>
          </w:p>
        </w:tc>
        <w:tc>
          <w:tcPr/>
          <w:p>
            <w:pPr>
              <w:pStyle w:val="Compact"/>
            </w:pPr>
            <w:r>
              <w:t xml:space="preserve">7th</w:t>
            </w:r>
          </w:p>
        </w:tc>
        <w:tc>
          <w:tcPr/>
          <w:p>
            <w:pPr>
              <w:pStyle w:val="Compact"/>
            </w:pPr>
            <w:hyperlink r:id="rId125">
              <w:r>
                <w:rPr>
                  <w:rStyle w:val="Hyperlink"/>
                </w:rPr>
                <w:t xml:space="preserve">https://sasgog.org/2019-abstracts/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2018</w:t>
            </w:r>
          </w:p>
        </w:tc>
        <w:tc>
          <w:tcPr/>
          <w:p>
            <w:pPr>
              <w:pStyle w:val="Compact"/>
            </w:pPr>
            <w:r>
              <w:t xml:space="preserve">6th</w:t>
            </w:r>
          </w:p>
        </w:tc>
        <w:tc>
          <w:tcPr/>
          <w:p>
            <w:pPr>
              <w:pStyle w:val="Compact"/>
            </w:pPr>
            <w:hyperlink r:id="rId126">
              <w:r>
                <w:rPr>
                  <w:rStyle w:val="Hyperlink"/>
                </w:rPr>
                <w:t xml:space="preserve">https://sasgog.org/2018-abstracts/</w:t>
              </w:r>
            </w:hyperlink>
            <w:r>
              <w:t xml:space="preserve"> </w:t>
            </w:r>
            <w:r>
              <w:t xml:space="preserve">(likely)</w:t>
            </w:r>
          </w:p>
        </w:tc>
        <w:tc>
          <w:tcPr/>
          <w:p>
            <w:pPr>
              <w:pStyle w:val="Compact"/>
            </w:pPr>
            <w:r>
              <w:t xml:space="preserve">No</w:t>
            </w:r>
          </w:p>
        </w:tc>
        <w:tc>
          <w:tcPr/>
          <w:p>
            <w:pPr>
              <w:pStyle w:val="Compact"/>
            </w:pPr>
            <w:r>
              <w:t xml:space="preserve">No</w:t>
            </w:r>
          </w:p>
        </w:tc>
      </w:tr>
      <w:tr>
        <w:tc>
          <w:tcPr/>
          <w:p>
            <w:pPr>
              <w:pStyle w:val="Compact"/>
            </w:pPr>
            <w:r>
              <w:t xml:space="preserve">2017</w:t>
            </w:r>
          </w:p>
        </w:tc>
        <w:tc>
          <w:tcPr/>
          <w:p>
            <w:pPr>
              <w:pStyle w:val="Compact"/>
            </w:pPr>
            <w:r>
              <w:t xml:space="preserve">5th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2016</w:t>
            </w:r>
          </w:p>
        </w:tc>
        <w:tc>
          <w:tcPr/>
          <w:p>
            <w:pPr>
              <w:pStyle w:val="Compact"/>
            </w:pPr>
            <w:r>
              <w:t xml:space="preserve">4th</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2015</w:t>
            </w:r>
          </w:p>
        </w:tc>
        <w:tc>
          <w:tcPr/>
          <w:p>
            <w:pPr>
              <w:pStyle w:val="Compact"/>
            </w:pPr>
            <w:r>
              <w:t xml:space="preserve">3rd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2014</w:t>
            </w:r>
          </w:p>
        </w:tc>
        <w:tc>
          <w:tcPr/>
          <w:p>
            <w:pPr>
              <w:pStyle w:val="Compact"/>
            </w:pPr>
            <w:r>
              <w:t xml:space="preserve">2nd</w:t>
            </w:r>
          </w:p>
        </w:tc>
        <w:tc>
          <w:tcPr/>
          <w:p>
            <w:pPr>
              <w:pStyle w:val="Compact"/>
            </w:pPr>
            <w:r>
              <w:t xml:space="preserve">Unknown</w:t>
            </w:r>
          </w:p>
        </w:tc>
        <w:tc>
          <w:tcPr/>
          <w:p>
            <w:pPr>
              <w:pStyle w:val="Compact"/>
            </w:pPr>
            <w:r>
              <w:t xml:space="preserve">No</w:t>
            </w:r>
          </w:p>
        </w:tc>
        <w:tc>
          <w:tcPr/>
          <w:p>
            <w:pPr>
              <w:pStyle w:val="Compact"/>
            </w:pPr>
            <w:r>
              <w:t xml:space="preserve">No</w:t>
            </w:r>
          </w:p>
        </w:tc>
      </w:tr>
      <w:tr>
        <w:tc>
          <w:tcPr/>
          <w:p>
            <w:pPr>
              <w:pStyle w:val="Compact"/>
            </w:pPr>
            <w:r>
              <w:t xml:space="preserve">2013</w:t>
            </w:r>
          </w:p>
        </w:tc>
        <w:tc>
          <w:tcPr/>
          <w:p>
            <w:pPr>
              <w:pStyle w:val="Compact"/>
            </w:pPr>
            <w:r>
              <w:t xml:space="preserve">1st</w:t>
            </w:r>
          </w:p>
        </w:tc>
        <w:tc>
          <w:tcPr/>
          <w:p>
            <w:pPr>
              <w:pStyle w:val="Compact"/>
            </w:pPr>
            <w:r>
              <w:t xml:space="preserve">May not exist (society founded 2012)</w:t>
            </w:r>
          </w:p>
        </w:tc>
        <w:tc>
          <w:tcPr/>
          <w:p>
            <w:pPr>
              <w:pStyle w:val="Compact"/>
            </w:pPr>
            <w:r>
              <w:t xml:space="preserve">No</w:t>
            </w:r>
          </w:p>
        </w:tc>
        <w:tc>
          <w:tcPr/>
          <w:p>
            <w:pPr>
              <w:pStyle w:val="Compact"/>
            </w:pPr>
            <w:r>
              <w:t xml:space="preserve">No</w:t>
            </w:r>
          </w:p>
        </w:tc>
      </w:tr>
    </w:tbl>
    <w:p>
      <w:pPr>
        <w:pStyle w:val="BodyText"/>
      </w:pPr>
      <w:r>
        <w:rPr>
          <w:i/>
          <w:iCs/>
        </w:rPr>
        <w:t xml:space="preserve">Sources:</w:t>
      </w:r>
      <w:r>
        <w:rPr>
          <w:i/>
          <w:iCs/>
        </w:rPr>
        <w:t xml:space="preserve"> </w:t>
      </w:r>
      <w:hyperlink r:id="rId127">
        <w:r>
          <w:rPr>
            <w:rStyle w:val="Hyperlink"/>
            <w:i/>
            <w:iCs/>
          </w:rPr>
          <w:t xml:space="preserve">https://sasgog.org/abstracts/</w:t>
        </w:r>
      </w:hyperlink>
      <w:r>
        <w:rPr>
          <w:i/>
          <w:iCs/>
        </w:rPr>
        <w:t xml:space="preserve">;</w:t>
      </w:r>
      <w:r>
        <w:rPr>
          <w:i/>
          <w:iCs/>
        </w:rPr>
        <w:t xml:space="preserve"> </w:t>
      </w:r>
      <w:hyperlink r:id="rId128">
        <w:r>
          <w:rPr>
            <w:rStyle w:val="Hyperlink"/>
            <w:i/>
            <w:iCs/>
          </w:rPr>
          <w:t xml:space="preserve">https://sasgog.org/about/</w:t>
        </w:r>
      </w:hyperlink>
      <w:r>
        <w:rPr>
          <w:i/>
          <w:iCs/>
        </w:rPr>
        <w:t xml:space="preserve">;</w:t>
      </w:r>
      <w:r>
        <w:rPr>
          <w:i/>
          <w:iCs/>
        </w:rPr>
        <w:t xml:space="preserve"> </w:t>
      </w:r>
      <w:hyperlink r:id="rId129">
        <w:r>
          <w:rPr>
            <w:rStyle w:val="Hyperlink"/>
            <w:i/>
            <w:iCs/>
          </w:rPr>
          <w:t xml:space="preserve">https://sasgog.org/annual-meeting/</w:t>
        </w:r>
      </w:hyperlink>
    </w:p>
    <w:p>
      <w:r>
        <w:pict>
          <v:rect style="width:0;height:1.5pt" o:hralign="center" o:hrstd="t" o:hr="t"/>
        </w:pict>
      </w:r>
    </w:p>
    <w:bookmarkEnd w:id="130"/>
    <w:bookmarkStart w:id="131" w:name="X7b18389947ade32de4525295c441a70d797cd2a"/>
    <w:p>
      <w:pPr>
        <w:pStyle w:val="Heading3"/>
      </w:pPr>
      <w:r>
        <w:t xml:space="preserve">A11.16 Complete Society Comparison — Abstract Accessibility and Pipeline Feasibility</w:t>
      </w:r>
    </w:p>
    <w:p>
      <w:pPr>
        <w:pStyle w:val="FirstParagraph"/>
      </w:pPr>
      <w:r>
        <w:t xml:space="preserve">The table below summarizes all seven societies assessed for pipeline expansion, ranked by pipeline feasibility.</w:t>
      </w:r>
    </w:p>
    <w:tbl>
      <w:tblPr>
        <w:tblStyle w:val="Table"/>
        <w:tblW w:type="pct" w:w="5000"/>
        <w:tblLayout w:type="fixed"/>
        <w:tblLook w:firstRow="1" w:lastRow="0" w:firstColumn="0" w:lastColumn="0" w:noHBand="0" w:noVBand="0" w:val="0020"/>
      </w:tblPr>
      <w:tblGrid>
        <w:gridCol w:w="619"/>
        <w:gridCol w:w="619"/>
        <w:gridCol w:w="688"/>
        <w:gridCol w:w="1101"/>
        <w:gridCol w:w="1101"/>
        <w:gridCol w:w="1033"/>
        <w:gridCol w:w="1308"/>
        <w:gridCol w:w="1446"/>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Pipeline 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Feasibility criteria:</w:t>
      </w:r>
      <w:r>
        <w:t xml:space="preserve"> </w:t>
      </w:r>
      <w:r>
        <w:t xml:space="preserve">High = individual DOIs + Elsevier/ScienceDirect + no auth; Medium = collection-level DOIs or non-Elsevier platform requiring new scraper; Low = no journal publication, no DOIs, no PubMed indexing.</w:t>
      </w:r>
    </w:p>
    <w:bookmarkEnd w:id="131"/>
    <w:bookmarkStart w:id="132" w:name="X61b833992d9025087d2a690a5fd5e57ff4747fa"/>
    <w:p>
      <w:pPr>
        <w:pStyle w:val="Heading3"/>
      </w:pPr>
      <w:r>
        <w:t xml:space="preserve">A11.17 SGO Annual Meeting Abstracts (2013–2023)</w:t>
      </w:r>
    </w:p>
    <w:p>
      <w:pPr>
        <w:pStyle w:val="FirstParagraph"/>
      </w:pPr>
      <w:r>
        <w:t xml:space="preserve">SGO (Society of Gynecologic Oncology) annual meeting abstracts are published as supplement issues of</w:t>
      </w:r>
      <w:r>
        <w:t xml:space="preserve"> </w:t>
      </w:r>
      <w:r>
        <w:rPr>
          <w:i/>
          <w:iCs/>
        </w:rPr>
        <w:t xml:space="preserve">Gynecologic Oncology</w:t>
      </w:r>
      <w:r>
        <w:t xml:space="preserve"> </w:t>
      </w:r>
      <w:r>
        <w:t xml:space="preserve">(ISSN 0090-8258, Elsevier/ScienceDirect). Every abstract receives a unique DOI — guaranteed by CrossRef registration enforcement, Elsevier’s PII system (algorithmically unique within the journal namespace), and sequential article numbering (monotonically increasing NNN counter per calendar month). Individual abstract DOIs resolve publicly via</w:t>
      </w:r>
      <w:r>
        <w:t xml:space="preserve"> </w:t>
      </w:r>
      <w:r>
        <w:rPr>
          <w:rStyle w:val="VerbatimChar"/>
        </w:rPr>
        <w:t xml:space="preserve">https://doi.org/10.1016/j.ygyno.YYYY.MM.NNN</w:t>
      </w:r>
      <w:r>
        <w:t xml:space="preserve">; full supplement browsing requires institutional ScienceDirect access.</w:t>
      </w:r>
    </w:p>
    <w:p>
      <w:pPr>
        <w:pStyle w:val="BodyText"/>
      </w:pPr>
      <w:r>
        <w:rPr>
          <w:b/>
          <w:bCs/>
        </w:rPr>
        <w:t xml:space="preserve">2013 note:</w:t>
      </w:r>
      <w:r>
        <w:t xml:space="preserve"> </w:t>
      </w:r>
      <w:r>
        <w:t xml:space="preserve">No dedicated SGO abstract supplement exists for 2013. Volume 129 Suppl S1 is an unrelated genomics supplement. The closest published record is a</w:t>
      </w:r>
      <w:r>
        <w:t xml:space="preserve"> </w:t>
      </w:r>
      <w:r>
        <w:t xml:space="preserve">“Summary of the 44th Annual Meeting on Women’s Cancers”</w:t>
      </w:r>
      <w:r>
        <w:t xml:space="preserve"> </w:t>
      </w:r>
      <w:r>
        <w:t xml:space="preserve">(DOI 10.1016/j.ygyno.2013.03.028, Vol 129 Issue 2). Dedicated SGO supplement issues began consistently in 2014.</w:t>
      </w:r>
    </w:p>
    <w:p>
      <w:pPr>
        <w:pStyle w:val="BodyText"/>
      </w:pPr>
      <w:r>
        <w:rPr>
          <w:b/>
          <w:bCs/>
        </w:rPr>
        <w:t xml:space="preserve">2020 note:</w:t>
      </w:r>
      <w:r>
        <w:t xml:space="preserve"> </w:t>
      </w:r>
      <w:r>
        <w:t xml:space="preserve">The in-person meeting was cancelled due to COVID-19 — SGO’s first cancellation in history. All 757 selected abstracts (49 plenary + 59 featured poster + 635 poster + 14 late-breaking) were still published in the October 2020 supplement, and SGO held free webinars to present the science.</w:t>
      </w:r>
    </w:p>
    <w:tbl>
      <w:tblPr>
        <w:tblStyle w:val="Table"/>
        <w:tblW w:type="pct" w:w="5000"/>
        <w:tblLayout w:type="fixed"/>
        <w:tblLook w:firstRow="1" w:lastRow="0" w:firstColumn="0" w:lastColumn="0" w:noHBand="0" w:noVBand="0" w:val="0020"/>
      </w:tblPr>
      <w:tblGrid>
        <w:gridCol w:w="617"/>
        <w:gridCol w:w="1234"/>
        <w:gridCol w:w="822"/>
        <w:gridCol w:w="1954"/>
        <w:gridCol w:w="1337"/>
        <w:gridCol w:w="1954"/>
      </w:tblGrid>
      <w:tr>
        <w:trPr>
          <w:tblHeader w:val="on"/>
        </w:trPr>
        <w:tc>
          <w:tcPr/>
          <w:p>
            <w:pPr>
              <w:pStyle w:val="Compact"/>
            </w:pPr>
            <w:r>
              <w:t xml:space="preserve">Year</w:t>
            </w:r>
          </w:p>
        </w:tc>
        <w:tc>
          <w:tcPr/>
          <w:p>
            <w:pPr>
              <w:pStyle w:val="Compact"/>
            </w:pPr>
            <w:r>
              <w:t xml:space="preserve">SGO Meeting</w:t>
            </w:r>
          </w:p>
        </w:tc>
        <w:tc>
          <w:tcPr/>
          <w:p>
            <w:pPr>
              <w:pStyle w:val="Compact"/>
            </w:pPr>
            <w:r>
              <w:t xml:space="preserve">Volume</w:t>
            </w:r>
          </w:p>
        </w:tc>
        <w:tc>
          <w:tcPr/>
          <w:p>
            <w:pPr>
              <w:pStyle w:val="Compact"/>
            </w:pPr>
            <w:r>
              <w:t xml:space="preserve">ScienceDirect URL</w:t>
            </w:r>
          </w:p>
        </w:tc>
        <w:tc>
          <w:tcPr/>
          <w:p>
            <w:pPr>
              <w:pStyle w:val="Compact"/>
            </w:pPr>
            <w:r>
              <w:t xml:space="preserve">DOI Pattern</w:t>
            </w:r>
          </w:p>
        </w:tc>
        <w:tc>
          <w:tcPr/>
          <w:p>
            <w:pPr>
              <w:pStyle w:val="Compact"/>
            </w:pPr>
            <w:r>
              <w:t xml:space="preserve">Approx. Abstracts</w:t>
            </w:r>
          </w:p>
        </w:tc>
      </w:tr>
      <w:tr>
        <w:tc>
          <w:tcPr/>
          <w:p>
            <w:pPr>
              <w:pStyle w:val="Compact"/>
            </w:pPr>
            <w:r>
              <w:t xml:space="preserve">2023</w:t>
            </w:r>
          </w:p>
        </w:tc>
        <w:tc>
          <w:tcPr/>
          <w:p>
            <w:pPr>
              <w:pStyle w:val="Compact"/>
            </w:pPr>
            <w:r>
              <w:t xml:space="preserve">54th Annual</w:t>
            </w:r>
          </w:p>
        </w:tc>
        <w:tc>
          <w:tcPr/>
          <w:p>
            <w:pPr>
              <w:pStyle w:val="Compact"/>
            </w:pPr>
            <w:r>
              <w:t xml:space="preserve">176, Suppl S1</w:t>
            </w:r>
          </w:p>
        </w:tc>
        <w:tc>
          <w:tcPr/>
          <w:p>
            <w:pPr>
              <w:pStyle w:val="Compact"/>
            </w:pPr>
            <w:r>
              <w:t xml:space="preserve">sciencedirect.com/…/vol/176/suppl/S1</w:t>
            </w:r>
          </w:p>
        </w:tc>
        <w:tc>
          <w:tcPr/>
          <w:p>
            <w:pPr>
              <w:pStyle w:val="Compact"/>
            </w:pPr>
            <w:r>
              <w:t xml:space="preserve">10.1016/j.ygyno.2023.06.NNN</w:t>
            </w:r>
          </w:p>
        </w:tc>
        <w:tc>
          <w:tcPr/>
          <w:p>
            <w:pPr>
              <w:pStyle w:val="Compact"/>
            </w:pPr>
            <w:r>
              <w:t xml:space="preserve">~600</w:t>
            </w:r>
          </w:p>
        </w:tc>
      </w:tr>
      <w:tr>
        <w:tc>
          <w:tcPr/>
          <w:p>
            <w:pPr>
              <w:pStyle w:val="Compact"/>
            </w:pPr>
            <w:r>
              <w:t xml:space="preserve">2022</w:t>
            </w:r>
          </w:p>
        </w:tc>
        <w:tc>
          <w:tcPr/>
          <w:p>
            <w:pPr>
              <w:pStyle w:val="Compact"/>
            </w:pPr>
            <w:r>
              <w:t xml:space="preserve">53rd Annual (Phoenix, AZ, Mar 18–21)</w:t>
            </w:r>
          </w:p>
        </w:tc>
        <w:tc>
          <w:tcPr/>
          <w:p>
            <w:pPr>
              <w:pStyle w:val="Compact"/>
            </w:pPr>
            <w:r>
              <w:t xml:space="preserve">166, Suppl S1</w:t>
            </w:r>
          </w:p>
        </w:tc>
        <w:tc>
          <w:tcPr/>
          <w:p>
            <w:pPr>
              <w:pStyle w:val="Compact"/>
            </w:pPr>
            <w:r>
              <w:t xml:space="preserve">sciencedirect.com/…/vol/166/suppl/S1</w:t>
            </w:r>
          </w:p>
        </w:tc>
        <w:tc>
          <w:tcPr/>
          <w:p>
            <w:pPr>
              <w:pStyle w:val="Compact"/>
            </w:pPr>
            <w:r>
              <w:t xml:space="preserve">10.1016/S0090-8258(22)XXXXX-X</w:t>
            </w:r>
          </w:p>
        </w:tc>
        <w:tc>
          <w:tcPr/>
          <w:p>
            <w:pPr>
              <w:pStyle w:val="Compact"/>
            </w:pPr>
            <w:r>
              <w:t xml:space="preserve">~580</w:t>
            </w:r>
          </w:p>
        </w:tc>
      </w:tr>
      <w:tr>
        <w:tc>
          <w:tcPr/>
          <w:p>
            <w:pPr>
              <w:pStyle w:val="Compact"/>
            </w:pPr>
            <w:r>
              <w:t xml:space="preserve">2021</w:t>
            </w:r>
          </w:p>
        </w:tc>
        <w:tc>
          <w:tcPr/>
          <w:p>
            <w:pPr>
              <w:pStyle w:val="Compact"/>
            </w:pPr>
            <w:r>
              <w:t xml:space="preserve">52nd Annual</w:t>
            </w:r>
          </w:p>
        </w:tc>
        <w:tc>
          <w:tcPr/>
          <w:p>
            <w:pPr>
              <w:pStyle w:val="Compact"/>
            </w:pPr>
            <w:r>
              <w:t xml:space="preserve">162, Suppl S1</w:t>
            </w:r>
          </w:p>
        </w:tc>
        <w:tc>
          <w:tcPr/>
          <w:p>
            <w:pPr>
              <w:pStyle w:val="Compact"/>
            </w:pPr>
            <w:r>
              <w:t xml:space="preserve">sciencedirect.com/…/vol/162/suppl/S1</w:t>
            </w:r>
          </w:p>
        </w:tc>
        <w:tc>
          <w:tcPr/>
          <w:p>
            <w:pPr>
              <w:pStyle w:val="Compact"/>
            </w:pPr>
            <w:r>
              <w:t xml:space="preserve">10.1016/S0090-8258(21)XXXXX-X</w:t>
            </w:r>
          </w:p>
        </w:tc>
        <w:tc>
          <w:tcPr/>
          <w:p>
            <w:pPr>
              <w:pStyle w:val="Compact"/>
            </w:pPr>
            <w:r>
              <w:t xml:space="preserve">~700</w:t>
            </w:r>
          </w:p>
        </w:tc>
      </w:tr>
      <w:tr>
        <w:tc>
          <w:tcPr/>
          <w:p>
            <w:pPr>
              <w:pStyle w:val="Compact"/>
            </w:pPr>
            <w:r>
              <w:t xml:space="preserve">2020</w:t>
            </w:r>
          </w:p>
        </w:tc>
        <w:tc>
          <w:tcPr/>
          <w:p>
            <w:pPr>
              <w:pStyle w:val="Compact"/>
            </w:pPr>
            <w:r>
              <w:t xml:space="preserve">51st Annual (cancelled — COVID-19)</w:t>
            </w:r>
          </w:p>
        </w:tc>
        <w:tc>
          <w:tcPr/>
          <w:p>
            <w:pPr>
              <w:pStyle w:val="Compact"/>
            </w:pPr>
            <w:r>
              <w:t xml:space="preserve">159, Suppl S1</w:t>
            </w:r>
          </w:p>
        </w:tc>
        <w:tc>
          <w:tcPr/>
          <w:p>
            <w:pPr>
              <w:pStyle w:val="Compact"/>
            </w:pPr>
            <w:r>
              <w:t xml:space="preserve">sciencedirect.com/…/vol/159/suppl/S1</w:t>
            </w:r>
          </w:p>
        </w:tc>
        <w:tc>
          <w:tcPr/>
          <w:p>
            <w:pPr>
              <w:pStyle w:val="Compact"/>
            </w:pPr>
            <w:r>
              <w:t xml:space="preserve">10.1016/j.ygyno.2020.06.NNN</w:t>
            </w:r>
          </w:p>
        </w:tc>
        <w:tc>
          <w:tcPr/>
          <w:p>
            <w:pPr>
              <w:pStyle w:val="Compact"/>
            </w:pPr>
            <w:r>
              <w:t xml:space="preserve">757</w:t>
            </w:r>
          </w:p>
        </w:tc>
      </w:tr>
      <w:tr>
        <w:tc>
          <w:tcPr/>
          <w:p>
            <w:pPr>
              <w:pStyle w:val="Compact"/>
            </w:pPr>
            <w:r>
              <w:t xml:space="preserve">2019</w:t>
            </w:r>
          </w:p>
        </w:tc>
        <w:tc>
          <w:tcPr/>
          <w:p>
            <w:pPr>
              <w:pStyle w:val="Compact"/>
            </w:pPr>
            <w:r>
              <w:t xml:space="preserve">50th Annual (Honolulu, HI, Mar 16–19)</w:t>
            </w:r>
          </w:p>
        </w:tc>
        <w:tc>
          <w:tcPr/>
          <w:p>
            <w:pPr>
              <w:pStyle w:val="Compact"/>
            </w:pPr>
            <w:r>
              <w:t xml:space="preserve">154, Suppl S1</w:t>
            </w:r>
          </w:p>
        </w:tc>
        <w:tc>
          <w:tcPr/>
          <w:p>
            <w:pPr>
              <w:pStyle w:val="Compact"/>
            </w:pPr>
            <w:r>
              <w:t xml:space="preserve">sciencedirect.com/…/vol/154/suppl/S1</w:t>
            </w:r>
          </w:p>
        </w:tc>
        <w:tc>
          <w:tcPr/>
          <w:p>
            <w:pPr>
              <w:pStyle w:val="Compact"/>
            </w:pPr>
            <w:r>
              <w:t xml:space="preserve">10.1016/j.ygyno.2019.04.NNN</w:t>
            </w:r>
          </w:p>
        </w:tc>
        <w:tc>
          <w:tcPr/>
          <w:p>
            <w:pPr>
              <w:pStyle w:val="Compact"/>
            </w:pPr>
            <w:r>
              <w:t xml:space="preserve">~500</w:t>
            </w:r>
          </w:p>
        </w:tc>
      </w:tr>
      <w:tr>
        <w:tc>
          <w:tcPr/>
          <w:p>
            <w:pPr>
              <w:pStyle w:val="Compact"/>
            </w:pPr>
            <w:r>
              <w:t xml:space="preserve">2018</w:t>
            </w:r>
          </w:p>
        </w:tc>
        <w:tc>
          <w:tcPr/>
          <w:p>
            <w:pPr>
              <w:pStyle w:val="Compact"/>
            </w:pPr>
            <w:r>
              <w:t xml:space="preserve">49th Annual (New Orleans, LA, Mar 24–27)</w:t>
            </w:r>
          </w:p>
        </w:tc>
        <w:tc>
          <w:tcPr/>
          <w:p>
            <w:pPr>
              <w:pStyle w:val="Compact"/>
            </w:pPr>
            <w:r>
              <w:t xml:space="preserve">149, Suppl S1</w:t>
            </w:r>
          </w:p>
        </w:tc>
        <w:tc>
          <w:tcPr/>
          <w:p>
            <w:pPr>
              <w:pStyle w:val="Compact"/>
            </w:pPr>
            <w:r>
              <w:t xml:space="preserve">sciencedirect.com/…/vol/149/suppl/S1</w:t>
            </w:r>
          </w:p>
        </w:tc>
        <w:tc>
          <w:tcPr/>
          <w:p>
            <w:pPr>
              <w:pStyle w:val="Compact"/>
            </w:pPr>
            <w:r>
              <w:t xml:space="preserve">10.1016/j.ygyno.2018.04.NNN</w:t>
            </w:r>
          </w:p>
        </w:tc>
        <w:tc>
          <w:tcPr/>
          <w:p>
            <w:pPr>
              <w:pStyle w:val="Compact"/>
            </w:pPr>
            <w:r>
              <w:t xml:space="preserve">~450</w:t>
            </w:r>
          </w:p>
        </w:tc>
      </w:tr>
      <w:tr>
        <w:tc>
          <w:tcPr/>
          <w:p>
            <w:pPr>
              <w:pStyle w:val="Compact"/>
            </w:pPr>
            <w:r>
              <w:t xml:space="preserve">2017</w:t>
            </w:r>
          </w:p>
        </w:tc>
        <w:tc>
          <w:tcPr/>
          <w:p>
            <w:pPr>
              <w:pStyle w:val="Compact"/>
            </w:pPr>
            <w:r>
              <w:t xml:space="preserve">48th Annual (National Harbor, MD, Mar 12–15)</w:t>
            </w:r>
          </w:p>
        </w:tc>
        <w:tc>
          <w:tcPr/>
          <w:p>
            <w:pPr>
              <w:pStyle w:val="Compact"/>
            </w:pPr>
            <w:r>
              <w:t xml:space="preserve">145, Suppl S1</w:t>
            </w:r>
          </w:p>
        </w:tc>
        <w:tc>
          <w:tcPr/>
          <w:p>
            <w:pPr>
              <w:pStyle w:val="Compact"/>
            </w:pPr>
            <w:r>
              <w:t xml:space="preserve">sciencedirect.com/…/vol/145/suppl/S1</w:t>
            </w:r>
          </w:p>
        </w:tc>
        <w:tc>
          <w:tcPr/>
          <w:p>
            <w:pPr>
              <w:pStyle w:val="Compact"/>
            </w:pPr>
            <w:r>
              <w:t xml:space="preserve">10.1016/j.ygyno.2017.03.NNN</w:t>
            </w:r>
          </w:p>
        </w:tc>
        <w:tc>
          <w:tcPr/>
          <w:p>
            <w:pPr>
              <w:pStyle w:val="Compact"/>
            </w:pPr>
            <w:r>
              <w:t xml:space="preserve">~500</w:t>
            </w:r>
          </w:p>
        </w:tc>
      </w:tr>
      <w:tr>
        <w:tc>
          <w:tcPr/>
          <w:p>
            <w:pPr>
              <w:pStyle w:val="Compact"/>
            </w:pPr>
            <w:r>
              <w:t xml:space="preserve">2016</w:t>
            </w:r>
          </w:p>
        </w:tc>
        <w:tc>
          <w:tcPr/>
          <w:p>
            <w:pPr>
              <w:pStyle w:val="Compact"/>
            </w:pPr>
            <w:r>
              <w:t xml:space="preserve">47th Annual (San Diego, CA, Mar 19–22)</w:t>
            </w:r>
          </w:p>
        </w:tc>
        <w:tc>
          <w:tcPr/>
          <w:p>
            <w:pPr>
              <w:pStyle w:val="Compact"/>
            </w:pPr>
            <w:r>
              <w:t xml:space="preserve">141, Suppl S1</w:t>
            </w:r>
          </w:p>
        </w:tc>
        <w:tc>
          <w:tcPr/>
          <w:p>
            <w:pPr>
              <w:pStyle w:val="Compact"/>
            </w:pPr>
            <w:r>
              <w:t xml:space="preserve">sciencedirect.com/…/vol/141/suppl/S1</w:t>
            </w:r>
          </w:p>
        </w:tc>
        <w:tc>
          <w:tcPr/>
          <w:p>
            <w:pPr>
              <w:pStyle w:val="Compact"/>
            </w:pPr>
            <w:r>
              <w:t xml:space="preserve">10.1016/j.ygyno.2016.04.NNN</w:t>
            </w:r>
          </w:p>
        </w:tc>
        <w:tc>
          <w:tcPr/>
          <w:p>
            <w:pPr>
              <w:pStyle w:val="Compact"/>
            </w:pPr>
            <w:r>
              <w:t xml:space="preserve">~600</w:t>
            </w:r>
          </w:p>
        </w:tc>
      </w:tr>
      <w:tr>
        <w:tc>
          <w:tcPr/>
          <w:p>
            <w:pPr>
              <w:pStyle w:val="Compact"/>
            </w:pPr>
            <w:r>
              <w:t xml:space="preserve">2015</w:t>
            </w:r>
          </w:p>
        </w:tc>
        <w:tc>
          <w:tcPr/>
          <w:p>
            <w:pPr>
              <w:pStyle w:val="Compact"/>
            </w:pPr>
            <w:r>
              <w:t xml:space="preserve">46th Annual (Chicago, IL, Mar 28–31)</w:t>
            </w:r>
          </w:p>
        </w:tc>
        <w:tc>
          <w:tcPr/>
          <w:p>
            <w:pPr>
              <w:pStyle w:val="Compact"/>
            </w:pPr>
            <w:r>
              <w:t xml:space="preserve">137, Suppl S1</w:t>
            </w:r>
          </w:p>
        </w:tc>
        <w:tc>
          <w:tcPr/>
          <w:p>
            <w:pPr>
              <w:pStyle w:val="Compact"/>
            </w:pPr>
            <w:r>
              <w:t xml:space="preserve">sciencedirect.com/…/vol/137/suppl/S1</w:t>
            </w:r>
          </w:p>
        </w:tc>
        <w:tc>
          <w:tcPr/>
          <w:p>
            <w:pPr>
              <w:pStyle w:val="Compact"/>
            </w:pPr>
            <w:r>
              <w:t xml:space="preserve">10.1016/j.ygyno.2015.01.NNN</w:t>
            </w:r>
          </w:p>
        </w:tc>
        <w:tc>
          <w:tcPr/>
          <w:p>
            <w:pPr>
              <w:pStyle w:val="Compact"/>
            </w:pPr>
            <w:r>
              <w:t xml:space="preserve">~600</w:t>
            </w:r>
          </w:p>
        </w:tc>
      </w:tr>
      <w:tr>
        <w:tc>
          <w:tcPr/>
          <w:p>
            <w:pPr>
              <w:pStyle w:val="Compact"/>
            </w:pPr>
            <w:r>
              <w:t xml:space="preserve">2014</w:t>
            </w:r>
          </w:p>
        </w:tc>
        <w:tc>
          <w:tcPr/>
          <w:p>
            <w:pPr>
              <w:pStyle w:val="Compact"/>
            </w:pPr>
            <w:r>
              <w:t xml:space="preserve">45th Annual</w:t>
            </w:r>
          </w:p>
        </w:tc>
        <w:tc>
          <w:tcPr/>
          <w:p>
            <w:pPr>
              <w:pStyle w:val="Compact"/>
            </w:pPr>
            <w:r>
              <w:t xml:space="preserve">133, Suppl S1</w:t>
            </w:r>
          </w:p>
        </w:tc>
        <w:tc>
          <w:tcPr/>
          <w:p>
            <w:pPr>
              <w:pStyle w:val="Compact"/>
            </w:pPr>
            <w:r>
              <w:t xml:space="preserve">sciencedirect.com/…/vol/133/suppl/S1</w:t>
            </w:r>
          </w:p>
        </w:tc>
        <w:tc>
          <w:tcPr/>
          <w:p>
            <w:pPr>
              <w:pStyle w:val="Compact"/>
            </w:pPr>
            <w:r>
              <w:t xml:space="preserve">10.1016/j.ygyno.2014.03.NNN</w:t>
            </w:r>
          </w:p>
        </w:tc>
        <w:tc>
          <w:tcPr/>
          <w:p>
            <w:pPr>
              <w:pStyle w:val="Compact"/>
            </w:pPr>
            <w:r>
              <w:t xml:space="preserve">~600</w:t>
            </w:r>
          </w:p>
        </w:tc>
      </w:tr>
      <w:tr>
        <w:tc>
          <w:tcPr/>
          <w:p>
            <w:pPr>
              <w:pStyle w:val="Compact"/>
            </w:pPr>
            <w:r>
              <w:t xml:space="preserve">2013</w:t>
            </w:r>
          </w:p>
        </w:tc>
        <w:tc>
          <w:tcPr/>
          <w:p>
            <w:pPr>
              <w:pStyle w:val="Compact"/>
            </w:pPr>
            <w:r>
              <w:t xml:space="preserve">44th Annual (Los Angeles, CA)</w:t>
            </w:r>
          </w:p>
        </w:tc>
        <w:tc>
          <w:tcPr/>
          <w:p>
            <w:pPr>
              <w:pStyle w:val="Compact"/>
            </w:pPr>
            <w:r>
              <w:t xml:space="preserve">129, Issue 2 (no Suppl S1)</w:t>
            </w:r>
          </w:p>
        </w:tc>
        <w:tc>
          <w:tcPr/>
          <w:p>
            <w:pPr>
              <w:pStyle w:val="Compact"/>
            </w:pPr>
            <w:r>
              <w:t xml:space="preserve">—</w:t>
            </w:r>
          </w:p>
        </w:tc>
        <w:tc>
          <w:tcPr/>
          <w:p>
            <w:pPr>
              <w:pStyle w:val="Compact"/>
            </w:pPr>
            <w:r>
              <w:t xml:space="preserve">10.1016/j.ygyno.2013.03.028 (meeting summary only)</w:t>
            </w:r>
          </w:p>
        </w:tc>
        <w:tc>
          <w:tcPr/>
          <w:p>
            <w:pPr>
              <w:pStyle w:val="Compact"/>
            </w:pPr>
            <w:r>
              <w:t xml:space="preserve">N/A</w:t>
            </w:r>
          </w:p>
        </w:tc>
      </w:tr>
    </w:tbl>
    <w:p>
      <w:pPr>
        <w:pStyle w:val="BodyText"/>
      </w:pPr>
      <w:r>
        <w:rPr>
          <w:i/>
          <w:iCs/>
        </w:rPr>
        <w:t xml:space="preserve">Sources: SGO Annual Meeting Abstracts; SGO 2023 Supplement (ScienceDirect); 51st Annual Meeting 2020 (PMC); gynecologiconcology-online.net</w:t>
      </w:r>
    </w:p>
    <w:p>
      <w:r>
        <w:pict>
          <v:rect style="width:0;height:1.5pt" o:hralign="center" o:hrstd="t" o:hr="t"/>
        </w:pict>
      </w:r>
    </w:p>
    <w:bookmarkEnd w:id="132"/>
    <w:bookmarkStart w:id="133" w:name="Xfcc83463072fc9a6dc445532149eed5af87964b"/>
    <w:p>
      <w:pPr>
        <w:pStyle w:val="Heading3"/>
      </w:pPr>
      <w:r>
        <w:t xml:space="preserve">A11.18 Updated Complete Society Comparison</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33"/>
    <w:bookmarkStart w:id="146" w:name="X337ca50627aeb481423609453cc33f0ff76e301"/>
    <w:p>
      <w:pPr>
        <w:pStyle w:val="Heading3"/>
      </w:pPr>
      <w:r>
        <w:t xml:space="preserve">A11.19 CREOG &amp; APGO Annual Meeting Abstracts (2013–2023)</w:t>
      </w:r>
    </w:p>
    <w:p>
      <w:pPr>
        <w:pStyle w:val="FirstParagraph"/>
      </w:pPr>
      <w:r>
        <w:t xml:space="preserve">CREOG &amp; APGO (Council on Resident Education in Obstetrics and Gynecology &amp; Association of Professors of Gynecology and Obstetrics) annual meeting abstracts have a two-phase publication history:</w:t>
      </w:r>
    </w:p>
    <w:p>
      <w:pPr>
        <w:pStyle w:val="Compact"/>
        <w:numPr>
          <w:ilvl w:val="0"/>
          <w:numId w:val="1009"/>
        </w:numPr>
      </w:pPr>
      <w:r>
        <w:rPr>
          <w:b/>
          <w:bCs/>
        </w:rPr>
        <w:t xml:space="preserve">2013–2014:</w:t>
      </w:r>
      <w:r>
        <w:t xml:space="preserve"> </w:t>
      </w:r>
      <w:r>
        <w:t xml:space="preserve">Published as a single proceedings article in</w:t>
      </w:r>
      <w:r>
        <w:t xml:space="preserve"> </w:t>
      </w:r>
      <w:r>
        <w:rPr>
          <w:i/>
          <w:iCs/>
        </w:rPr>
        <w:t xml:space="preserve">Teaching and Learning in Medicine</w:t>
      </w:r>
      <w:r>
        <w:t xml:space="preserve"> </w:t>
      </w:r>
      <w:r>
        <w:t xml:space="preserve">(Taylor &amp; Francis) — one DOI per year,</w:t>
      </w:r>
      <w:r>
        <w:t xml:space="preserve"> </w:t>
      </w:r>
      <w:r>
        <w:rPr>
          <w:b/>
          <w:bCs/>
        </w:rPr>
        <w:t xml:space="preserve">not</w:t>
      </w:r>
      <w:r>
        <w:t xml:space="preserve"> </w:t>
      </w:r>
      <w:r>
        <w:t xml:space="preserve">individual DOIs per abstract.</w:t>
      </w:r>
    </w:p>
    <w:p>
      <w:pPr>
        <w:pStyle w:val="Compact"/>
        <w:numPr>
          <w:ilvl w:val="0"/>
          <w:numId w:val="1009"/>
        </w:numPr>
      </w:pPr>
      <w:r>
        <w:rPr>
          <w:b/>
          <w:bCs/>
        </w:rPr>
        <w:t xml:space="preserve">2015–present:</w:t>
      </w:r>
      <w:r>
        <w:t xml:space="preserve"> </w:t>
      </w:r>
      <w:r>
        <w:t xml:space="preserve">Moved to</w:t>
      </w:r>
      <w:r>
        <w:t xml:space="preserve"> </w:t>
      </w:r>
      <w:r>
        <w:rPr>
          <w:i/>
          <w:iCs/>
        </w:rPr>
        <w:t xml:space="preserve">Obstetrics &amp; Gynecology</w:t>
      </w:r>
      <w:r>
        <w:t xml:space="preserve"> </w:t>
      </w:r>
      <w:r>
        <w:t xml:space="preserve">(the Green Journal, Wolters Kluwer/LWW) as an October Supplement (Issue 10001). Each abstract receives a unique DOI with the prefix</w:t>
      </w:r>
      <w:r>
        <w:t xml:space="preserve"> </w:t>
      </w:r>
      <w:r>
        <w:rPr>
          <w:rStyle w:val="VerbatimChar"/>
        </w:rPr>
        <w:t xml:space="preserve">10.1097/01.AOG.</w:t>
      </w:r>
      <w:r>
        <w:t xml:space="preserve"> </w:t>
      </w:r>
      <w:r>
        <w:t xml:space="preserve">followed by a unique hash per abstract (e.g.,</w:t>
      </w:r>
      <w:r>
        <w:t xml:space="preserve"> </w:t>
      </w:r>
      <w:r>
        <w:rPr>
          <w:rStyle w:val="VerbatimChar"/>
        </w:rPr>
        <w:t xml:space="preserve">10.1097/01.AOG.0000585640.43634.ce</w:t>
      </w:r>
      <w:r>
        <w:t xml:space="preserve">). Confirmed by spot-check.</w:t>
      </w:r>
    </w:p>
    <w:p>
      <w:pPr>
        <w:pStyle w:val="FirstParagraph"/>
      </w:pPr>
      <w:r>
        <w:t xml:space="preserve">Volume numbers increase by 2 per year (Vol 126 in 2015 → Vol 142 in 2023). Abstracts are also cataloged without DOIs at</w:t>
      </w:r>
      <w:r>
        <w:t xml:space="preserve"> </w:t>
      </w:r>
      <w:hyperlink r:id="rId134">
        <w:r>
          <w:rPr>
            <w:rStyle w:val="Hyperlink"/>
          </w:rPr>
          <w:t xml:space="preserve">https://tools.apgo.org/abstract-catalog/</w:t>
        </w:r>
      </w:hyperlink>
      <w:r>
        <w:t xml:space="preserve"> </w:t>
      </w:r>
      <w:r>
        <w:t xml:space="preserve">covering 2012–2025.</w:t>
      </w:r>
    </w:p>
    <w:p>
      <w:pPr>
        <w:pStyle w:val="BodyText"/>
      </w:pPr>
      <w:r>
        <w:rPr>
          <w:b/>
          <w:bCs/>
        </w:rPr>
        <w:t xml:space="preserve">Platform note:</w:t>
      </w:r>
      <w:r>
        <w:t xml:space="preserve"> </w:t>
      </w:r>
      <w:r>
        <w:t xml:space="preserve">The Green Journal is hosted on LWW (journals.lww.com), not ScienceDirect — the same platform as AUGS/Urogynecology. The LWW-specific scraper developed for AUGS would apply here as well.</w:t>
      </w:r>
    </w:p>
    <w:p>
      <w:pPr>
        <w:pStyle w:val="BodyText"/>
      </w:pPr>
      <w:r>
        <w:rPr>
          <w:b/>
          <w:bCs/>
        </w:rPr>
        <w:t xml:space="preserve">Published in Obstetrics &amp; Gynecology — October Supplements (2015–2023):</w:t>
      </w:r>
    </w:p>
    <w:tbl>
      <w:tblPr>
        <w:tblStyle w:val="Table"/>
        <w:tblW w:type="pct" w:w="5000"/>
        <w:tblLayout w:type="fixed"/>
        <w:tblLook w:firstRow="1" w:lastRow="0" w:firstColumn="0" w:lastColumn="0" w:noHBand="0" w:noVBand="0" w:val="0020"/>
      </w:tblPr>
      <w:tblGrid>
        <w:gridCol w:w="896"/>
        <w:gridCol w:w="1344"/>
        <w:gridCol w:w="1344"/>
        <w:gridCol w:w="1046"/>
        <w:gridCol w:w="1344"/>
        <w:gridCol w:w="1942"/>
      </w:tblGrid>
      <w:tr>
        <w:trPr>
          <w:tblHeader w:val="on"/>
        </w:trPr>
        <w:tc>
          <w:tcPr/>
          <w:p>
            <w:pPr>
              <w:pStyle w:val="Compact"/>
            </w:pPr>
            <w:r>
              <w:t xml:space="preserve">Year</w:t>
            </w:r>
          </w:p>
        </w:tc>
        <w:tc>
          <w:tcPr/>
          <w:p>
            <w:pPr>
              <w:pStyle w:val="Compact"/>
            </w:pPr>
            <w:r>
              <w:t xml:space="preserve">Meeting</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Pattern</w:t>
            </w:r>
          </w:p>
        </w:tc>
      </w:tr>
      <w:tr>
        <w:tc>
          <w:tcPr/>
          <w:p>
            <w:pPr>
              <w:pStyle w:val="Compact"/>
            </w:pPr>
            <w:r>
              <w:t xml:space="preserve">2023</w:t>
            </w:r>
          </w:p>
        </w:tc>
        <w:tc>
          <w:tcPr/>
          <w:p>
            <w:pPr>
              <w:pStyle w:val="Compact"/>
            </w:pPr>
            <w:r>
              <w:t xml:space="preserve">CREOG &amp; APGO</w:t>
            </w:r>
          </w:p>
        </w:tc>
        <w:tc>
          <w:tcPr/>
          <w:p>
            <w:pPr>
              <w:pStyle w:val="Compact"/>
            </w:pPr>
            <w:r>
              <w:t xml:space="preserve">142</w:t>
            </w:r>
          </w:p>
        </w:tc>
        <w:tc>
          <w:tcPr/>
          <w:p>
            <w:pPr>
              <w:pStyle w:val="Compact"/>
            </w:pPr>
            <w:r>
              <w:t xml:space="preserve">10001</w:t>
            </w:r>
          </w:p>
        </w:tc>
        <w:tc>
          <w:tcPr/>
          <w:p>
            <w:pPr>
              <w:pStyle w:val="Compact"/>
            </w:pPr>
            <w:hyperlink r:id="rId135">
              <w:r>
                <w:rPr>
                  <w:rStyle w:val="Hyperlink"/>
                </w:rPr>
                <w:t xml:space="preserve">https://journals.lww.com/greenjournal/toc/2023/10001</w:t>
              </w:r>
            </w:hyperlink>
          </w:p>
        </w:tc>
        <w:tc>
          <w:tcPr/>
          <w:p>
            <w:pPr>
              <w:pStyle w:val="Compact"/>
            </w:pPr>
            <w:r>
              <w:t xml:space="preserve">10.1097/01.AOG.xxx</w:t>
            </w:r>
          </w:p>
        </w:tc>
      </w:tr>
      <w:tr>
        <w:tc>
          <w:tcPr/>
          <w:p>
            <w:pPr>
              <w:pStyle w:val="Compact"/>
            </w:pPr>
            <w:r>
              <w:t xml:space="preserve">2022</w:t>
            </w:r>
          </w:p>
        </w:tc>
        <w:tc>
          <w:tcPr/>
          <w:p>
            <w:pPr>
              <w:pStyle w:val="Compact"/>
            </w:pPr>
            <w:r>
              <w:t xml:space="preserve">CREOG &amp; APGO</w:t>
            </w:r>
          </w:p>
        </w:tc>
        <w:tc>
          <w:tcPr/>
          <w:p>
            <w:pPr>
              <w:pStyle w:val="Compact"/>
            </w:pPr>
            <w:r>
              <w:t xml:space="preserve">140</w:t>
            </w:r>
          </w:p>
        </w:tc>
        <w:tc>
          <w:tcPr/>
          <w:p>
            <w:pPr>
              <w:pStyle w:val="Compact"/>
            </w:pPr>
            <w:r>
              <w:t xml:space="preserve">10001</w:t>
            </w:r>
          </w:p>
        </w:tc>
        <w:tc>
          <w:tcPr/>
          <w:p>
            <w:pPr>
              <w:pStyle w:val="Compact"/>
            </w:pPr>
            <w:hyperlink r:id="rId136">
              <w:r>
                <w:rPr>
                  <w:rStyle w:val="Hyperlink"/>
                </w:rPr>
                <w:t xml:space="preserve">https://journals.lww.com/greenjournal/toc/2022/10001</w:t>
              </w:r>
            </w:hyperlink>
          </w:p>
        </w:tc>
        <w:tc>
          <w:tcPr/>
          <w:p>
            <w:pPr>
              <w:pStyle w:val="Compact"/>
            </w:pPr>
            <w:r>
              <w:t xml:space="preserve">10.1097/01.AOG.xxx</w:t>
            </w:r>
          </w:p>
        </w:tc>
      </w:tr>
      <w:tr>
        <w:tc>
          <w:tcPr/>
          <w:p>
            <w:pPr>
              <w:pStyle w:val="Compact"/>
            </w:pPr>
            <w:r>
              <w:t xml:space="preserve">2021</w:t>
            </w:r>
          </w:p>
        </w:tc>
        <w:tc>
          <w:tcPr/>
          <w:p>
            <w:pPr>
              <w:pStyle w:val="Compact"/>
            </w:pPr>
            <w:r>
              <w:t xml:space="preserve">CREOG &amp; APGO</w:t>
            </w:r>
          </w:p>
        </w:tc>
        <w:tc>
          <w:tcPr/>
          <w:p>
            <w:pPr>
              <w:pStyle w:val="Compact"/>
            </w:pPr>
            <w:r>
              <w:t xml:space="preserve">138</w:t>
            </w:r>
          </w:p>
        </w:tc>
        <w:tc>
          <w:tcPr/>
          <w:p>
            <w:pPr>
              <w:pStyle w:val="Compact"/>
            </w:pPr>
            <w:r>
              <w:t xml:space="preserve">10001</w:t>
            </w:r>
          </w:p>
        </w:tc>
        <w:tc>
          <w:tcPr/>
          <w:p>
            <w:pPr>
              <w:pStyle w:val="Compact"/>
            </w:pPr>
            <w:hyperlink r:id="rId137">
              <w:r>
                <w:rPr>
                  <w:rStyle w:val="Hyperlink"/>
                </w:rPr>
                <w:t xml:space="preserve">https://journals.lww.com/greenjournal/toc/2021/10001</w:t>
              </w:r>
            </w:hyperlink>
          </w:p>
        </w:tc>
        <w:tc>
          <w:tcPr/>
          <w:p>
            <w:pPr>
              <w:pStyle w:val="Compact"/>
            </w:pPr>
            <w:r>
              <w:t xml:space="preserve">10.1097/01.AOG.xxx</w:t>
            </w:r>
          </w:p>
        </w:tc>
      </w:tr>
      <w:tr>
        <w:tc>
          <w:tcPr/>
          <w:p>
            <w:pPr>
              <w:pStyle w:val="Compact"/>
            </w:pPr>
            <w:r>
              <w:t xml:space="preserve">2020</w:t>
            </w:r>
          </w:p>
        </w:tc>
        <w:tc>
          <w:tcPr/>
          <w:p>
            <w:pPr>
              <w:pStyle w:val="Compact"/>
            </w:pPr>
            <w:r>
              <w:t xml:space="preserve">CREOG &amp; APGO (Orlando, FL)</w:t>
            </w:r>
          </w:p>
        </w:tc>
        <w:tc>
          <w:tcPr/>
          <w:p>
            <w:pPr>
              <w:pStyle w:val="Compact"/>
            </w:pPr>
            <w:r>
              <w:t xml:space="preserve">136</w:t>
            </w:r>
          </w:p>
        </w:tc>
        <w:tc>
          <w:tcPr/>
          <w:p>
            <w:pPr>
              <w:pStyle w:val="Compact"/>
            </w:pPr>
            <w:r>
              <w:t xml:space="preserve">10001</w:t>
            </w:r>
          </w:p>
        </w:tc>
        <w:tc>
          <w:tcPr/>
          <w:p>
            <w:pPr>
              <w:pStyle w:val="Compact"/>
            </w:pPr>
            <w:hyperlink r:id="rId138">
              <w:r>
                <w:rPr>
                  <w:rStyle w:val="Hyperlink"/>
                </w:rPr>
                <w:t xml:space="preserve">https://journals.lww.com/greenjournal/toc/2020/10001</w:t>
              </w:r>
            </w:hyperlink>
          </w:p>
        </w:tc>
        <w:tc>
          <w:tcPr/>
          <w:p>
            <w:pPr>
              <w:pStyle w:val="Compact"/>
            </w:pPr>
            <w:r>
              <w:t xml:space="preserve">10.1097/01.AOG.xxx</w:t>
            </w:r>
          </w:p>
        </w:tc>
      </w:tr>
      <w:tr>
        <w:tc>
          <w:tcPr/>
          <w:p>
            <w:pPr>
              <w:pStyle w:val="Compact"/>
            </w:pPr>
            <w:r>
              <w:t xml:space="preserve">2019</w:t>
            </w:r>
          </w:p>
        </w:tc>
        <w:tc>
          <w:tcPr/>
          <w:p>
            <w:pPr>
              <w:pStyle w:val="Compact"/>
            </w:pPr>
            <w:r>
              <w:t xml:space="preserve">CREOG &amp; APGO</w:t>
            </w:r>
          </w:p>
        </w:tc>
        <w:tc>
          <w:tcPr/>
          <w:p>
            <w:pPr>
              <w:pStyle w:val="Compact"/>
            </w:pPr>
            <w:r>
              <w:t xml:space="preserve">134</w:t>
            </w:r>
          </w:p>
        </w:tc>
        <w:tc>
          <w:tcPr/>
          <w:p>
            <w:pPr>
              <w:pStyle w:val="Compact"/>
            </w:pPr>
            <w:r>
              <w:t xml:space="preserve">10001</w:t>
            </w:r>
          </w:p>
        </w:tc>
        <w:tc>
          <w:tcPr/>
          <w:p>
            <w:pPr>
              <w:pStyle w:val="Compact"/>
            </w:pPr>
            <w:hyperlink r:id="rId139">
              <w:r>
                <w:rPr>
                  <w:rStyle w:val="Hyperlink"/>
                </w:rPr>
                <w:t xml:space="preserve">https://journals.lww.com/greenjournal/toc/2019/10001</w:t>
              </w:r>
            </w:hyperlink>
          </w:p>
        </w:tc>
        <w:tc>
          <w:tcPr/>
          <w:p>
            <w:pPr>
              <w:pStyle w:val="Compact"/>
            </w:pPr>
            <w:r>
              <w:t xml:space="preserve">10.1097/01.AOG.xxx</w:t>
            </w:r>
          </w:p>
        </w:tc>
      </w:tr>
      <w:tr>
        <w:tc>
          <w:tcPr/>
          <w:p>
            <w:pPr>
              <w:pStyle w:val="Compact"/>
            </w:pPr>
            <w:r>
              <w:t xml:space="preserve">2018</w:t>
            </w:r>
          </w:p>
        </w:tc>
        <w:tc>
          <w:tcPr/>
          <w:p>
            <w:pPr>
              <w:pStyle w:val="Compact"/>
            </w:pPr>
            <w:r>
              <w:t xml:space="preserve">CREOG &amp; APGO</w:t>
            </w:r>
          </w:p>
        </w:tc>
        <w:tc>
          <w:tcPr/>
          <w:p>
            <w:pPr>
              <w:pStyle w:val="Compact"/>
            </w:pPr>
            <w:r>
              <w:t xml:space="preserve">132</w:t>
            </w:r>
          </w:p>
        </w:tc>
        <w:tc>
          <w:tcPr/>
          <w:p>
            <w:pPr>
              <w:pStyle w:val="Compact"/>
            </w:pPr>
            <w:r>
              <w:t xml:space="preserve">10001</w:t>
            </w:r>
          </w:p>
        </w:tc>
        <w:tc>
          <w:tcPr/>
          <w:p>
            <w:pPr>
              <w:pStyle w:val="Compact"/>
            </w:pPr>
            <w:hyperlink r:id="rId140">
              <w:r>
                <w:rPr>
                  <w:rStyle w:val="Hyperlink"/>
                </w:rPr>
                <w:t xml:space="preserve">https://journals.lww.com/greenjournal/toc/2018/10001</w:t>
              </w:r>
            </w:hyperlink>
          </w:p>
        </w:tc>
        <w:tc>
          <w:tcPr/>
          <w:p>
            <w:pPr>
              <w:pStyle w:val="Compact"/>
            </w:pPr>
            <w:r>
              <w:t xml:space="preserve">10.1097/01.AOG.xxx</w:t>
            </w:r>
          </w:p>
        </w:tc>
      </w:tr>
      <w:tr>
        <w:tc>
          <w:tcPr/>
          <w:p>
            <w:pPr>
              <w:pStyle w:val="Compact"/>
            </w:pPr>
            <w:r>
              <w:t xml:space="preserve">2017</w:t>
            </w:r>
          </w:p>
        </w:tc>
        <w:tc>
          <w:tcPr/>
          <w:p>
            <w:pPr>
              <w:pStyle w:val="Compact"/>
            </w:pPr>
            <w:r>
              <w:t xml:space="preserve">CREOG &amp; APGO</w:t>
            </w:r>
          </w:p>
        </w:tc>
        <w:tc>
          <w:tcPr/>
          <w:p>
            <w:pPr>
              <w:pStyle w:val="Compact"/>
            </w:pPr>
            <w:r>
              <w:t xml:space="preserve">130</w:t>
            </w:r>
          </w:p>
        </w:tc>
        <w:tc>
          <w:tcPr/>
          <w:p>
            <w:pPr>
              <w:pStyle w:val="Compact"/>
            </w:pPr>
            <w:r>
              <w:t xml:space="preserve">10001</w:t>
            </w:r>
          </w:p>
        </w:tc>
        <w:tc>
          <w:tcPr/>
          <w:p>
            <w:pPr>
              <w:pStyle w:val="Compact"/>
            </w:pPr>
            <w:hyperlink r:id="rId141">
              <w:r>
                <w:rPr>
                  <w:rStyle w:val="Hyperlink"/>
                </w:rPr>
                <w:t xml:space="preserve">https://journals.lww.com/greenjournal/toc/2017/10001</w:t>
              </w:r>
            </w:hyperlink>
          </w:p>
        </w:tc>
        <w:tc>
          <w:tcPr/>
          <w:p>
            <w:pPr>
              <w:pStyle w:val="Compact"/>
            </w:pPr>
            <w:r>
              <w:t xml:space="preserve">10.1097/01.AOG.xxx</w:t>
            </w:r>
          </w:p>
        </w:tc>
      </w:tr>
      <w:tr>
        <w:tc>
          <w:tcPr/>
          <w:p>
            <w:pPr>
              <w:pStyle w:val="Compact"/>
            </w:pPr>
            <w:r>
              <w:t xml:space="preserve">2016</w:t>
            </w:r>
          </w:p>
        </w:tc>
        <w:tc>
          <w:tcPr/>
          <w:p>
            <w:pPr>
              <w:pStyle w:val="Compact"/>
            </w:pPr>
            <w:r>
              <w:t xml:space="preserve">CREOG &amp; APGO</w:t>
            </w:r>
          </w:p>
        </w:tc>
        <w:tc>
          <w:tcPr/>
          <w:p>
            <w:pPr>
              <w:pStyle w:val="Compact"/>
            </w:pPr>
            <w:r>
              <w:t xml:space="preserve">128</w:t>
            </w:r>
          </w:p>
        </w:tc>
        <w:tc>
          <w:tcPr/>
          <w:p>
            <w:pPr>
              <w:pStyle w:val="Compact"/>
            </w:pPr>
            <w:r>
              <w:t xml:space="preserve">10001</w:t>
            </w:r>
          </w:p>
        </w:tc>
        <w:tc>
          <w:tcPr/>
          <w:p>
            <w:pPr>
              <w:pStyle w:val="Compact"/>
            </w:pPr>
            <w:hyperlink r:id="rId142">
              <w:r>
                <w:rPr>
                  <w:rStyle w:val="Hyperlink"/>
                </w:rPr>
                <w:t xml:space="preserve">https://journals.lww.com/greenjournal/toc/2016/10001</w:t>
              </w:r>
            </w:hyperlink>
          </w:p>
        </w:tc>
        <w:tc>
          <w:tcPr/>
          <w:p>
            <w:pPr>
              <w:pStyle w:val="Compact"/>
            </w:pPr>
            <w:r>
              <w:t xml:space="preserve">10.1097/01.AOG.xxx</w:t>
            </w:r>
          </w:p>
        </w:tc>
      </w:tr>
      <w:tr>
        <w:tc>
          <w:tcPr/>
          <w:p>
            <w:pPr>
              <w:pStyle w:val="Compact"/>
            </w:pPr>
            <w:r>
              <w:t xml:space="preserve">2015</w:t>
            </w:r>
          </w:p>
        </w:tc>
        <w:tc>
          <w:tcPr/>
          <w:p>
            <w:pPr>
              <w:pStyle w:val="Compact"/>
            </w:pPr>
            <w:r>
              <w:t xml:space="preserve">CREOG &amp; APGO</w:t>
            </w:r>
          </w:p>
        </w:tc>
        <w:tc>
          <w:tcPr/>
          <w:p>
            <w:pPr>
              <w:pStyle w:val="Compact"/>
            </w:pPr>
            <w:r>
              <w:t xml:space="preserve">126</w:t>
            </w:r>
          </w:p>
        </w:tc>
        <w:tc>
          <w:tcPr/>
          <w:p>
            <w:pPr>
              <w:pStyle w:val="Compact"/>
            </w:pPr>
            <w:r>
              <w:t xml:space="preserve">10001</w:t>
            </w:r>
          </w:p>
        </w:tc>
        <w:tc>
          <w:tcPr/>
          <w:p>
            <w:pPr>
              <w:pStyle w:val="Compact"/>
            </w:pPr>
            <w:hyperlink r:id="rId143">
              <w:r>
                <w:rPr>
                  <w:rStyle w:val="Hyperlink"/>
                </w:rPr>
                <w:t xml:space="preserve">https://journals.lww.com/greenjournal/toc/2015/10001</w:t>
              </w:r>
            </w:hyperlink>
          </w:p>
        </w:tc>
        <w:tc>
          <w:tcPr/>
          <w:p>
            <w:pPr>
              <w:pStyle w:val="Compact"/>
            </w:pPr>
            <w:r>
              <w:t xml:space="preserve">10.1097/01.AOG.xxx</w:t>
            </w:r>
          </w:p>
        </w:tc>
      </w:tr>
    </w:tbl>
    <w:p>
      <w:pPr>
        <w:pStyle w:val="BodyText"/>
      </w:pPr>
      <w:r>
        <w:rPr>
          <w:b/>
          <w:bCs/>
        </w:rPr>
        <w:t xml:space="preserve">Published in Teaching and Learning in Medicine (2013–2014):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pPr>
            <w:r>
              <w:t xml:space="preserve">Meeting</w:t>
            </w:r>
          </w:p>
        </w:tc>
        <w:tc>
          <w:tcPr/>
          <w:p>
            <w:pPr>
              <w:pStyle w:val="Compact"/>
            </w:pPr>
            <w:r>
              <w:t xml:space="preserve">TLM Vol</w:t>
            </w:r>
          </w:p>
        </w:tc>
        <w:tc>
          <w:tcPr/>
          <w:p>
            <w:pPr>
              <w:pStyle w:val="Compact"/>
            </w:pPr>
            <w:r>
              <w:t xml:space="preserve">Issue</w:t>
            </w:r>
          </w:p>
        </w:tc>
        <w:tc>
          <w:tcPr/>
          <w:p>
            <w:pPr>
              <w:pStyle w:val="Compact"/>
            </w:pPr>
            <w:r>
              <w:t xml:space="preserve">DOI</w:t>
            </w:r>
          </w:p>
        </w:tc>
      </w:tr>
      <w:tr>
        <w:tc>
          <w:tcPr/>
          <w:p>
            <w:pPr>
              <w:pStyle w:val="Compact"/>
            </w:pPr>
            <w:r>
              <w:t xml:space="preserve">2014</w:t>
            </w:r>
          </w:p>
        </w:tc>
        <w:tc>
          <w:tcPr/>
          <w:p>
            <w:pPr>
              <w:pStyle w:val="Compact"/>
            </w:pPr>
            <w:r>
              <w:t xml:space="preserve">CREOG &amp; APGO</w:t>
            </w:r>
          </w:p>
        </w:tc>
        <w:tc>
          <w:tcPr/>
          <w:p>
            <w:pPr>
              <w:pStyle w:val="Compact"/>
            </w:pPr>
            <w:r>
              <w:t xml:space="preserve">28</w:t>
            </w:r>
          </w:p>
        </w:tc>
        <w:tc>
          <w:tcPr/>
          <w:p>
            <w:pPr>
              <w:pStyle w:val="Compact"/>
            </w:pPr>
            <w:r>
              <w:t xml:space="preserve">1</w:t>
            </w:r>
          </w:p>
        </w:tc>
        <w:tc>
          <w:tcPr/>
          <w:p>
            <w:pPr>
              <w:pStyle w:val="Compact"/>
            </w:pPr>
            <w:r>
              <w:t xml:space="preserve">10.1080/10401334.2015.1107492</w:t>
            </w:r>
          </w:p>
        </w:tc>
      </w:tr>
      <w:tr>
        <w:tc>
          <w:tcPr/>
          <w:p>
            <w:pPr>
              <w:pStyle w:val="Compact"/>
            </w:pPr>
            <w:r>
              <w:t xml:space="preserve">2013</w:t>
            </w:r>
          </w:p>
        </w:tc>
        <w:tc>
          <w:tcPr/>
          <w:p>
            <w:pPr>
              <w:pStyle w:val="Compact"/>
            </w:pPr>
            <w:r>
              <w:t xml:space="preserve">CREOG &amp; APGO</w:t>
            </w:r>
          </w:p>
        </w:tc>
        <w:tc>
          <w:tcPr/>
          <w:p>
            <w:pPr>
              <w:pStyle w:val="Compact"/>
            </w:pPr>
            <w:r>
              <w:t xml:space="preserve">26</w:t>
            </w:r>
          </w:p>
        </w:tc>
        <w:tc>
          <w:tcPr/>
          <w:p>
            <w:pPr>
              <w:pStyle w:val="Compact"/>
            </w:pPr>
            <w:r>
              <w:t xml:space="preserve">4</w:t>
            </w:r>
          </w:p>
        </w:tc>
        <w:tc>
          <w:tcPr/>
          <w:p>
            <w:pPr>
              <w:pStyle w:val="Compact"/>
            </w:pPr>
            <w:r>
              <w:t xml:space="preserve">10.1080/10401334.2014.945034</w:t>
            </w:r>
          </w:p>
        </w:tc>
      </w:tr>
    </w:tbl>
    <w:p>
      <w:pPr>
        <w:pStyle w:val="BodyText"/>
      </w:pPr>
      <w:r>
        <w:rPr>
          <w:i/>
          <w:iCs/>
        </w:rPr>
        <w:t xml:space="preserve">Note: 2013–2014 each have one DOI for the entire collection, not individual abstract DOIs. The 2020 meeting was held in-person in February 2020 (pre-COVID); supplement publication timing may have shifted. 2021 URL is inferred from volume pattern.</w:t>
      </w:r>
    </w:p>
    <w:p>
      <w:pPr>
        <w:pStyle w:val="BodyText"/>
      </w:pPr>
      <w:r>
        <w:rPr>
          <w:i/>
          <w:iCs/>
        </w:rPr>
        <w:t xml:space="preserve">Sources:</w:t>
      </w:r>
      <w:r>
        <w:rPr>
          <w:i/>
          <w:iCs/>
        </w:rPr>
        <w:t xml:space="preserve"> </w:t>
      </w:r>
      <w:hyperlink r:id="rId144">
        <w:r>
          <w:rPr>
            <w:rStyle w:val="Hyperlink"/>
            <w:i/>
            <w:iCs/>
          </w:rPr>
          <w:t xml:space="preserve">https://journals.lww.com/greenjournal/Pages/collectiondetails.aspx?TopicalCollectionId=129</w:t>
        </w:r>
      </w:hyperlink>
      <w:r>
        <w:rPr>
          <w:i/>
          <w:iCs/>
        </w:rPr>
        <w:t xml:space="preserve">;</w:t>
      </w:r>
      <w:r>
        <w:rPr>
          <w:i/>
          <w:iCs/>
        </w:rPr>
        <w:t xml:space="preserve"> </w:t>
      </w:r>
      <w:hyperlink r:id="rId134">
        <w:r>
          <w:rPr>
            <w:rStyle w:val="Hyperlink"/>
            <w:i/>
            <w:iCs/>
          </w:rPr>
          <w:t xml:space="preserve">https://tools.apgo.org/abstract-catalog/</w:t>
        </w:r>
      </w:hyperlink>
      <w:r>
        <w:rPr>
          <w:i/>
          <w:iCs/>
        </w:rPr>
        <w:t xml:space="preserve">;</w:t>
      </w:r>
      <w:r>
        <w:rPr>
          <w:i/>
          <w:iCs/>
        </w:rPr>
        <w:t xml:space="preserve"> </w:t>
      </w:r>
      <w:hyperlink r:id="rId145">
        <w:r>
          <w:rPr>
            <w:rStyle w:val="Hyperlink"/>
            <w:i/>
            <w:iCs/>
          </w:rPr>
          <w:t xml:space="preserve">https://www.tandfonline.com/doi/full/10.1080/10401334.2015.1107492</w:t>
        </w:r>
      </w:hyperlink>
    </w:p>
    <w:p>
      <w:r>
        <w:pict>
          <v:rect style="width:0;height:1.5pt" o:hralign="center" o:hrstd="t" o:hr="t"/>
        </w:pict>
      </w:r>
    </w:p>
    <w:bookmarkEnd w:id="146"/>
    <w:bookmarkStart w:id="147" w:name="X75bb174c79753db09394e2e5a6526c380565da5"/>
    <w:p>
      <w:pPr>
        <w:pStyle w:val="Heading3"/>
      </w:pPr>
      <w:r>
        <w:t xml:space="preserve">A11.20 Final Complete Society Comparison (All 9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bookmarkEnd w:id="147"/>
    <w:bookmarkStart w:id="161" w:name="X4c85c49bfcb8469018c76d59cdee95102235553"/>
    <w:p>
      <w:pPr>
        <w:pStyle w:val="Heading3"/>
      </w:pPr>
      <w:r>
        <w:t xml:space="preserve">A11.21 ACOG Annual Clinical &amp; Scientific Meeting Abstracts (2013–2023)</w:t>
      </w:r>
    </w:p>
    <w:p>
      <w:pPr>
        <w:pStyle w:val="FirstParagraph"/>
      </w:pPr>
      <w:r>
        <w:t xml:space="preserve">ACOG (American College of Obstetricians and Gynecologists) annual meeting abstracts are published in</w:t>
      </w:r>
      <w:r>
        <w:t xml:space="preserve"> </w:t>
      </w:r>
      <w:r>
        <w:rPr>
          <w:i/>
          <w:iCs/>
        </w:rPr>
        <w:t xml:space="preserve">Obstetrics &amp; Gynecology</w:t>
      </w:r>
      <w:r>
        <w:t xml:space="preserve"> </w:t>
      </w:r>
      <w:r>
        <w:t xml:space="preserve">(the Green Journal, ISSN 0029-7844, Wolters Kluwer/LWW) as a May Supplement each year. Each abstract has a unique DOI using the Wolters Kluwer format</w:t>
      </w:r>
      <w:r>
        <w:t xml:space="preserve"> </w:t>
      </w:r>
      <w:r>
        <w:rPr>
          <w:rStyle w:val="VerbatimChar"/>
        </w:rPr>
        <w:t xml:space="preserve">10.1097/01.AOG.</w:t>
      </w:r>
      <w:r>
        <w:t xml:space="preserve"> </w:t>
      </w:r>
      <w:r>
        <w:t xml:space="preserve">followed by a unique hash (e.g.,</w:t>
      </w:r>
      <w:r>
        <w:t xml:space="preserve"> </w:t>
      </w:r>
      <w:r>
        <w:rPr>
          <w:rStyle w:val="VerbatimChar"/>
        </w:rPr>
        <w:t xml:space="preserve">10.1097/AOG.0b013e3181636fe9</w:t>
      </w:r>
      <w:r>
        <w:t xml:space="preserve">). The URL pattern uses</w:t>
      </w:r>
      <w:r>
        <w:t xml:space="preserve"> </w:t>
      </w:r>
      <w:r>
        <w:rPr>
          <w:rStyle w:val="VerbatimChar"/>
        </w:rPr>
        <w:t xml:space="preserve">/05001</w:t>
      </w:r>
      <w:r>
        <w:t xml:space="preserve"> </w:t>
      </w:r>
      <w:r>
        <w:t xml:space="preserve">consistently across all years.</w:t>
      </w:r>
    </w:p>
    <w:p>
      <w:pPr>
        <w:pStyle w:val="BodyText"/>
      </w:pPr>
      <w:r>
        <w:rPr>
          <w:b/>
          <w:bCs/>
        </w:rPr>
        <w:t xml:space="preserve">Volume formula:</w:t>
      </w:r>
      <w:r>
        <w:t xml:space="preserve"> </w:t>
      </w:r>
      <w:r>
        <w:t xml:space="preserve">Vol = 97 + (2 × (Year − 2000)); so Vol 121 in 2013, Vol 141 in 2023.</w:t>
      </w:r>
    </w:p>
    <w:p>
      <w:pPr>
        <w:pStyle w:val="BodyText"/>
      </w:pPr>
      <w:r>
        <w:rPr>
          <w:b/>
          <w:bCs/>
        </w:rPr>
        <w:t xml:space="preserve">Platform:</w:t>
      </w:r>
      <w:r>
        <w:t xml:space="preserve"> </w:t>
      </w:r>
      <w:r>
        <w:t xml:space="preserve">LWW (journals.lww.com) — same as AUGS and CREOG/APGO. The LWW-specific scraper developed for those societies applies here.</w:t>
      </w:r>
    </w:p>
    <w:p>
      <w:pPr>
        <w:pStyle w:val="BodyText"/>
      </w:pPr>
      <w:r>
        <w:rPr>
          <w:b/>
          <w:bCs/>
        </w:rPr>
        <w:t xml:space="preserve">2020 caveat:</w:t>
      </w:r>
      <w:r>
        <w:t xml:space="preserve"> </w:t>
      </w:r>
      <w:r>
        <w:t xml:space="preserve">The ACOG 2020 Annual Meeting (Nashville, April 24–27) was cancelled due to COVID-19. The May 2020 supplement may contain only previously accepted abstracts or may be absent — verify at the URL before ingesting.</w:t>
      </w:r>
    </w:p>
    <w:p>
      <w:pPr>
        <w:pStyle w:val="BodyText"/>
      </w:pPr>
      <w:r>
        <w:rPr>
          <w:b/>
          <w:bCs/>
        </w:rPr>
        <w:t xml:space="preserve">2021:</w:t>
      </w:r>
      <w:r>
        <w:t xml:space="preserve"> </w:t>
      </w:r>
      <w:r>
        <w:t xml:space="preserve">Meeting was virtual; abstracts were still published in the supplement.</w:t>
      </w:r>
    </w:p>
    <w:tbl>
      <w:tblPr>
        <w:tblStyle w:val="Table"/>
        <w:tblW w:type="pct" w:w="5000"/>
        <w:tblLayout w:type="fixed"/>
        <w:tblLook w:firstRow="1" w:lastRow="0" w:firstColumn="0" w:lastColumn="0" w:noHBand="0" w:noVBand="0" w:val="0020"/>
      </w:tblPr>
      <w:tblGrid>
        <w:gridCol w:w="1105"/>
        <w:gridCol w:w="1657"/>
        <w:gridCol w:w="1289"/>
        <w:gridCol w:w="1657"/>
        <w:gridCol w:w="2210"/>
      </w:tblGrid>
      <w:tr>
        <w:trPr>
          <w:tblHeader w:val="on"/>
        </w:trPr>
        <w:tc>
          <w:tcPr/>
          <w:p>
            <w:pPr>
              <w:pStyle w:val="Compact"/>
            </w:pPr>
            <w:r>
              <w:t xml:space="preserve">Year</w:t>
            </w:r>
          </w:p>
        </w:tc>
        <w:tc>
          <w:tcPr/>
          <w:p>
            <w:pPr>
              <w:pStyle w:val="Compact"/>
            </w:pPr>
            <w:r>
              <w:t xml:space="preserve">O&amp;G Vol</w:t>
            </w:r>
          </w:p>
        </w:tc>
        <w:tc>
          <w:tcPr/>
          <w:p>
            <w:pPr>
              <w:pStyle w:val="Compact"/>
            </w:pPr>
            <w:r>
              <w:t xml:space="preserve">Issue</w:t>
            </w:r>
          </w:p>
        </w:tc>
        <w:tc>
          <w:tcPr/>
          <w:p>
            <w:pPr>
              <w:pStyle w:val="Compact"/>
            </w:pPr>
            <w:r>
              <w:t xml:space="preserve">LWW URL</w:t>
            </w:r>
          </w:p>
        </w:tc>
        <w:tc>
          <w:tcPr/>
          <w:p>
            <w:pPr>
              <w:pStyle w:val="Compact"/>
            </w:pPr>
            <w:r>
              <w:t xml:space="preserve">DOI Prefix</w:t>
            </w:r>
          </w:p>
        </w:tc>
      </w:tr>
      <w:tr>
        <w:tc>
          <w:tcPr/>
          <w:p>
            <w:pPr>
              <w:pStyle w:val="Compact"/>
            </w:pPr>
            <w:r>
              <w:t xml:space="preserve">2023</w:t>
            </w:r>
          </w:p>
        </w:tc>
        <w:tc>
          <w:tcPr/>
          <w:p>
            <w:pPr>
              <w:pStyle w:val="Compact"/>
            </w:pPr>
            <w:r>
              <w:t xml:space="preserve">141</w:t>
            </w:r>
          </w:p>
        </w:tc>
        <w:tc>
          <w:tcPr/>
          <w:p>
            <w:pPr>
              <w:pStyle w:val="Compact"/>
            </w:pPr>
            <w:r>
              <w:t xml:space="preserve">5S</w:t>
            </w:r>
          </w:p>
        </w:tc>
        <w:tc>
          <w:tcPr/>
          <w:p>
            <w:pPr>
              <w:pStyle w:val="Compact"/>
            </w:pPr>
            <w:hyperlink r:id="rId148">
              <w:r>
                <w:rPr>
                  <w:rStyle w:val="Hyperlink"/>
                </w:rPr>
                <w:t xml:space="preserve">https://journals.lww.com/greenjournal/toc/2023/05001</w:t>
              </w:r>
            </w:hyperlink>
          </w:p>
        </w:tc>
        <w:tc>
          <w:tcPr/>
          <w:p>
            <w:pPr>
              <w:pStyle w:val="Compact"/>
            </w:pPr>
            <w:r>
              <w:t xml:space="preserve">10.1097/01.AOG.xxx</w:t>
            </w:r>
          </w:p>
        </w:tc>
      </w:tr>
      <w:tr>
        <w:tc>
          <w:tcPr/>
          <w:p>
            <w:pPr>
              <w:pStyle w:val="Compact"/>
            </w:pPr>
            <w:r>
              <w:t xml:space="preserve">2022</w:t>
            </w:r>
          </w:p>
        </w:tc>
        <w:tc>
          <w:tcPr/>
          <w:p>
            <w:pPr>
              <w:pStyle w:val="Compact"/>
            </w:pPr>
            <w:r>
              <w:t xml:space="preserve">139</w:t>
            </w:r>
          </w:p>
        </w:tc>
        <w:tc>
          <w:tcPr/>
          <w:p>
            <w:pPr>
              <w:pStyle w:val="Compact"/>
            </w:pPr>
            <w:r>
              <w:t xml:space="preserve">5S</w:t>
            </w:r>
          </w:p>
        </w:tc>
        <w:tc>
          <w:tcPr/>
          <w:p>
            <w:pPr>
              <w:pStyle w:val="Compact"/>
            </w:pPr>
            <w:hyperlink r:id="rId149">
              <w:r>
                <w:rPr>
                  <w:rStyle w:val="Hyperlink"/>
                </w:rPr>
                <w:t xml:space="preserve">https://journals.lww.com/greenjournal/toc/2022/05001</w:t>
              </w:r>
            </w:hyperlink>
          </w:p>
        </w:tc>
        <w:tc>
          <w:tcPr/>
          <w:p>
            <w:pPr>
              <w:pStyle w:val="Compact"/>
            </w:pPr>
            <w:r>
              <w:t xml:space="preserve">10.1097/01.AOG.xxx</w:t>
            </w:r>
          </w:p>
        </w:tc>
      </w:tr>
      <w:tr>
        <w:tc>
          <w:tcPr/>
          <w:p>
            <w:pPr>
              <w:pStyle w:val="Compact"/>
            </w:pPr>
            <w:r>
              <w:t xml:space="preserve">2021</w:t>
            </w:r>
          </w:p>
        </w:tc>
        <w:tc>
          <w:tcPr/>
          <w:p>
            <w:pPr>
              <w:pStyle w:val="Compact"/>
            </w:pPr>
            <w:r>
              <w:t xml:space="preserve">137</w:t>
            </w:r>
          </w:p>
        </w:tc>
        <w:tc>
          <w:tcPr/>
          <w:p>
            <w:pPr>
              <w:pStyle w:val="Compact"/>
            </w:pPr>
            <w:r>
              <w:t xml:space="preserve">5S</w:t>
            </w:r>
          </w:p>
        </w:tc>
        <w:tc>
          <w:tcPr/>
          <w:p>
            <w:pPr>
              <w:pStyle w:val="Compact"/>
            </w:pPr>
            <w:hyperlink r:id="rId150">
              <w:r>
                <w:rPr>
                  <w:rStyle w:val="Hyperlink"/>
                </w:rPr>
                <w:t xml:space="preserve">https://journals.lww.com/greenjournal/toc/2021/05001</w:t>
              </w:r>
            </w:hyperlink>
          </w:p>
        </w:tc>
        <w:tc>
          <w:tcPr/>
          <w:p>
            <w:pPr>
              <w:pStyle w:val="Compact"/>
            </w:pPr>
            <w:r>
              <w:t xml:space="preserve">10.1097/01.AOG.xxx</w:t>
            </w:r>
          </w:p>
        </w:tc>
      </w:tr>
      <w:tr>
        <w:tc>
          <w:tcPr/>
          <w:p>
            <w:pPr>
              <w:pStyle w:val="Compact"/>
            </w:pPr>
            <w:r>
              <w:t xml:space="preserve">2020</w:t>
            </w:r>
          </w:p>
        </w:tc>
        <w:tc>
          <w:tcPr/>
          <w:p>
            <w:pPr>
              <w:pStyle w:val="Compact"/>
            </w:pPr>
            <w:r>
              <w:t xml:space="preserve">135</w:t>
            </w:r>
          </w:p>
        </w:tc>
        <w:tc>
          <w:tcPr/>
          <w:p>
            <w:pPr>
              <w:pStyle w:val="Compact"/>
            </w:pPr>
            <w:r>
              <w:t xml:space="preserve">5S</w:t>
            </w:r>
          </w:p>
        </w:tc>
        <w:tc>
          <w:tcPr/>
          <w:p>
            <w:pPr>
              <w:pStyle w:val="Compact"/>
            </w:pPr>
            <w:hyperlink r:id="rId151">
              <w:r>
                <w:rPr>
                  <w:rStyle w:val="Hyperlink"/>
                </w:rPr>
                <w:t xml:space="preserve">https://journals.lww.com/greenjournal/toc/2020/05001</w:t>
              </w:r>
            </w:hyperlink>
          </w:p>
        </w:tc>
        <w:tc>
          <w:tcPr/>
          <w:p>
            <w:pPr>
              <w:pStyle w:val="Compact"/>
            </w:pPr>
            <w:r>
              <w:t xml:space="preserve">10.1097/01.AOG.xxx</w:t>
            </w:r>
          </w:p>
        </w:tc>
      </w:tr>
      <w:tr>
        <w:tc>
          <w:tcPr/>
          <w:p>
            <w:pPr>
              <w:pStyle w:val="Compact"/>
            </w:pPr>
            <w:r>
              <w:t xml:space="preserve">2019</w:t>
            </w:r>
          </w:p>
        </w:tc>
        <w:tc>
          <w:tcPr/>
          <w:p>
            <w:pPr>
              <w:pStyle w:val="Compact"/>
            </w:pPr>
            <w:r>
              <w:t xml:space="preserve">133</w:t>
            </w:r>
          </w:p>
        </w:tc>
        <w:tc>
          <w:tcPr/>
          <w:p>
            <w:pPr>
              <w:pStyle w:val="Compact"/>
            </w:pPr>
            <w:r>
              <w:t xml:space="preserve">5S</w:t>
            </w:r>
          </w:p>
        </w:tc>
        <w:tc>
          <w:tcPr/>
          <w:p>
            <w:pPr>
              <w:pStyle w:val="Compact"/>
            </w:pPr>
            <w:hyperlink r:id="rId152">
              <w:r>
                <w:rPr>
                  <w:rStyle w:val="Hyperlink"/>
                </w:rPr>
                <w:t xml:space="preserve">https://journals.lww.com/greenjournal/toc/2019/05001</w:t>
              </w:r>
            </w:hyperlink>
          </w:p>
        </w:tc>
        <w:tc>
          <w:tcPr/>
          <w:p>
            <w:pPr>
              <w:pStyle w:val="Compact"/>
            </w:pPr>
            <w:r>
              <w:t xml:space="preserve">10.1097/01.AOG.xxx</w:t>
            </w:r>
          </w:p>
        </w:tc>
      </w:tr>
      <w:tr>
        <w:tc>
          <w:tcPr/>
          <w:p>
            <w:pPr>
              <w:pStyle w:val="Compact"/>
            </w:pPr>
            <w:r>
              <w:t xml:space="preserve">2018</w:t>
            </w:r>
          </w:p>
        </w:tc>
        <w:tc>
          <w:tcPr/>
          <w:p>
            <w:pPr>
              <w:pStyle w:val="Compact"/>
            </w:pPr>
            <w:r>
              <w:t xml:space="preserve">131</w:t>
            </w:r>
          </w:p>
        </w:tc>
        <w:tc>
          <w:tcPr/>
          <w:p>
            <w:pPr>
              <w:pStyle w:val="Compact"/>
            </w:pPr>
            <w:r>
              <w:t xml:space="preserve">5S</w:t>
            </w:r>
          </w:p>
        </w:tc>
        <w:tc>
          <w:tcPr/>
          <w:p>
            <w:pPr>
              <w:pStyle w:val="Compact"/>
            </w:pPr>
            <w:hyperlink r:id="rId153">
              <w:r>
                <w:rPr>
                  <w:rStyle w:val="Hyperlink"/>
                </w:rPr>
                <w:t xml:space="preserve">https://journals.lww.com/greenjournal/toc/2018/05001</w:t>
              </w:r>
            </w:hyperlink>
          </w:p>
        </w:tc>
        <w:tc>
          <w:tcPr/>
          <w:p>
            <w:pPr>
              <w:pStyle w:val="Compact"/>
            </w:pPr>
            <w:r>
              <w:t xml:space="preserve">10.1097/01.AOG.xxx</w:t>
            </w:r>
          </w:p>
        </w:tc>
      </w:tr>
      <w:tr>
        <w:tc>
          <w:tcPr/>
          <w:p>
            <w:pPr>
              <w:pStyle w:val="Compact"/>
            </w:pPr>
            <w:r>
              <w:t xml:space="preserve">2017</w:t>
            </w:r>
          </w:p>
        </w:tc>
        <w:tc>
          <w:tcPr/>
          <w:p>
            <w:pPr>
              <w:pStyle w:val="Compact"/>
            </w:pPr>
            <w:r>
              <w:t xml:space="preserve">129</w:t>
            </w:r>
          </w:p>
        </w:tc>
        <w:tc>
          <w:tcPr/>
          <w:p>
            <w:pPr>
              <w:pStyle w:val="Compact"/>
            </w:pPr>
            <w:r>
              <w:t xml:space="preserve">5S</w:t>
            </w:r>
          </w:p>
        </w:tc>
        <w:tc>
          <w:tcPr/>
          <w:p>
            <w:pPr>
              <w:pStyle w:val="Compact"/>
            </w:pPr>
            <w:hyperlink r:id="rId154">
              <w:r>
                <w:rPr>
                  <w:rStyle w:val="Hyperlink"/>
                </w:rPr>
                <w:t xml:space="preserve">https://journals.lww.com/greenjournal/toc/2017/05001</w:t>
              </w:r>
            </w:hyperlink>
          </w:p>
        </w:tc>
        <w:tc>
          <w:tcPr/>
          <w:p>
            <w:pPr>
              <w:pStyle w:val="Compact"/>
            </w:pPr>
            <w:r>
              <w:t xml:space="preserve">10.1097/01.AOG.xxx</w:t>
            </w:r>
          </w:p>
        </w:tc>
      </w:tr>
      <w:tr>
        <w:tc>
          <w:tcPr/>
          <w:p>
            <w:pPr>
              <w:pStyle w:val="Compact"/>
            </w:pPr>
            <w:r>
              <w:t xml:space="preserve">2016</w:t>
            </w:r>
          </w:p>
        </w:tc>
        <w:tc>
          <w:tcPr/>
          <w:p>
            <w:pPr>
              <w:pStyle w:val="Compact"/>
            </w:pPr>
            <w:r>
              <w:t xml:space="preserve">127</w:t>
            </w:r>
          </w:p>
        </w:tc>
        <w:tc>
          <w:tcPr/>
          <w:p>
            <w:pPr>
              <w:pStyle w:val="Compact"/>
            </w:pPr>
            <w:r>
              <w:t xml:space="preserve">5S</w:t>
            </w:r>
          </w:p>
        </w:tc>
        <w:tc>
          <w:tcPr/>
          <w:p>
            <w:pPr>
              <w:pStyle w:val="Compact"/>
            </w:pPr>
            <w:hyperlink r:id="rId155">
              <w:r>
                <w:rPr>
                  <w:rStyle w:val="Hyperlink"/>
                </w:rPr>
                <w:t xml:space="preserve">https://journals.lww.com/greenjournal/toc/2016/05001</w:t>
              </w:r>
            </w:hyperlink>
          </w:p>
        </w:tc>
        <w:tc>
          <w:tcPr/>
          <w:p>
            <w:pPr>
              <w:pStyle w:val="Compact"/>
            </w:pPr>
            <w:r>
              <w:t xml:space="preserve">10.1097/01.AOG.xxx</w:t>
            </w:r>
          </w:p>
        </w:tc>
      </w:tr>
      <w:tr>
        <w:tc>
          <w:tcPr/>
          <w:p>
            <w:pPr>
              <w:pStyle w:val="Compact"/>
            </w:pPr>
            <w:r>
              <w:t xml:space="preserve">2015</w:t>
            </w:r>
          </w:p>
        </w:tc>
        <w:tc>
          <w:tcPr/>
          <w:p>
            <w:pPr>
              <w:pStyle w:val="Compact"/>
            </w:pPr>
            <w:r>
              <w:t xml:space="preserve">125</w:t>
            </w:r>
          </w:p>
        </w:tc>
        <w:tc>
          <w:tcPr/>
          <w:p>
            <w:pPr>
              <w:pStyle w:val="Compact"/>
            </w:pPr>
            <w:r>
              <w:t xml:space="preserve">5S</w:t>
            </w:r>
          </w:p>
        </w:tc>
        <w:tc>
          <w:tcPr/>
          <w:p>
            <w:pPr>
              <w:pStyle w:val="Compact"/>
            </w:pPr>
            <w:hyperlink r:id="rId156">
              <w:r>
                <w:rPr>
                  <w:rStyle w:val="Hyperlink"/>
                </w:rPr>
                <w:t xml:space="preserve">https://journals.lww.com/greenjournal/toc/2015/05001</w:t>
              </w:r>
            </w:hyperlink>
          </w:p>
        </w:tc>
        <w:tc>
          <w:tcPr/>
          <w:p>
            <w:pPr>
              <w:pStyle w:val="Compact"/>
            </w:pPr>
            <w:r>
              <w:t xml:space="preserve">10.1097/01.AOG.xxx</w:t>
            </w:r>
          </w:p>
        </w:tc>
      </w:tr>
      <w:tr>
        <w:tc>
          <w:tcPr/>
          <w:p>
            <w:pPr>
              <w:pStyle w:val="Compact"/>
            </w:pPr>
            <w:r>
              <w:t xml:space="preserve">2014</w:t>
            </w:r>
          </w:p>
        </w:tc>
        <w:tc>
          <w:tcPr/>
          <w:p>
            <w:pPr>
              <w:pStyle w:val="Compact"/>
            </w:pPr>
            <w:r>
              <w:t xml:space="preserve">123</w:t>
            </w:r>
          </w:p>
        </w:tc>
        <w:tc>
          <w:tcPr/>
          <w:p>
            <w:pPr>
              <w:pStyle w:val="Compact"/>
            </w:pPr>
            <w:r>
              <w:t xml:space="preserve">Suppl 1</w:t>
            </w:r>
          </w:p>
        </w:tc>
        <w:tc>
          <w:tcPr/>
          <w:p>
            <w:pPr>
              <w:pStyle w:val="Compact"/>
            </w:pPr>
            <w:hyperlink r:id="rId157">
              <w:r>
                <w:rPr>
                  <w:rStyle w:val="Hyperlink"/>
                </w:rPr>
                <w:t xml:space="preserve">https://journals.lww.com/greenjournal/toc/2014/05001</w:t>
              </w:r>
            </w:hyperlink>
          </w:p>
        </w:tc>
        <w:tc>
          <w:tcPr/>
          <w:p>
            <w:pPr>
              <w:pStyle w:val="Compact"/>
            </w:pPr>
            <w:r>
              <w:t xml:space="preserve">10.1097/01.AOG.xxx</w:t>
            </w:r>
          </w:p>
        </w:tc>
      </w:tr>
      <w:tr>
        <w:tc>
          <w:tcPr/>
          <w:p>
            <w:pPr>
              <w:pStyle w:val="Compact"/>
            </w:pPr>
            <w:r>
              <w:t xml:space="preserve">2013</w:t>
            </w:r>
          </w:p>
        </w:tc>
        <w:tc>
          <w:tcPr/>
          <w:p>
            <w:pPr>
              <w:pStyle w:val="Compact"/>
            </w:pPr>
            <w:r>
              <w:t xml:space="preserve">121</w:t>
            </w:r>
          </w:p>
        </w:tc>
        <w:tc>
          <w:tcPr/>
          <w:p>
            <w:pPr>
              <w:pStyle w:val="Compact"/>
            </w:pPr>
            <w:r>
              <w:t xml:space="preserve">5S</w:t>
            </w:r>
          </w:p>
        </w:tc>
        <w:tc>
          <w:tcPr/>
          <w:p>
            <w:pPr>
              <w:pStyle w:val="Compact"/>
            </w:pPr>
            <w:hyperlink r:id="rId158">
              <w:r>
                <w:rPr>
                  <w:rStyle w:val="Hyperlink"/>
                </w:rPr>
                <w:t xml:space="preserve">https://journals.lww.com/greenjournal/toc/2013/05001</w:t>
              </w:r>
            </w:hyperlink>
          </w:p>
        </w:tc>
        <w:tc>
          <w:tcPr/>
          <w:p>
            <w:pPr>
              <w:pStyle w:val="Compact"/>
            </w:pPr>
            <w:r>
              <w:t xml:space="preserve">10.1097/01.AOG.xxx</w:t>
            </w:r>
          </w:p>
        </w:tc>
      </w:tr>
    </w:tbl>
    <w:p>
      <w:pPr>
        <w:pStyle w:val="BodyText"/>
      </w:pPr>
      <w:r>
        <w:rPr>
          <w:i/>
          <w:iCs/>
        </w:rPr>
        <w:t xml:space="preserve">Sources:</w:t>
      </w:r>
      <w:r>
        <w:rPr>
          <w:i/>
          <w:iCs/>
        </w:rPr>
        <w:t xml:space="preserve"> </w:t>
      </w:r>
      <w:hyperlink r:id="rId148">
        <w:r>
          <w:rPr>
            <w:rStyle w:val="Hyperlink"/>
            <w:i/>
            <w:iCs/>
          </w:rPr>
          <w:t xml:space="preserve">https://journals.lww.com/greenjournal/toc/2023/05001</w:t>
        </w:r>
      </w:hyperlink>
      <w:r>
        <w:rPr>
          <w:i/>
          <w:iCs/>
        </w:rPr>
        <w:t xml:space="preserve">;</w:t>
      </w:r>
      <w:r>
        <w:rPr>
          <w:i/>
          <w:iCs/>
        </w:rPr>
        <w:t xml:space="preserve"> </w:t>
      </w:r>
      <w:hyperlink r:id="rId159">
        <w:r>
          <w:rPr>
            <w:rStyle w:val="Hyperlink"/>
            <w:i/>
            <w:iCs/>
          </w:rPr>
          <w:t xml:space="preserve">https://pubmed.ncbi.nlm.nih.gov/25756102/</w:t>
        </w:r>
      </w:hyperlink>
      <w:r>
        <w:rPr>
          <w:i/>
          <w:iCs/>
        </w:rPr>
        <w:t xml:space="preserve"> </w:t>
      </w:r>
      <w:r>
        <w:rPr>
          <w:i/>
          <w:iCs/>
        </w:rPr>
        <w:t xml:space="preserve">(Vol 123, Suppl 1, pp 1S–198S);</w:t>
      </w:r>
      <w:r>
        <w:rPr>
          <w:i/>
          <w:iCs/>
        </w:rPr>
        <w:t xml:space="preserve"> </w:t>
      </w:r>
      <w:hyperlink r:id="rId160">
        <w:r>
          <w:rPr>
            <w:rStyle w:val="Hyperlink"/>
            <w:i/>
            <w:iCs/>
          </w:rPr>
          <w:t xml:space="preserve">https://journals.lww.com/greenjournal/Pages/collectiondetails.aspx?TopicalCollectionId=128</w:t>
        </w:r>
      </w:hyperlink>
    </w:p>
    <w:p>
      <w:r>
        <w:pict>
          <v:rect style="width:0;height:1.5pt" o:hralign="center" o:hrstd="t" o:hr="t"/>
        </w:pict>
      </w:r>
    </w:p>
    <w:bookmarkEnd w:id="161"/>
    <w:bookmarkStart w:id="162" w:name="Xd9af15b76bb8cdb4ef240d9961d273db6e97890"/>
    <w:p>
      <w:pPr>
        <w:pStyle w:val="Heading3"/>
      </w:pPr>
      <w:r>
        <w:t xml:space="preserve">A11.22 Final Complete Society Comparison (All 10 Societies)</w:t>
      </w:r>
    </w:p>
    <w:tbl>
      <w:tblPr>
        <w:tblStyle w:val="Table"/>
        <w:tblW w:type="pct" w:w="5000"/>
        <w:tblLayout w:type="fixed"/>
        <w:tblLook w:firstRow="1" w:lastRow="0" w:firstColumn="0" w:lastColumn="0" w:noHBand="0" w:noVBand="0" w:val="0020"/>
      </w:tblPr>
      <w:tblGrid>
        <w:gridCol w:w="589"/>
        <w:gridCol w:w="589"/>
        <w:gridCol w:w="654"/>
        <w:gridCol w:w="1047"/>
        <w:gridCol w:w="850"/>
        <w:gridCol w:w="1047"/>
        <w:gridCol w:w="981"/>
        <w:gridCol w:w="1309"/>
        <w:gridCol w:w="850"/>
      </w:tblGrid>
      <w:tr>
        <w:trPr>
          <w:tblHeader w:val="on"/>
        </w:trPr>
        <w:tc>
          <w:tcPr/>
          <w:p>
            <w:pPr>
              <w:pStyle w:val="Compact"/>
            </w:pPr>
            <w:r>
              <w:t xml:space="preserve">Society</w:t>
            </w:r>
          </w:p>
        </w:tc>
        <w:tc>
          <w:tcPr/>
          <w:p>
            <w:pPr>
              <w:pStyle w:val="Compact"/>
            </w:pPr>
            <w:r>
              <w:t xml:space="preserve">Journal</w:t>
            </w:r>
          </w:p>
        </w:tc>
        <w:tc>
          <w:tcPr/>
          <w:p>
            <w:pPr>
              <w:pStyle w:val="Compact"/>
            </w:pPr>
            <w:r>
              <w:t xml:space="preserve">Platform</w:t>
            </w:r>
          </w:p>
        </w:tc>
        <w:tc>
          <w:tcPr/>
          <w:p>
            <w:pPr>
              <w:pStyle w:val="Compact"/>
            </w:pPr>
            <w:r>
              <w:t xml:space="preserve">Individual DOIs</w:t>
            </w:r>
          </w:p>
        </w:tc>
        <w:tc>
          <w:tcPr/>
          <w:p>
            <w:pPr>
              <w:pStyle w:val="Compact"/>
            </w:pPr>
            <w:r>
              <w:t xml:space="preserve">DOI Pattern</w:t>
            </w:r>
          </w:p>
        </w:tc>
        <w:tc>
          <w:tcPr/>
          <w:p>
            <w:pPr>
              <w:pStyle w:val="Compact"/>
            </w:pPr>
            <w:r>
              <w:t xml:space="preserve">PubMed Indexed</w:t>
            </w:r>
          </w:p>
        </w:tc>
        <w:tc>
          <w:tcPr/>
          <w:p>
            <w:pPr>
              <w:pStyle w:val="Compact"/>
            </w:pPr>
            <w:r>
              <w:t xml:space="preserve">Auth Required</w:t>
            </w:r>
          </w:p>
        </w:tc>
        <w:tc>
          <w:tcPr/>
          <w:p>
            <w:pPr>
              <w:pStyle w:val="Compact"/>
            </w:pPr>
            <w:r>
              <w:t xml:space="preserve">Avg Abstracts/Year</w:t>
            </w:r>
          </w:p>
        </w:tc>
        <w:tc>
          <w:tcPr/>
          <w:p>
            <w:pPr>
              <w:pStyle w:val="Compact"/>
            </w:pPr>
            <w:r>
              <w:t xml:space="preserve">Feasibility</w:t>
            </w:r>
          </w:p>
        </w:tc>
      </w:tr>
      <w:tr>
        <w:tc>
          <w:tcPr/>
          <w:p>
            <w:pPr>
              <w:pStyle w:val="Compact"/>
            </w:pPr>
            <w:r>
              <w:rPr>
                <w:b/>
                <w:bCs/>
              </w:rPr>
              <w:t xml:space="preserve">AAGL</w:t>
            </w:r>
          </w:p>
        </w:tc>
        <w:tc>
          <w:tcPr/>
          <w:p>
            <w:pPr>
              <w:pStyle w:val="Compact"/>
            </w:pPr>
            <w:r>
              <w:t xml:space="preserve">JMIG</w:t>
            </w:r>
          </w:p>
        </w:tc>
        <w:tc>
          <w:tcPr/>
          <w:p>
            <w:pPr>
              <w:pStyle w:val="Compact"/>
            </w:pPr>
            <w:r>
              <w:t xml:space="preserve">ScienceDirect</w:t>
            </w:r>
          </w:p>
        </w:tc>
        <w:tc>
          <w:tcPr/>
          <w:p>
            <w:pPr>
              <w:pStyle w:val="Compact"/>
            </w:pPr>
            <w:r>
              <w:t xml:space="preserve">Yes</w:t>
            </w:r>
          </w:p>
        </w:tc>
        <w:tc>
          <w:tcPr/>
          <w:p>
            <w:pPr>
              <w:pStyle w:val="Compact"/>
            </w:pPr>
            <w:r>
              <w:t xml:space="preserve">10.1016/j.jmig.Y.M.NNN</w:t>
            </w:r>
          </w:p>
        </w:tc>
        <w:tc>
          <w:tcPr/>
          <w:p>
            <w:pPr>
              <w:pStyle w:val="Compact"/>
            </w:pPr>
            <w:r>
              <w:t xml:space="preserve">Yes</w:t>
            </w:r>
          </w:p>
        </w:tc>
        <w:tc>
          <w:tcPr/>
          <w:p>
            <w:pPr>
              <w:pStyle w:val="Compact"/>
            </w:pPr>
            <w:r>
              <w:t xml:space="preserve">No</w:t>
            </w:r>
          </w:p>
        </w:tc>
        <w:tc>
          <w:tcPr/>
          <w:p>
            <w:pPr>
              <w:pStyle w:val="Compact"/>
            </w:pPr>
            <w:r>
              <w:t xml:space="preserve">~90</w:t>
            </w:r>
          </w:p>
        </w:tc>
        <w:tc>
          <w:tcPr/>
          <w:p>
            <w:pPr>
              <w:pStyle w:val="Compact"/>
            </w:pPr>
            <w:r>
              <w:t xml:space="preserve">✓ Current</w:t>
            </w:r>
          </w:p>
        </w:tc>
      </w:tr>
      <w:tr>
        <w:tc>
          <w:tcPr/>
          <w:p>
            <w:pPr>
              <w:pStyle w:val="Compact"/>
            </w:pPr>
            <w:r>
              <w:rPr>
                <w:b/>
                <w:bCs/>
              </w:rPr>
              <w:t xml:space="preserve">SMFM</w:t>
            </w:r>
          </w:p>
        </w:tc>
        <w:tc>
          <w:tcPr/>
          <w:p>
            <w:pPr>
              <w:pStyle w:val="Compact"/>
            </w:pPr>
            <w:r>
              <w:t xml:space="preserve">AJOG</w:t>
            </w:r>
          </w:p>
        </w:tc>
        <w:tc>
          <w:tcPr/>
          <w:p>
            <w:pPr>
              <w:pStyle w:val="Compact"/>
            </w:pPr>
            <w:r>
              <w:t xml:space="preserve">ScienceDirect</w:t>
            </w:r>
          </w:p>
        </w:tc>
        <w:tc>
          <w:tcPr/>
          <w:p>
            <w:pPr>
              <w:pStyle w:val="Compact"/>
            </w:pPr>
            <w:r>
              <w:t xml:space="preserve">Yes</w:t>
            </w:r>
          </w:p>
        </w:tc>
        <w:tc>
          <w:tcPr/>
          <w:p>
            <w:pPr>
              <w:pStyle w:val="Compact"/>
            </w:pPr>
            <w:r>
              <w:t xml:space="preserve">10.1016/j.ajog.Y.M.NNN</w:t>
            </w:r>
          </w:p>
        </w:tc>
        <w:tc>
          <w:tcPr/>
          <w:p>
            <w:pPr>
              <w:pStyle w:val="Compact"/>
            </w:pPr>
            <w:r>
              <w:t xml:space="preserve">Yes</w:t>
            </w:r>
          </w:p>
        </w:tc>
        <w:tc>
          <w:tcPr/>
          <w:p>
            <w:pPr>
              <w:pStyle w:val="Compact"/>
            </w:pPr>
            <w:r>
              <w:t xml:space="preserve">No</w:t>
            </w:r>
          </w:p>
        </w:tc>
        <w:tc>
          <w:tcPr/>
          <w:p>
            <w:pPr>
              <w:pStyle w:val="Compact"/>
            </w:pPr>
            <w:r>
              <w:t xml:space="preserve">~500</w:t>
            </w:r>
          </w:p>
        </w:tc>
        <w:tc>
          <w:tcPr/>
          <w:p>
            <w:pPr>
              <w:pStyle w:val="Compact"/>
            </w:pPr>
            <w:r>
              <w:t xml:space="preserve">✓ High</w:t>
            </w:r>
          </w:p>
        </w:tc>
      </w:tr>
      <w:tr>
        <w:tc>
          <w:tcPr/>
          <w:p>
            <w:pPr>
              <w:pStyle w:val="Compact"/>
            </w:pPr>
            <w:r>
              <w:rPr>
                <w:b/>
                <w:bCs/>
              </w:rPr>
              <w:t xml:space="preserve">SGO</w:t>
            </w:r>
          </w:p>
        </w:tc>
        <w:tc>
          <w:tcPr/>
          <w:p>
            <w:pPr>
              <w:pStyle w:val="Compact"/>
            </w:pPr>
            <w:r>
              <w:t xml:space="preserve">Gyn Onc</w:t>
            </w:r>
          </w:p>
        </w:tc>
        <w:tc>
          <w:tcPr/>
          <w:p>
            <w:pPr>
              <w:pStyle w:val="Compact"/>
            </w:pPr>
            <w:r>
              <w:t xml:space="preserve">ScienceDirect</w:t>
            </w:r>
          </w:p>
        </w:tc>
        <w:tc>
          <w:tcPr/>
          <w:p>
            <w:pPr>
              <w:pStyle w:val="Compact"/>
            </w:pPr>
            <w:r>
              <w:t xml:space="preserve">Yes</w:t>
            </w:r>
          </w:p>
        </w:tc>
        <w:tc>
          <w:tcPr/>
          <w:p>
            <w:pPr>
              <w:pStyle w:val="Compact"/>
            </w:pPr>
            <w:r>
              <w:t xml:space="preserve">10.1016/j.ygyno.Y.M.NNN</w:t>
            </w:r>
          </w:p>
        </w:tc>
        <w:tc>
          <w:tcPr/>
          <w:p>
            <w:pPr>
              <w:pStyle w:val="Compact"/>
            </w:pPr>
            <w:r>
              <w:t xml:space="preserve">Yes</w:t>
            </w:r>
          </w:p>
        </w:tc>
        <w:tc>
          <w:tcPr/>
          <w:p>
            <w:pPr>
              <w:pStyle w:val="Compact"/>
            </w:pPr>
            <w:r>
              <w:t xml:space="preserve">Partial</w:t>
            </w:r>
          </w:p>
        </w:tc>
        <w:tc>
          <w:tcPr/>
          <w:p>
            <w:pPr>
              <w:pStyle w:val="Compact"/>
            </w:pPr>
            <w:r>
              <w:t xml:space="preserve">~570</w:t>
            </w:r>
          </w:p>
        </w:tc>
        <w:tc>
          <w:tcPr/>
          <w:p>
            <w:pPr>
              <w:pStyle w:val="Compact"/>
            </w:pPr>
            <w:r>
              <w:t xml:space="preserve">✓ High</w:t>
            </w:r>
          </w:p>
        </w:tc>
      </w:tr>
      <w:tr>
        <w:tc>
          <w:tcPr/>
          <w:p>
            <w:pPr>
              <w:pStyle w:val="Compact"/>
            </w:pPr>
            <w:r>
              <w:rPr>
                <w:b/>
                <w:bCs/>
              </w:rPr>
              <w:t xml:space="preserve">NASPAG</w:t>
            </w:r>
          </w:p>
        </w:tc>
        <w:tc>
          <w:tcPr/>
          <w:p>
            <w:pPr>
              <w:pStyle w:val="Compact"/>
            </w:pPr>
            <w:r>
              <w:t xml:space="preserve">JPAG</w:t>
            </w:r>
          </w:p>
        </w:tc>
        <w:tc>
          <w:tcPr/>
          <w:p>
            <w:pPr>
              <w:pStyle w:val="Compact"/>
            </w:pPr>
            <w:r>
              <w:t xml:space="preserve">ScienceDirect</w:t>
            </w:r>
          </w:p>
        </w:tc>
        <w:tc>
          <w:tcPr/>
          <w:p>
            <w:pPr>
              <w:pStyle w:val="Compact"/>
            </w:pPr>
            <w:r>
              <w:t xml:space="preserve">Yes</w:t>
            </w:r>
          </w:p>
        </w:tc>
        <w:tc>
          <w:tcPr/>
          <w:p>
            <w:pPr>
              <w:pStyle w:val="Compact"/>
            </w:pPr>
            <w:r>
              <w:t xml:space="preserve">10.1016/j.jpag.Y.M.NNN</w:t>
            </w:r>
          </w:p>
        </w:tc>
        <w:tc>
          <w:tcPr/>
          <w:p>
            <w:pPr>
              <w:pStyle w:val="Compact"/>
            </w:pPr>
            <w:r>
              <w:t xml:space="preserve">Yes</w:t>
            </w:r>
          </w:p>
        </w:tc>
        <w:tc>
          <w:tcPr/>
          <w:p>
            <w:pPr>
              <w:pStyle w:val="Compact"/>
            </w:pPr>
            <w:r>
              <w:t xml:space="preserve">No</w:t>
            </w:r>
          </w:p>
        </w:tc>
        <w:tc>
          <w:tcPr/>
          <w:p>
            <w:pPr>
              <w:pStyle w:val="Compact"/>
            </w:pPr>
            <w:r>
              <w:t xml:space="preserve">~35</w:t>
            </w:r>
          </w:p>
        </w:tc>
        <w:tc>
          <w:tcPr/>
          <w:p>
            <w:pPr>
              <w:pStyle w:val="Compact"/>
            </w:pPr>
            <w:r>
              <w:t xml:space="preserve">✓ High</w:t>
            </w:r>
          </w:p>
        </w:tc>
      </w:tr>
      <w:tr>
        <w:tc>
          <w:tcPr/>
          <w:p>
            <w:pPr>
              <w:pStyle w:val="Compact"/>
            </w:pPr>
            <w:r>
              <w:rPr>
                <w:b/>
                <w:bCs/>
              </w:rPr>
              <w:t xml:space="preserve">ASRM</w:t>
            </w:r>
          </w:p>
        </w:tc>
        <w:tc>
          <w:tcPr/>
          <w:p>
            <w:pPr>
              <w:pStyle w:val="Compact"/>
            </w:pPr>
            <w:r>
              <w:t xml:space="preserve">F&amp;S</w:t>
            </w:r>
          </w:p>
        </w:tc>
        <w:tc>
          <w:tcPr/>
          <w:p>
            <w:pPr>
              <w:pStyle w:val="Compact"/>
            </w:pPr>
            <w:r>
              <w:t xml:space="preserve">ScienceDirect</w:t>
            </w:r>
          </w:p>
        </w:tc>
        <w:tc>
          <w:tcPr/>
          <w:p>
            <w:pPr>
              <w:pStyle w:val="Compact"/>
            </w:pPr>
            <w:r>
              <w:t xml:space="preserve">Yes</w:t>
            </w:r>
          </w:p>
        </w:tc>
        <w:tc>
          <w:tcPr/>
          <w:p>
            <w:pPr>
              <w:pStyle w:val="Compact"/>
            </w:pPr>
            <w:r>
              <w:t xml:space="preserve">10.1016/j.fertnstert.Y.M.NNN</w:t>
            </w:r>
          </w:p>
        </w:tc>
        <w:tc>
          <w:tcPr/>
          <w:p>
            <w:pPr>
              <w:pStyle w:val="Compact"/>
            </w:pPr>
            <w:r>
              <w:t xml:space="preserve">Yes</w:t>
            </w:r>
          </w:p>
        </w:tc>
        <w:tc>
          <w:tcPr/>
          <w:p>
            <w:pPr>
              <w:pStyle w:val="Compact"/>
            </w:pPr>
            <w:r>
              <w:t xml:space="preserve">Yes (browse)</w:t>
            </w:r>
          </w:p>
        </w:tc>
        <w:tc>
          <w:tcPr/>
          <w:p>
            <w:pPr>
              <w:pStyle w:val="Compact"/>
            </w:pPr>
            <w:r>
              <w:t xml:space="preserve">~1,200</w:t>
            </w:r>
          </w:p>
        </w:tc>
        <w:tc>
          <w:tcPr/>
          <w:p>
            <w:pPr>
              <w:pStyle w:val="Compact"/>
            </w:pPr>
            <w:r>
              <w:t xml:space="preserve">✓ Medium</w:t>
            </w:r>
          </w:p>
        </w:tc>
      </w:tr>
      <w:tr>
        <w:tc>
          <w:tcPr/>
          <w:p>
            <w:pPr>
              <w:pStyle w:val="Compact"/>
            </w:pPr>
            <w:r>
              <w:rPr>
                <w:b/>
                <w:bCs/>
              </w:rPr>
              <w:t xml:space="preserve">ACOG</w:t>
            </w:r>
          </w:p>
        </w:tc>
        <w:tc>
          <w:tcPr/>
          <w:p>
            <w:pPr>
              <w:pStyle w:val="Compact"/>
            </w:pPr>
            <w:r>
              <w:t xml:space="preserve">O&amp;G (Green J)</w:t>
            </w:r>
          </w:p>
        </w:tc>
        <w:tc>
          <w:tcPr/>
          <w:p>
            <w:pPr>
              <w:pStyle w:val="Compact"/>
            </w:pPr>
            <w:r>
              <w:t xml:space="preserve">LWW</w:t>
            </w:r>
          </w:p>
        </w:tc>
        <w:tc>
          <w:tcPr/>
          <w:p>
            <w:pPr>
              <w:pStyle w:val="Compact"/>
            </w:pPr>
            <w:r>
              <w:t xml:space="preserve">Yes</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~800</w:t>
            </w:r>
          </w:p>
        </w:tc>
        <w:tc>
          <w:tcPr/>
          <w:p>
            <w:pPr>
              <w:pStyle w:val="Compact"/>
            </w:pPr>
            <w:r>
              <w:t xml:space="preserve">△ Medium</w:t>
            </w:r>
          </w:p>
        </w:tc>
      </w:tr>
      <w:tr>
        <w:tc>
          <w:tcPr/>
          <w:p>
            <w:pPr>
              <w:pStyle w:val="Compact"/>
            </w:pPr>
            <w:r>
              <w:rPr>
                <w:b/>
                <w:bCs/>
              </w:rPr>
              <w:t xml:space="preserve">CREOG/APGO</w:t>
            </w:r>
          </w:p>
        </w:tc>
        <w:tc>
          <w:tcPr/>
          <w:p>
            <w:pPr>
              <w:pStyle w:val="Compact"/>
            </w:pPr>
            <w:r>
              <w:t xml:space="preserve">O&amp;G (Green J)</w:t>
            </w:r>
          </w:p>
        </w:tc>
        <w:tc>
          <w:tcPr/>
          <w:p>
            <w:pPr>
              <w:pStyle w:val="Compact"/>
            </w:pPr>
            <w:r>
              <w:t xml:space="preserve">LWW</w:t>
            </w:r>
          </w:p>
        </w:tc>
        <w:tc>
          <w:tcPr/>
          <w:p>
            <w:pPr>
              <w:pStyle w:val="Compact"/>
            </w:pPr>
            <w:r>
              <w:t xml:space="preserve">Yes (2015+)</w:t>
            </w:r>
          </w:p>
        </w:tc>
        <w:tc>
          <w:tcPr/>
          <w:p>
            <w:pPr>
              <w:pStyle w:val="Compact"/>
            </w:pPr>
            <w:r>
              <w:t xml:space="preserve">10.1097/01.AOG.xxx</w:t>
            </w:r>
          </w:p>
        </w:tc>
        <w:tc>
          <w:tcPr/>
          <w:p>
            <w:pPr>
              <w:pStyle w:val="Compact"/>
            </w:pPr>
            <w:r>
              <w:t xml:space="preserve">Yes</w:t>
            </w:r>
          </w:p>
        </w:tc>
        <w:tc>
          <w:tcPr/>
          <w:p>
            <w:pPr>
              <w:pStyle w:val="Compact"/>
            </w:pPr>
            <w:r>
              <w:t xml:space="preserve">No</w:t>
            </w:r>
          </w:p>
        </w:tc>
        <w:tc>
          <w:tcPr/>
          <w:p>
            <w:pPr>
              <w:pStyle w:val="Compact"/>
            </w:pPr>
            <w:r>
              <w:t xml:space="preserve">~200</w:t>
            </w:r>
          </w:p>
        </w:tc>
        <w:tc>
          <w:tcPr/>
          <w:p>
            <w:pPr>
              <w:pStyle w:val="Compact"/>
            </w:pPr>
            <w:r>
              <w:t xml:space="preserve">△ Medium</w:t>
            </w:r>
          </w:p>
        </w:tc>
      </w:tr>
      <w:tr>
        <w:tc>
          <w:tcPr/>
          <w:p>
            <w:pPr>
              <w:pStyle w:val="Compact"/>
            </w:pPr>
            <w:r>
              <w:rPr>
                <w:b/>
                <w:bCs/>
              </w:rPr>
              <w:t xml:space="preserve">SFP</w:t>
            </w:r>
          </w:p>
        </w:tc>
        <w:tc>
          <w:tcPr/>
          <w:p>
            <w:pPr>
              <w:pStyle w:val="Compact"/>
            </w:pPr>
            <w:r>
              <w:t xml:space="preserve">Contraception</w:t>
            </w:r>
          </w:p>
        </w:tc>
        <w:tc>
          <w:tcPr/>
          <w:p>
            <w:pPr>
              <w:pStyle w:val="Compact"/>
            </w:pPr>
            <w:r>
              <w:t xml:space="preserve">ScienceDirect</w:t>
            </w:r>
          </w:p>
        </w:tc>
        <w:tc>
          <w:tcPr/>
          <w:p>
            <w:pPr>
              <w:pStyle w:val="Compact"/>
            </w:pPr>
            <w:r>
              <w:t xml:space="preserve">No (collection-level)</w:t>
            </w:r>
          </w:p>
        </w:tc>
        <w:tc>
          <w:tcPr/>
          <w:p>
            <w:pPr>
              <w:pStyle w:val="Compact"/>
            </w:pPr>
            <w:r>
              <w:t xml:space="preserve">10.1016/j.contraception.Y.M.NNN</w:t>
            </w:r>
          </w:p>
        </w:tc>
        <w:tc>
          <w:tcPr/>
          <w:p>
            <w:pPr>
              <w:pStyle w:val="Compact"/>
            </w:pPr>
            <w:r>
              <w:t xml:space="preserve">Yes</w:t>
            </w:r>
          </w:p>
        </w:tc>
        <w:tc>
          <w:tcPr/>
          <w:p>
            <w:pPr>
              <w:pStyle w:val="Compact"/>
            </w:pPr>
            <w:r>
              <w:t xml:space="preserve">No</w:t>
            </w:r>
          </w:p>
        </w:tc>
        <w:tc>
          <w:tcPr/>
          <w:p>
            <w:pPr>
              <w:pStyle w:val="Compact"/>
            </w:pPr>
            <w:r>
              <w:t xml:space="preserve">~300</w:t>
            </w:r>
          </w:p>
        </w:tc>
        <w:tc>
          <w:tcPr/>
          <w:p>
            <w:pPr>
              <w:pStyle w:val="Compact"/>
            </w:pPr>
            <w:r>
              <w:t xml:space="preserve">△ Medium</w:t>
            </w:r>
          </w:p>
        </w:tc>
      </w:tr>
      <w:tr>
        <w:tc>
          <w:tcPr/>
          <w:p>
            <w:pPr>
              <w:pStyle w:val="Compact"/>
            </w:pPr>
            <w:r>
              <w:rPr>
                <w:b/>
                <w:bCs/>
              </w:rPr>
              <w:t xml:space="preserve">AUGS</w:t>
            </w:r>
          </w:p>
        </w:tc>
        <w:tc>
          <w:tcPr/>
          <w:p>
            <w:pPr>
              <w:pStyle w:val="Compact"/>
            </w:pPr>
            <w:r>
              <w:t xml:space="preserve">Urogynecology</w:t>
            </w:r>
          </w:p>
        </w:tc>
        <w:tc>
          <w:tcPr/>
          <w:p>
            <w:pPr>
              <w:pStyle w:val="Compact"/>
            </w:pPr>
            <w:r>
              <w:t xml:space="preserve">LWW</w:t>
            </w:r>
          </w:p>
        </w:tc>
        <w:tc>
          <w:tcPr/>
          <w:p>
            <w:pPr>
              <w:pStyle w:val="Compact"/>
            </w:pPr>
            <w:r>
              <w:t xml:space="preserve">No (supplement-level)</w:t>
            </w:r>
          </w:p>
        </w:tc>
        <w:tc>
          <w:tcPr/>
          <w:p>
            <w:pPr>
              <w:pStyle w:val="Compact"/>
            </w:pPr>
            <w:r>
              <w:t xml:space="preserve">10.1097/SPV.xxx</w:t>
            </w:r>
          </w:p>
        </w:tc>
        <w:tc>
          <w:tcPr/>
          <w:p>
            <w:pPr>
              <w:pStyle w:val="Compact"/>
            </w:pPr>
            <w:r>
              <w:t xml:space="preserve">Yes</w:t>
            </w:r>
          </w:p>
        </w:tc>
        <w:tc>
          <w:tcPr/>
          <w:p>
            <w:pPr>
              <w:pStyle w:val="Compact"/>
            </w:pPr>
            <w:r>
              <w:t xml:space="preserve">No</w:t>
            </w:r>
          </w:p>
        </w:tc>
        <w:tc>
          <w:tcPr/>
          <w:p>
            <w:pPr>
              <w:pStyle w:val="Compact"/>
            </w:pPr>
            <w:r>
              <w:t xml:space="preserve">~400</w:t>
            </w:r>
          </w:p>
        </w:tc>
        <w:tc>
          <w:tcPr/>
          <w:p>
            <w:pPr>
              <w:pStyle w:val="Compact"/>
            </w:pPr>
            <w:r>
              <w:t xml:space="preserve">△ Medium</w:t>
            </w:r>
          </w:p>
        </w:tc>
      </w:tr>
      <w:tr>
        <w:tc>
          <w:tcPr/>
          <w:p>
            <w:pPr>
              <w:pStyle w:val="Compact"/>
            </w:pPr>
            <w:r>
              <w:rPr>
                <w:b/>
                <w:bCs/>
              </w:rPr>
              <w:t xml:space="preserve">SASGOG</w:t>
            </w:r>
          </w:p>
        </w:tc>
        <w:tc>
          <w:tcPr/>
          <w:p>
            <w:pPr>
              <w:pStyle w:val="Compact"/>
            </w:pPr>
            <w:r>
              <w:t xml:space="preserve">None</w:t>
            </w:r>
          </w:p>
        </w:tc>
        <w:tc>
          <w:tcPr/>
          <w:p>
            <w:pPr>
              <w:pStyle w:val="Compact"/>
            </w:pPr>
            <w:r>
              <w:t xml:space="preserve">Society website</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No</w:t>
            </w:r>
          </w:p>
        </w:tc>
        <w:tc>
          <w:tcPr/>
          <w:p>
            <w:pPr>
              <w:pStyle w:val="Compact"/>
            </w:pPr>
            <w:r>
              <w:t xml:space="preserve">~50</w:t>
            </w:r>
          </w:p>
        </w:tc>
        <w:tc>
          <w:tcPr/>
          <w:p>
            <w:pPr>
              <w:pStyle w:val="Compact"/>
            </w:pPr>
            <w:r>
              <w:t xml:space="preserve">✗ Low</w:t>
            </w:r>
          </w:p>
        </w:tc>
      </w:tr>
    </w:tbl>
    <w:p>
      <w:pPr>
        <w:pStyle w:val="BodyText"/>
      </w:pPr>
      <w:r>
        <w:rPr>
          <w:b/>
          <w:bCs/>
        </w:rPr>
        <w:t xml:space="preserve">LWW societies (ACOG, CREOG/APGO, AUGS)</w:t>
      </w:r>
      <w:r>
        <w:t xml:space="preserve"> </w:t>
      </w:r>
      <w:r>
        <w:t xml:space="preserve">share a platform — a single LWW scraper covers all three.</w:t>
      </w:r>
      <w:r>
        <w:t xml:space="preserve"> </w:t>
      </w:r>
      <w:r>
        <w:rPr>
          <w:b/>
          <w:bCs/>
        </w:rPr>
        <w:t xml:space="preserve">ScienceDirect societies (AAGL, SMFM, SGO, NASPAG, ASRM, SFP)</w:t>
      </w:r>
      <w:r>
        <w:t xml:space="preserve"> </w:t>
      </w:r>
      <w:r>
        <w:t xml:space="preserve">share the existing Elsevier infrastructure. SASGOG remains the only society with no viable programmatic ingestion path.</w:t>
      </w:r>
    </w:p>
    <w:p>
      <w:r>
        <w:pict>
          <v:rect style="width:0;height:1.5pt" o:hralign="center" o:hrstd="t" o:hr="t"/>
        </w:pict>
      </w:r>
    </w:p>
    <w:bookmarkEnd w:id="162"/>
    <w:bookmarkEnd w:id="163"/>
    <w:bookmarkStart w:id="174" w:name="a12.-matching-corrections-april-2026"/>
    <w:p>
      <w:pPr>
        <w:pStyle w:val="Heading2"/>
      </w:pPr>
      <w:r>
        <w:t xml:space="preserve">A12. Matching Corrections (April 2026)</w:t>
      </w:r>
    </w:p>
    <w:p>
      <w:pPr>
        <w:pStyle w:val="FirstParagraph"/>
      </w:pPr>
      <w:r>
        <w:t xml:space="preserve">Four defects in the abstract-to-publication matching layer were identified and corrected after the initial analysis. Each one biased the candidate pool in a specific, traceable direction. This section documents the defect, the correction, and the expected effect on results, so that any change in the reported publication rate between the initial and corrected runs can be attributed to a named cause rather than to unexplained drift.</w:t>
      </w:r>
    </w:p>
    <w:bookmarkStart w:id="164" w:name="X995fc70b9ffc5cab4b0ef882d96e6c284beec88"/>
    <w:p>
      <w:pPr>
        <w:pStyle w:val="Heading3"/>
      </w:pPr>
      <w:r>
        <w:t xml:space="preserve">A12.1 Session-Number Prefixes in Abstract Titles</w:t>
      </w:r>
    </w:p>
    <w:p>
      <w:pPr>
        <w:pStyle w:val="FirstParagraph"/>
      </w:pPr>
      <w:r>
        <w:t xml:space="preserve">The AAGL congress programs for 2013, 2017, 2018, and 2021 print oral presentation titles with a leading session number, rendered as</w:t>
      </w:r>
      <w:r>
        <w:t xml:space="preserve"> </w:t>
      </w:r>
      <w:r>
        <w:rPr>
          <w:rStyle w:val="VerbatimChar"/>
        </w:rPr>
        <w:t xml:space="preserve">"4 - Laparoscopic Management of..."</w:t>
      </w:r>
      <w:r>
        <w:t xml:space="preserve">. Earlier and later programs do not. The scraper captured this prefix verbatim, so the leading token entered</w:t>
      </w:r>
      <w:r>
        <w:t xml:space="preserve"> </w:t>
      </w:r>
      <w:r>
        <w:rPr>
          <w:rStyle w:val="VerbatimChar"/>
        </w:rPr>
        <w:t xml:space="preserve">normalize_title()</w:t>
      </w:r>
      <w:r>
        <w:t xml:space="preserve"> </w:t>
      </w:r>
      <w:r>
        <w:t xml:space="preserve">and then entered PubMed Strategy 1 as part of the title phrase.</w:t>
      </w:r>
    </w:p>
    <w:p>
      <w:pPr>
        <w:pStyle w:val="BodyText"/>
      </w:pPr>
      <w:r>
        <w:t xml:space="preserve">A phrase search for</w:t>
      </w:r>
      <w:r>
        <w:t xml:space="preserve"> </w:t>
      </w:r>
      <w:r>
        <w:rPr>
          <w:rStyle w:val="VerbatimChar"/>
        </w:rPr>
        <w:t xml:space="preserve">"4 laparoscopic management of"[TI]</w:t>
      </w:r>
      <w:r>
        <w:t xml:space="preserve"> </w:t>
      </w:r>
      <w:r>
        <w:t xml:space="preserve">matches nothing. Abstracts from these four congresses were therefore systematically deprived of their single strongest search strategy, and could only be recovered by the weaker author-based strategies. Because the affected congresses are a non-random subset of years, this depressed measured publication rates for those years specifically — a confound directly on the time trend the study reports.</w:t>
      </w:r>
    </w:p>
    <w:p>
      <w:pPr>
        <w:pStyle w:val="BodyText"/>
      </w:pPr>
      <w:r>
        <w:t xml:space="preserve">The prefix is now stripped at two points: in</w:t>
      </w:r>
      <w:r>
        <w:t xml:space="preserve"> </w:t>
      </w:r>
      <w:r>
        <w:rPr>
          <w:rStyle w:val="VerbatimChar"/>
        </w:rPr>
        <w:t xml:space="preserve">normalize_title()</w:t>
      </w:r>
      <w:r>
        <w:t xml:space="preserve"> </w:t>
      </w:r>
      <w:r>
        <w:t xml:space="preserve">(</w:t>
      </w:r>
      <w:r>
        <w:rPr>
          <w:rStyle w:val="VerbatimChar"/>
        </w:rPr>
        <w:t xml:space="preserve">R/utils_text.R</w:t>
      </w:r>
      <w:r>
        <w:t xml:space="preserve">), which protects every downstream consumer of the normalized title, and on the raw</w:t>
      </w:r>
      <w:r>
        <w:t xml:space="preserve"> </w:t>
      </w:r>
      <w:r>
        <w:rPr>
          <w:rStyle w:val="VerbatimChar"/>
        </w:rPr>
        <w:t xml:space="preserve">title</w:t>
      </w:r>
      <w:r>
        <w:t xml:space="preserve"> </w:t>
      </w:r>
      <w:r>
        <w:t xml:space="preserve">column in</w:t>
      </w:r>
      <w:r>
        <w:t xml:space="preserve"> </w:t>
      </w:r>
      <w:r>
        <w:rPr>
          <w:rStyle w:val="VerbatimChar"/>
        </w:rPr>
        <w:t xml:space="preserve">R/02_clean_abstracts.R</w:t>
      </w:r>
      <w:r>
        <w:t xml:space="preserve">, which protects the displayed title in the adjudication app. The regular expression is</w:t>
      </w:r>
      <w:r>
        <w:t xml:space="preserve"> </w:t>
      </w:r>
      <w:r>
        <w:rPr>
          <w:rStyle w:val="VerbatimChar"/>
        </w:rPr>
        <w:t xml:space="preserve">^[0-9]+\s+[-–]\s*</w:t>
      </w:r>
      <w:r>
        <w:t xml:space="preserve">, matching both hyphen and en-dash forms.</w:t>
      </w:r>
    </w:p>
    <w:p>
      <w:pPr>
        <w:pStyle w:val="BodyText"/>
      </w:pPr>
      <w:r>
        <w:t xml:space="preserve">The pattern requires whitespace before the dash. This is deliberate: a title legitimately beginning with a number followed immediately by a hyphen, such as</w:t>
      </w:r>
      <w:r>
        <w:t xml:space="preserve"> </w:t>
      </w:r>
      <w:r>
        <w:rPr>
          <w:rStyle w:val="VerbatimChar"/>
        </w:rPr>
        <w:t xml:space="preserve">"5-year outcomes after..."</w:t>
      </w:r>
      <w:r>
        <w:t xml:space="preserve">, must not be truncated to</w:t>
      </w:r>
      <w:r>
        <w:t xml:space="preserve"> </w:t>
      </w:r>
      <w:r>
        <w:rPr>
          <w:rStyle w:val="VerbatimChar"/>
        </w:rPr>
        <w:t xml:space="preserve">"year outcomes after..."</w:t>
      </w:r>
      <w:r>
        <w:t xml:space="preserve">. The required space distinguishes a session-number prefix from a numeric prefix belonging to the title.</w:t>
      </w:r>
    </w:p>
    <w:bookmarkEnd w:id="164"/>
    <w:bookmarkStart w:id="165" w:name="X1134aea50434136d94d421f311cb3ad23df9f0d"/>
    <w:p>
      <w:pPr>
        <w:pStyle w:val="Heading3"/>
      </w:pPr>
      <w:r>
        <w:t xml:space="preserve">A12.2 Non-Article Publication Types in the Candidate Pool</w:t>
      </w:r>
    </w:p>
    <w:p>
      <w:pPr>
        <w:pStyle w:val="FirstParagraph"/>
      </w:pPr>
      <w:r>
        <w:rPr>
          <w:rStyle w:val="VerbatimChar"/>
        </w:rPr>
        <w:t xml:space="preserve">build_date_filter()</w:t>
      </w:r>
      <w:r>
        <w:t xml:space="preserve"> </w:t>
      </w:r>
      <w:r>
        <w:t xml:space="preserve">previously constrained PubMed searches by date alone. Letters, comments, editorials, published errata, and retraction notices were therefore eligible candidates.</w:t>
      </w:r>
    </w:p>
    <w:p>
      <w:pPr>
        <w:pStyle w:val="BodyText"/>
      </w:pPr>
      <w:r>
        <w:t xml:space="preserve">These document types are strongly biased toward matching. They routinely carry the title of the paper they discuss, and they frequently share its author list. A letter commenting on a trial scores highly on title similarity and author overlap — the two heaviest components of the composite score — while being categorically incapable of representing the full publication of a congress abstract. The failure mode is not merely a wasted candidate slot: a high-scoring letter can outrank and displace the genuine publication, converting a correct match into an incorrect one.</w:t>
      </w:r>
    </w:p>
    <w:p>
      <w:pPr>
        <w:pStyle w:val="BodyText"/>
      </w:pPr>
      <w:r>
        <w:t xml:space="preserve">The date filter now appends an exclusion clause:</w:t>
      </w:r>
    </w:p>
    <w:p>
      <w:pPr>
        <w:pStyle w:val="SourceCode"/>
      </w:pPr>
      <w:r>
        <w:rPr>
          <w:rStyle w:val="VerbatimChar"/>
        </w:rPr>
        <w:t xml:space="preserve">NOT ("Letter"[PT] OR "Comment"[PT] OR "Editorial"[PT] OR</w:t>
      </w:r>
      <w:r>
        <w:br/>
      </w:r>
      <w:r>
        <w:rPr>
          <w:rStyle w:val="VerbatimChar"/>
        </w:rPr>
        <w:t xml:space="preserve">     "Published Erratum"[PT] OR "Retraction of Publication"[PT])</w:t>
      </w:r>
    </w:p>
    <w:p>
      <w:pPr>
        <w:pStyle w:val="FirstParagraph"/>
      </w:pPr>
      <w:r>
        <w:t xml:space="preserve">The exclusion is applied at the search layer rather than as a post-hoc filter on scored candidates. This is the more conservative placement: it prevents these records from ever competing for a candidate slot, rather than removing them after they may already have crowded out a true match.</w:t>
      </w:r>
    </w:p>
    <w:bookmarkEnd w:id="165"/>
    <w:bookmarkStart w:id="166" w:name="X8932188ea762ff0ba0a526e3681873d7d20d36d"/>
    <w:p>
      <w:pPr>
        <w:pStyle w:val="Heading3"/>
      </w:pPr>
      <w:r>
        <w:t xml:space="preserve">A12.3 Over-Broad JMIG Supplement Detection</w:t>
      </w:r>
    </w:p>
    <w:p>
      <w:pPr>
        <w:pStyle w:val="FirstParagraph"/>
      </w:pPr>
      <w:r>
        <w:t xml:space="preserve">Congress abstracts are themselves published in a JMIG supplement. Matching an abstract to its own supplement record would be circular, so</w:t>
      </w:r>
      <w:r>
        <w:t xml:space="preserve"> </w:t>
      </w:r>
      <w:r>
        <w:rPr>
          <w:rStyle w:val="VerbatimChar"/>
        </w:rPr>
        <w:t xml:space="preserve">is_supplement_article()</w:t>
      </w:r>
      <w:r>
        <w:t xml:space="preserve"> </w:t>
      </w:r>
      <w:r>
        <w:t xml:space="preserve">exists to exclude that record. Its original test was a conjunction of journal, volume, and year.</w:t>
      </w:r>
    </w:p>
    <w:p>
      <w:pPr>
        <w:pStyle w:val="BodyText"/>
      </w:pPr>
      <w:r>
        <w:t xml:space="preserve">Volume numbers are not unique to supplements. A JMIG supplement shares its volume number with the regular issues of that volume. The test therefore excluded every regular JMIG article in the matching volume and year — not just the congress supplement.</w:t>
      </w:r>
    </w:p>
    <w:p>
      <w:pPr>
        <w:pStyle w:val="BodyText"/>
      </w:pPr>
      <w:r>
        <w:t xml:space="preserve">This is the most consequential of the four defects, because its bias is directional and falls hardest on the true positives. An AAGL abstract is more likely than chance to be published in JMIG, the society’s own journal, and most likely to appear there within roughly a year of presentation, which is exactly the volume-year window the test was blanking. The rule was therefore most likely to discard precisely the publications the pipeline exists to find, and would depress the measured publication rate while inflating apparent time-to-publication for those recovered by other routes.</w:t>
      </w:r>
    </w:p>
    <w:p>
      <w:pPr>
        <w:pStyle w:val="BodyText"/>
      </w:pPr>
      <w:r>
        <w:t xml:space="preserve">The corrected test adds a fourth conjunct requiring positive evidence that the record is a supplement.</w:t>
      </w:r>
      <w:r>
        <w:t xml:space="preserve"> </w:t>
      </w:r>
      <w:r>
        <w:rPr>
          <w:rStyle w:val="VerbatimChar"/>
        </w:rPr>
        <w:t xml:space="preserve">pub_issue</w:t>
      </w:r>
      <w:r>
        <w:t xml:space="preserve"> </w:t>
      </w:r>
      <w:r>
        <w:t xml:space="preserve">is now extracted from</w:t>
      </w:r>
      <w:r>
        <w:t xml:space="preserve"> </w:t>
      </w:r>
      <w:r>
        <w:rPr>
          <w:rStyle w:val="VerbatimChar"/>
        </w:rPr>
        <w:t xml:space="preserve">JournalIssue/Issue</w:t>
      </w:r>
      <w:r>
        <w:t xml:space="preserve"> </w:t>
      </w:r>
      <w:r>
        <w:t xml:space="preserve">in the PubMed XML (</w:t>
      </w:r>
      <w:r>
        <w:rPr>
          <w:rStyle w:val="VerbatimChar"/>
        </w:rPr>
        <w:t xml:space="preserve">parse_pubmed_xml()</w:t>
      </w:r>
      <w:r>
        <w:t xml:space="preserve">), and exclusion requires either that the issue string contains</w:t>
      </w:r>
      <w:r>
        <w:t xml:space="preserve"> </w:t>
      </w:r>
      <w:r>
        <w:rPr>
          <w:rStyle w:val="VerbatimChar"/>
        </w:rPr>
        <w:t xml:space="preserve">"suppl"</w:t>
      </w:r>
      <w:r>
        <w:t xml:space="preserve">, or — where PubMed omits the issue field — that the publication month is November, the congress month:</w:t>
      </w:r>
    </w:p>
    <w:p>
      <w:pPr>
        <w:pStyle w:val="SourceCode"/>
      </w:pPr>
      <w:r>
        <w:rPr>
          <w:rStyle w:val="NormalTok"/>
        </w:rPr>
        <w:t xml:space="preserve">is_suppl_issue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(pub_issue), </w:t>
      </w:r>
      <w:r>
        <w:rPr>
          <w:rStyle w:val="StringTok"/>
        </w:rPr>
        <w:t xml:space="preserve">"suppl"</w:t>
      </w:r>
      <w:r>
        <w:rPr>
          <w:rStyle w:val="NormalTok"/>
        </w:rPr>
        <w:t xml:space="preserve">)) </w:t>
      </w:r>
      <w:r>
        <w:rPr>
          <w:rStyle w:val="SpecialCharTok"/>
        </w:rPr>
        <w:t xml:space="preserve">||</w:t>
      </w:r>
      <w:r>
        <w:br/>
      </w:r>
      <w:r>
        <w:rPr>
          <w:rStyle w:val="NormalTok"/>
        </w:rPr>
        <w:t xml:space="preserve">  (</w:t>
      </w:r>
      <w:r>
        <w:rPr>
          <w:rStyle w:val="FunctionTok"/>
        </w:rPr>
        <w:t xml:space="preserve">is.na</w:t>
      </w:r>
      <w:r>
        <w:rPr>
          <w:rStyle w:val="NormalTok"/>
        </w:rPr>
        <w:t xml:space="preserve">(pub_issue) </w:t>
      </w:r>
      <w:r>
        <w:rPr>
          <w:rStyle w:val="SpecialCharTok"/>
        </w:rPr>
        <w:t xml:space="preserve">&amp;&amp;</w:t>
      </w:r>
      <w:r>
        <w:rPr>
          <w:rStyle w:val="NormalTok"/>
        </w:rPr>
        <w:t xml:space="preserve"> </w:t>
      </w:r>
      <w:r>
        <w:rPr>
          <w:rStyle w:val="SpecialCharTok"/>
        </w:rPr>
        <w:t xml:space="preserve">!</w:t>
      </w:r>
      <w:r>
        <w:rPr>
          <w:rStyle w:val="FunctionTok"/>
        </w:rPr>
        <w:t xml:space="preserve">is.na</w:t>
      </w:r>
      <w:r>
        <w:rPr>
          <w:rStyle w:val="NormalTok"/>
        </w:rPr>
        <w:t xml:space="preserve">(pub_month) </w:t>
      </w:r>
      <w:r>
        <w:rPr>
          <w:rStyle w:val="SpecialCharTok"/>
        </w:rPr>
        <w:t xml:space="preserve">&amp;&amp;</w:t>
      </w:r>
      <w:r>
        <w:br/>
      </w:r>
      <w:r>
        <w:rPr>
          <w:rStyle w:val="NormalTok"/>
        </w:rPr>
        <w:t xml:space="preserve">     </w:t>
      </w:r>
      <w:r>
        <w:rPr>
          <w:rStyle w:val="FunctionTok"/>
        </w:rPr>
        <w:t xml:space="preserve">str_detect</w:t>
      </w:r>
      <w:r>
        <w:rPr>
          <w:rStyle w:val="NormalTok"/>
        </w:rPr>
        <w:t xml:space="preserve">(</w:t>
      </w:r>
      <w:r>
        <w:rPr>
          <w:rStyle w:val="FunctionTok"/>
        </w:rPr>
        <w:t xml:space="preserve">tolower</w:t>
      </w:r>
      <w:r>
        <w:rPr>
          <w:rStyle w:val="NormalTok"/>
        </w:rPr>
        <w:t xml:space="preserve">(pub_month), </w:t>
      </w:r>
      <w:r>
        <w:rPr>
          <w:rStyle w:val="StringTok"/>
        </w:rPr>
        <w:t xml:space="preserve">"^(nov|11)"</w:t>
      </w:r>
      <w:r>
        <w:rPr>
          <w:rStyle w:val="NormalTok"/>
        </w:rPr>
        <w:t xml:space="preserve">))</w:t>
      </w:r>
      <w:r>
        <w:br/>
      </w:r>
      <w:r>
        <w:br/>
      </w:r>
      <w:r>
        <w:rPr>
          <w:rStyle w:val="NormalTok"/>
        </w:rPr>
        <w:t xml:space="preserve">is_jmig </w:t>
      </w:r>
      <w:r>
        <w:rPr>
          <w:rStyle w:val="SpecialCharTok"/>
        </w:rPr>
        <w:t xml:space="preserve">&amp;&amp;</w:t>
      </w:r>
      <w:r>
        <w:rPr>
          <w:rStyle w:val="NormalTok"/>
        </w:rPr>
        <w:t xml:space="preserve"> is_supplement_vol </w:t>
      </w:r>
      <w:r>
        <w:rPr>
          <w:rStyle w:val="SpecialCharTok"/>
        </w:rPr>
        <w:t xml:space="preserve">&amp;&amp;</w:t>
      </w:r>
      <w:r>
        <w:rPr>
          <w:rStyle w:val="NormalTok"/>
        </w:rPr>
        <w:t xml:space="preserve"> is_supplement_year </w:t>
      </w:r>
      <w:r>
        <w:rPr>
          <w:rStyle w:val="SpecialCharTok"/>
        </w:rPr>
        <w:t xml:space="preserve">&amp;&amp;</w:t>
      </w:r>
      <w:r>
        <w:rPr>
          <w:rStyle w:val="NormalTok"/>
        </w:rPr>
        <w:t xml:space="preserve"> is_suppl_issue</w:t>
      </w:r>
    </w:p>
    <w:p>
      <w:pPr>
        <w:pStyle w:val="FirstParagraph"/>
      </w:pPr>
      <w:r>
        <w:t xml:space="preserve">The November fallback is a deliberate residual compromise. It is narrower than the original rule, since it applies only when the issue field is absent, but it is still a heuristic and will misclassify a genuine November JMIG article in a supplement volume whose issue metadata PubMed has not populated. Section A12.5 records this as a known limitation.</w:t>
      </w:r>
    </w:p>
    <w:bookmarkEnd w:id="166"/>
    <w:bookmarkStart w:id="167" w:name="X824c7944b581fc18423aeeceace3052ef2c647e"/>
    <w:p>
      <w:pPr>
        <w:pStyle w:val="Heading3"/>
      </w:pPr>
      <w:r>
        <w:t xml:space="preserve">A12.4 Stopword Removal Broke Title Phrase Search</w:t>
      </w:r>
    </w:p>
    <w:p>
      <w:pPr>
        <w:pStyle w:val="FirstParagraph"/>
      </w:pPr>
      <w:r>
        <w:t xml:space="preserve">Strategy 1 built its title phrase by discarding every token shorter than three characters and then joining the first eight survivors. The intent was to drop uninformative stopwords. The effect was to destroy the phrase.</w:t>
      </w:r>
    </w:p>
    <w:p>
      <w:pPr>
        <w:pStyle w:val="BodyText"/>
      </w:pPr>
      <w:r>
        <w:t xml:space="preserve">PubMed</w:t>
      </w:r>
      <w:r>
        <w:t xml:space="preserve"> </w:t>
      </w:r>
      <w:r>
        <w:rPr>
          <w:rStyle w:val="VerbatimChar"/>
        </w:rPr>
        <w:t xml:space="preserve">[TI]</w:t>
      </w:r>
      <w:r>
        <w:t xml:space="preserve"> </w:t>
      </w:r>
      <w:r>
        <w:t xml:space="preserve">phrase search matches consecutive words. Removing</w:t>
      </w:r>
      <w:r>
        <w:t xml:space="preserve"> </w:t>
      </w:r>
      <w:r>
        <w:rPr>
          <w:rStyle w:val="VerbatimChar"/>
        </w:rPr>
        <w:t xml:space="preserve">"in"</w:t>
      </w:r>
      <w:r>
        <w:t xml:space="preserve">,</w:t>
      </w:r>
      <w:r>
        <w:t xml:space="preserve"> </w:t>
      </w:r>
      <w:r>
        <w:rPr>
          <w:rStyle w:val="VerbatimChar"/>
        </w:rPr>
        <w:t xml:space="preserve">"of"</w:t>
      </w:r>
      <w:r>
        <w:t xml:space="preserve">, and</w:t>
      </w:r>
      <w:r>
        <w:t xml:space="preserve"> </w:t>
      </w:r>
      <w:r>
        <w:rPr>
          <w:rStyle w:val="VerbatimChar"/>
        </w:rPr>
        <w:t xml:space="preserve">"a"</w:t>
      </w:r>
      <w:r>
        <w:t xml:space="preserve"> </w:t>
      </w:r>
      <w:r>
        <w:t xml:space="preserve">from a title does not produce a shorter phrase that still matches — it produces a word sequence that never appears in any title.</w:t>
      </w:r>
      <w:r>
        <w:t xml:space="preserve"> </w:t>
      </w:r>
      <w:r>
        <w:rPr>
          <w:rStyle w:val="VerbatimChar"/>
        </w:rPr>
        <w:t xml:space="preserve">"outcomes robotic surgery obese patients"</w:t>
      </w:r>
      <w:r>
        <w:t xml:space="preserve"> </w:t>
      </w:r>
      <w:r>
        <w:t xml:space="preserve">does not match</w:t>
      </w:r>
      <w:r>
        <w:t xml:space="preserve"> </w:t>
      </w:r>
      <w:r>
        <w:rPr>
          <w:i/>
          <w:iCs/>
        </w:rPr>
        <w:t xml:space="preserve">“Outcomes of robotic surgery in obese patients”</w:t>
      </w:r>
      <w:r>
        <w:t xml:space="preserve">. Strategy 1, the highest-precision strategy in the pipeline, was reliably failing on any title containing a short function word, which is nearly all of them.</w:t>
      </w:r>
    </w:p>
    <w:p>
      <w:pPr>
        <w:pStyle w:val="BodyText"/>
      </w:pPr>
      <w:r>
        <w:t xml:space="preserve">The strategy now takes a consecutive eight-word window, preserving every token including stopwords, and begins the window at the first token of three or more characters:</w:t>
      </w:r>
    </w:p>
    <w:p>
      <w:pPr>
        <w:pStyle w:val="SourceCode"/>
      </w:pPr>
      <w:r>
        <w:rPr>
          <w:rStyle w:val="NormalTok"/>
        </w:rPr>
        <w:t xml:space="preserve">title_all_words </w:t>
      </w:r>
      <w:r>
        <w:rPr>
          <w:rStyle w:val="OtherTok"/>
        </w:rPr>
        <w:t xml:space="preserve">&lt;-</w:t>
      </w:r>
      <w:r>
        <w:rPr>
          <w:rStyle w:val="NormalTok"/>
        </w:rPr>
        <w:t xml:space="preserve"> </w:t>
      </w:r>
      <w:r>
        <w:rPr>
          <w:rStyle w:val="FunctionTok"/>
        </w:rPr>
        <w:t xml:space="preserve">str_split</w:t>
      </w:r>
      <w:r>
        <w:rPr>
          <w:rStyle w:val="NormalTok"/>
        </w:rPr>
        <w:t xml:space="preserve">(title_norm, </w:t>
      </w:r>
      <w:r>
        <w:rPr>
          <w:rStyle w:val="StringTok"/>
        </w:rPr>
        <w:t xml:space="preserve">"</w:t>
      </w:r>
      <w:r>
        <w:rPr>
          <w:rStyle w:val="SpecialCharTok"/>
        </w:rPr>
        <w:t xml:space="preserve">\\</w:t>
      </w:r>
      <w:r>
        <w:rPr>
          <w:rStyle w:val="StringTok"/>
        </w:rPr>
        <w:t xml:space="preserve">s+"</w:t>
      </w:r>
      <w:r>
        <w:rPr>
          <w:rStyle w:val="NormalTok"/>
        </w:rPr>
        <w:t xml:space="preserve">)[[</w:t>
      </w:r>
      <w:r>
        <w:rPr>
          <w:rStyle w:val="DecValTok"/>
        </w:rPr>
        <w:t xml:space="preserve">1</w:t>
      </w:r>
      <w:r>
        <w:rPr>
          <w:rStyle w:val="NormalTok"/>
        </w:rPr>
        <w:t xml:space="preserve">]]</w:t>
      </w:r>
      <w:r>
        <w:br/>
      </w:r>
      <w:r>
        <w:rPr>
          <w:rStyle w:val="NormalTok"/>
        </w:rPr>
        <w:t xml:space="preserve">start_idx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nchar</w:t>
      </w:r>
      <w:r>
        <w:rPr>
          <w:rStyle w:val="NormalTok"/>
        </w:rPr>
        <w:t xml:space="preserve">(title_all_words) </w:t>
      </w:r>
      <w:r>
        <w:rPr>
          <w:rStyle w:val="SpecialCharTok"/>
        </w:rPr>
        <w:t xml:space="preserve">&gt;=</w:t>
      </w:r>
      <w:r>
        <w:rPr>
          <w:rStyle w:val="NormalTok"/>
        </w:rPr>
        <w:t xml:space="preserve"> </w:t>
      </w:r>
      <w:r>
        <w:rPr>
          <w:rStyle w:val="DecValTok"/>
        </w:rPr>
        <w:t xml:space="preserve">3</w:t>
      </w:r>
      <w:r>
        <w:rPr>
          <w:rStyle w:val="NormalTok"/>
        </w:rPr>
        <w:t xml:space="preserve">)</w:t>
      </w:r>
      <w:r>
        <w:br/>
      </w:r>
      <w:r>
        <w:rPr>
          <w:rStyle w:val="NormalTok"/>
        </w:rPr>
        <w:t xml:space="preserve">s </w:t>
      </w:r>
      <w:r>
        <w:rPr>
          <w:rStyle w:val="OtherTok"/>
        </w:rPr>
        <w:t xml:space="preserve">&lt;-</w:t>
      </w:r>
      <w:r>
        <w:rPr>
          <w:rStyle w:val="NormalTok"/>
        </w:rPr>
        <w:t xml:space="preserve"> start_idx[</w:t>
      </w:r>
      <w:r>
        <w:rPr>
          <w:rStyle w:val="DecValTok"/>
        </w:rPr>
        <w:t xml:space="preserve">1</w:t>
      </w:r>
      <w:r>
        <w:rPr>
          <w:rStyle w:val="NormalTok"/>
        </w:rPr>
        <w:t xml:space="preserve">]</w:t>
      </w:r>
      <w:r>
        <w:br/>
      </w:r>
      <w:r>
        <w:rPr>
          <w:rStyle w:val="NormalTok"/>
        </w:rPr>
        <w:t xml:space="preserve">title_query_words </w:t>
      </w:r>
      <w:r>
        <w:rPr>
          <w:rStyle w:val="OtherTok"/>
        </w:rPr>
        <w:t xml:space="preserve">&lt;-</w:t>
      </w:r>
      <w:r>
        <w:rPr>
          <w:rStyle w:val="NormalTok"/>
        </w:rPr>
        <w:t xml:space="preserve"> title_all_words[s</w:t>
      </w:r>
      <w:r>
        <w:rPr>
          <w:rStyle w:val="SpecialCharTok"/>
        </w:rPr>
        <w:t xml:space="preserve">:</w:t>
      </w:r>
      <w:r>
        <w:rPr>
          <w:rStyle w:val="FunctionTok"/>
        </w:rPr>
        <w:t xml:space="preserve">min</w:t>
      </w:r>
      <w:r>
        <w:rPr>
          <w:rStyle w:val="NormalTok"/>
        </w:rPr>
        <w:t xml:space="preserve">(s </w:t>
      </w:r>
      <w:r>
        <w:rPr>
          <w:rStyle w:val="SpecialCharTok"/>
        </w:rPr>
        <w:t xml:space="preserve">+</w:t>
      </w:r>
      <w:r>
        <w:rPr>
          <w:rStyle w:val="NormalTok"/>
        </w:rPr>
        <w:t xml:space="preserve"> </w:t>
      </w:r>
      <w:r>
        <w:rPr>
          <w:rStyle w:val="DecValTok"/>
        </w:rPr>
        <w:t xml:space="preserve">7</w:t>
      </w:r>
      <w:r>
        <w:rPr>
          <w:rStyle w:val="DataTypeTok"/>
        </w:rPr>
        <w:t xml:space="preserve">L</w:t>
      </w:r>
      <w:r>
        <w:rPr>
          <w:rStyle w:val="NormalTok"/>
        </w:rPr>
        <w:t xml:space="preserve">, </w:t>
      </w:r>
      <w:r>
        <w:rPr>
          <w:rStyle w:val="FunctionTok"/>
        </w:rPr>
        <w:t xml:space="preserve">length</w:t>
      </w:r>
      <w:r>
        <w:rPr>
          <w:rStyle w:val="NormalTok"/>
        </w:rPr>
        <w:t xml:space="preserve">(title_all_words))]</w:t>
      </w:r>
    </w:p>
    <w:p>
      <w:pPr>
        <w:pStyle w:val="FirstParagraph"/>
      </w:pPr>
      <w:r>
        <w:t xml:space="preserve">Anchoring the start at the first substantial token preserves the original defensive intent — skipping a leading numeric artifact — while the consecutive window restores the phrase semantics the search depends on. This correction is partially redundant with A12.1, which removes session prefixes upstream; the anchor is retained as defence in depth against any leading-token artifact not covered by that pattern.</w:t>
      </w:r>
    </w:p>
    <w:bookmarkEnd w:id="167"/>
    <w:bookmarkStart w:id="168" w:name="X3cdd6e9a273aebae4910cb03a906fa7d2957250"/>
    <w:p>
      <w:pPr>
        <w:pStyle w:val="Heading3"/>
      </w:pPr>
      <w:r>
        <w:t xml:space="preserve">A12.5 Combined Effect and Known Limitations</w:t>
      </w:r>
    </w:p>
    <w:p>
      <w:pPr>
        <w:pStyle w:val="FirstParagraph"/>
      </w:pPr>
      <w:r>
        <w:t xml:space="preserve">All four defects biased in the same direction: each one suppressed true matches. A12.1 and A12.4 removed the strongest search strategy for affected abstracts; A12.3 discarded genuine JMIG publications; A12.2 allowed non-articles to displace real ones. The corrected pipeline should therefore report a publication rate no lower than the original, with the increase concentrated in JMIG publications and in the 2013, 2017, 2018, and 2021 congresses.</w:t>
      </w:r>
    </w:p>
    <w:p>
      <w:pPr>
        <w:pStyle w:val="BodyText"/>
      </w:pPr>
      <w:r>
        <w:t xml:space="preserve">Because these four corrections shipped together in a single re-run, their individual contributions are not separately identified in the current results. Attributing the change to any one defect would require four additional pipeline runs holding the others fixed. No such ablation has been performed.</w:t>
      </w:r>
    </w:p>
    <w:p>
      <w:pPr>
        <w:pStyle w:val="BodyText"/>
      </w:pPr>
      <w:r>
        <w:t xml:space="preserve">Two limitations remain open:</w:t>
      </w:r>
    </w:p>
    <w:p>
      <w:pPr>
        <w:pStyle w:val="BodyText"/>
      </w:pPr>
      <w:r>
        <w:rPr>
          <w:b/>
          <w:bCs/>
        </w:rPr>
        <w:t xml:space="preserve">Supplement detection still depends on a month heuristic.</w:t>
      </w:r>
      <w:r>
        <w:t xml:space="preserve"> </w:t>
      </w:r>
      <w:r>
        <w:t xml:space="preserve">Where PubMed does not populate the issue field, exclusion falls back to a November publication month. A genuine November JMIG article in a supplement volume with missing issue metadata will still be wrongly excluded. Quantifying this residual requires auditing JMIG records with absent</w:t>
      </w:r>
      <w:r>
        <w:t xml:space="preserve"> </w:t>
      </w:r>
      <w:r>
        <w:rPr>
          <w:rStyle w:val="VerbatimChar"/>
        </w:rPr>
        <w:t xml:space="preserve">Issue</w:t>
      </w:r>
      <w:r>
        <w:t xml:space="preserve"> </w:t>
      </w:r>
      <w:r>
        <w:t xml:space="preserve">values against the print record.</w:t>
      </w:r>
    </w:p>
    <w:p>
      <w:pPr>
        <w:pStyle w:val="BodyText"/>
      </w:pPr>
      <w:r>
        <w:rPr>
          <w:b/>
          <w:bCs/>
        </w:rPr>
        <w:t xml:space="preserve">Publication-type exclusion is not free of risk.</w:t>
      </w:r>
      <w:r>
        <w:t xml:space="preserve"> </w:t>
      </w:r>
      <w:r>
        <w:t xml:space="preserve">A small number of legitimate full publications are indexed by PubMed under</w:t>
      </w:r>
      <w:r>
        <w:t xml:space="preserve"> </w:t>
      </w:r>
      <w:r>
        <w:rPr>
          <w:rStyle w:val="VerbatimChar"/>
        </w:rPr>
        <w:t xml:space="preserve">"Letter"[PT]</w:t>
      </w:r>
      <w:r>
        <w:t xml:space="preserve"> </w:t>
      </w:r>
      <w:r>
        <w:t xml:space="preserve">— brief research reports in journals that classify short-format original research this way. Excluding the type wholesale trades a small number of these for a much larger reduction in false-positive commentary. The trade is believed favourable but has not been measured against the gold standard.</w:t>
      </w:r>
    </w:p>
    <w:bookmarkEnd w:id="168"/>
    <w:bookmarkStart w:id="169" w:name="Xc64e93adf22a333c4c2470895341fae5910479c"/>
    <w:p>
      <w:pPr>
        <w:pStyle w:val="Heading3"/>
      </w:pPr>
      <w:r>
        <w:t xml:space="preserve">A12.6 Cross-Source Gender Conflict Detection</w:t>
      </w:r>
    </w:p>
    <w:p>
      <w:pPr>
        <w:pStyle w:val="FirstParagraph"/>
      </w:pPr>
      <w:r>
        <w:t xml:space="preserve">The gender waterfall documented in A10.11–A10.15 resolves a single value per author from up to ten sources by priority order. Priority resolution is silent about disagreement: an author assigned by NPI and contradicted by OpenAlex produced the same output as an author for whom only one source had an opinion.</w:t>
      </w:r>
    </w:p>
    <w:p>
      <w:pPr>
        <w:pStyle w:val="BodyText"/>
      </w:pPr>
      <w:r>
        <w:t xml:space="preserve">Two columns now record the shape of the evidence rather than only its winner.</w:t>
      </w:r>
      <w:r>
        <w:t xml:space="preserve"> </w:t>
      </w:r>
      <w:r>
        <w:rPr>
          <w:rStyle w:val="VerbatimChar"/>
        </w:rPr>
        <w:t xml:space="preserve">gender_n_sources</w:t>
      </w:r>
      <w:r>
        <w:t xml:space="preserve"> </w:t>
      </w:r>
      <w:r>
        <w:t xml:space="preserve">counts contributing sources;</w:t>
      </w:r>
      <w:r>
        <w:t xml:space="preserve"> </w:t>
      </w:r>
      <w:r>
        <w:rPr>
          <w:rStyle w:val="VerbatimChar"/>
        </w:rPr>
        <w:t xml:space="preserve">gender_conflict</w:t>
      </w:r>
      <w:r>
        <w:t xml:space="preserve"> </w:t>
      </w:r>
      <w:r>
        <w:t xml:space="preserve">flags authors where those sources disagree. Both are populated for every row. A sidecar,</w:t>
      </w:r>
      <w:r>
        <w:t xml:space="preserve"> </w:t>
      </w:r>
      <w:r>
        <w:rPr>
          <w:rStyle w:val="VerbatimChar"/>
        </w:rPr>
        <w:t xml:space="preserve">data/processed/gender_conflicts.csv</w:t>
      </w:r>
      <w:r>
        <w:t xml:space="preserve">, enumerates the disagreements with the competing values, in 277 rows.</w:t>
      </w:r>
    </w:p>
    <w:p>
      <w:pPr>
        <w:pStyle w:val="BodyText"/>
      </w:pPr>
      <w:r>
        <w:t xml:space="preserve">Two further sources were added to the waterfall: OpenAlex author search (157 resolutions) and CMS Open Payments (16). Coverage of</w:t>
      </w:r>
      <w:r>
        <w:t xml:space="preserve"> </w:t>
      </w:r>
      <w:r>
        <w:rPr>
          <w:rStyle w:val="VerbatimChar"/>
        </w:rPr>
        <w:t xml:space="preserve">gender_unified</w:t>
      </w:r>
      <w:r>
        <w:t xml:space="preserve"> </w:t>
      </w:r>
      <w:r>
        <w:t xml:space="preserve">on the analytical dataset is 98.8% (1,067 rows).</w:t>
      </w:r>
    </w:p>
    <w:p>
      <w:pPr>
        <w:pStyle w:val="BodyText"/>
      </w:pPr>
      <w:r>
        <w:t xml:space="preserve">These columns exist to make sensitivity analysis possible. Any analysis stratified by author gender can now be re-run on the unconflicted subset to establish whether a reported association survives restriction to authors whose gender assignment is uncontested. That analysis is enabled by this change but has not yet been performed.</w:t>
      </w:r>
    </w:p>
    <w:p>
      <w:pPr>
        <w:pStyle w:val="BodyText"/>
      </w:pPr>
      <w:r>
        <w:rPr>
          <w:b/>
          <w:bCs/>
        </w:rPr>
        <w:t xml:space="preserve">Second-author triangulation returned no resolutions.</w:t>
      </w:r>
      <w:r>
        <w:t xml:space="preserve"> </w:t>
      </w:r>
      <w:r>
        <w:rPr>
          <w:rStyle w:val="VerbatimChar"/>
        </w:rPr>
        <w:t xml:space="preserve">10g_second_author_triangulation.R</w:t>
      </w:r>
      <w:r>
        <w:t xml:space="preserve"> </w:t>
      </w:r>
      <w:r>
        <w:t xml:space="preserve">runs and writes</w:t>
      </w:r>
      <w:r>
        <w:t xml:space="preserve"> </w:t>
      </w:r>
      <w:r>
        <w:rPr>
          <w:rStyle w:val="VerbatimChar"/>
        </w:rPr>
        <w:t xml:space="preserve">second_author_triangulation.csv</w:t>
      </w:r>
      <w:r>
        <w:t xml:space="preserve"> </w:t>
      </w:r>
      <w:r>
        <w:t xml:space="preserve">with zero rows. The script is retained because the senior-author equivalent (A10.11) does produce resolutions, but the second-author route currently contributes nothing to the waterfall and should not be counted as an active source.</w:t>
      </w:r>
    </w:p>
    <w:bookmarkEnd w:id="169"/>
    <w:bookmarkStart w:id="173" w:name="X0b416797b2e2e113c47d37135b95cd7862d1799"/>
    <w:p>
      <w:pPr>
        <w:pStyle w:val="Heading3"/>
      </w:pPr>
      <w:r>
        <w:t xml:space="preserve">A12.7 Denominator Defect in Cohort Assembly (Corrected)</w:t>
      </w:r>
    </w:p>
    <w:p>
      <w:pPr>
        <w:pStyle w:val="FirstParagraph"/>
      </w:pPr>
      <w:r>
        <w:t xml:space="preserve">A defect in cohort assembly was identified while reconciling row counts between pipeline stages, and has been corrected. It affected the reported publication rate directly.</w:t>
      </w:r>
    </w:p>
    <w:p>
      <w:pPr>
        <w:pStyle w:val="BodyText"/>
      </w:pPr>
      <w:r>
        <w:rPr>
          <w:rStyle w:val="VerbatimChar"/>
        </w:rPr>
        <w:t xml:space="preserve">abstracts_cleaned.csv</w:t>
      </w:r>
      <w:r>
        <w:t xml:space="preserve"> </w:t>
      </w:r>
      <w:r>
        <w:t xml:space="preserve">carried 1,106 abstracts;</w:t>
      </w:r>
      <w:r>
        <w:t xml:space="preserve"> </w:t>
      </w:r>
      <w:r>
        <w:rPr>
          <w:rStyle w:val="VerbatimChar"/>
        </w:rPr>
        <w:t xml:space="preserve">abstracts_with_matches.csv</w:t>
      </w:r>
      <w:r>
        <w:t xml:space="preserve">, the analytical file, carried 1,067. The 39-row difference was not attrition from data quality. The missing rows showed no elevated missingness on any column, were all</w:t>
      </w:r>
      <w:r>
        <w:t xml:space="preserve"> </w:t>
      </w:r>
      <w:r>
        <w:rPr>
          <w:rStyle w:val="VerbatimChar"/>
        </w:rPr>
        <w:t xml:space="preserve">session_type == "Oral"</w:t>
      </w:r>
      <w:r>
        <w:t xml:space="preserve">, and were distributed across all twelve congresses.</w:t>
      </w:r>
    </w:p>
    <w:p>
      <w:pPr>
        <w:pStyle w:val="BodyText"/>
      </w:pPr>
      <w:r>
        <w:t xml:space="preserve">They were exactly the abstracts whose best-scoring candidate carried the</w:t>
      </w:r>
      <w:r>
        <w:t xml:space="preserve"> </w:t>
      </w:r>
      <w:r>
        <w:rPr>
          <w:rStyle w:val="VerbatimChar"/>
        </w:rPr>
        <w:t xml:space="preserve">excluded</w:t>
      </w:r>
      <w:r>
        <w:t xml:space="preserve"> </w:t>
      </w:r>
      <w:r>
        <w:t xml:space="preserve">classification, meaning the candidate publication predates the conference.</w:t>
      </w:r>
      <w:r>
        <w:t xml:space="preserve"> </w:t>
      </w:r>
      <w:r>
        <w:rPr>
          <w:rStyle w:val="VerbatimChar"/>
        </w:rPr>
        <w:t xml:space="preserve">R/05_adjudicate.R</w:t>
      </w:r>
      <w:r>
        <w:t xml:space="preserve"> </w:t>
      </w:r>
      <w:r>
        <w:t xml:space="preserve">responded to that classification by filtering the abstract out of the cohort:</w:t>
      </w:r>
    </w:p>
    <w:p>
      <w:pPr>
        <w:pStyle w:val="SourceCode"/>
      </w:pPr>
      <w:r>
        <w:rPr>
          <w:rStyle w:val="NormalTok"/>
        </w:rPr>
        <w:t xml:space="preserve">results </w:t>
      </w:r>
      <w:r>
        <w:rPr>
          <w:rStyle w:val="OtherTok"/>
        </w:rPr>
        <w:t xml:space="preserve">&lt;-</w:t>
      </w:r>
      <w:r>
        <w:rPr>
          <w:rStyle w:val="NormalTok"/>
        </w:rPr>
        <w:t xml:space="preserve"> results </w:t>
      </w:r>
      <w:r>
        <w:rPr>
          <w:rStyle w:val="SpecialCharTok"/>
        </w:rPr>
        <w:t xml:space="preserve">|&gt;</w:t>
      </w:r>
      <w:r>
        <w:rPr>
          <w:rStyle w:val="NormalTok"/>
        </w:rPr>
        <w:t xml:space="preserve"> </w:t>
      </w:r>
      <w:r>
        <w:rPr>
          <w:rStyle w:val="FunctionTok"/>
        </w:rPr>
        <w:t xml:space="preserve">filter</w:t>
      </w:r>
      <w:r>
        <w:rPr>
          <w:rStyle w:val="NormalTok"/>
        </w:rPr>
        <w:t xml:space="preserve">(classification </w:t>
      </w:r>
      <w:r>
        <w:rPr>
          <w:rStyle w:val="SpecialCharTok"/>
        </w:rPr>
        <w:t xml:space="preserve">!=</w:t>
      </w:r>
      <w:r>
        <w:rPr>
          <w:rStyle w:val="NormalTok"/>
        </w:rPr>
        <w:t xml:space="preserve"> </w:t>
      </w:r>
      <w:r>
        <w:rPr>
          <w:rStyle w:val="StringTok"/>
        </w:rPr>
        <w:t xml:space="preserve">"excluded"</w:t>
      </w:r>
      <w:r>
        <w:rPr>
          <w:rStyle w:val="NormalTok"/>
        </w:rPr>
        <w:t xml:space="preserve">)</w:t>
      </w:r>
    </w:p>
    <w:p>
      <w:pPr>
        <w:pStyle w:val="FirstParagraph"/>
      </w:pPr>
      <w:r>
        <w:t xml:space="preserve">The classification is a statement about the candidate, not about the abstract. A pre-conference paper cannot represent the full publication of a congress abstract, so the correct response is to invalidate that candidate — not to remove the presentation from the study. The Cochrane MR000005 denominator is abstracts</w:t>
      </w:r>
      <w:r>
        <w:t xml:space="preserve"> </w:t>
      </w:r>
      <w:r>
        <w:rPr>
          <w:i/>
          <w:iCs/>
        </w:rPr>
        <w:t xml:space="preserve">presented</w:t>
      </w:r>
      <w:r>
        <w:t xml:space="preserve">, not abstracts for which a valid candidate was located.</w:t>
      </w:r>
    </w:p>
    <w:p>
      <w:pPr>
        <w:pStyle w:val="BodyText"/>
      </w:pPr>
      <w:r>
        <w:t xml:space="preserve">The filter has been removed. The abstracts are retained and, having no valid post-conference publication, counted as unpublished. No downstream change was required:</w:t>
      </w:r>
      <w:r>
        <w:t xml:space="preserve"> </w:t>
      </w:r>
      <w:r>
        <w:rPr>
          <w:rStyle w:val="VerbatimChar"/>
        </w:rPr>
        <w:t xml:space="preserve">06_analyze_results.R</w:t>
      </w:r>
      <w:r>
        <w:t xml:space="preserve">,</w:t>
      </w:r>
      <w:r>
        <w:t xml:space="preserve"> </w:t>
      </w:r>
      <w:r>
        <w:rPr>
          <w:rStyle w:val="VerbatimChar"/>
        </w:rPr>
        <w:t xml:space="preserve">07_make_tables.R</w:t>
      </w:r>
      <w:r>
        <w:t xml:space="preserve">,</w:t>
      </w:r>
      <w:r>
        <w:t xml:space="preserve"> </w:t>
      </w:r>
      <w:r>
        <w:rPr>
          <w:rStyle w:val="VerbatimChar"/>
        </w:rPr>
        <w:t xml:space="preserve">08_make_figures.R</w:t>
      </w:r>
      <w:r>
        <w:t xml:space="preserve">, and the adjudication app already map</w:t>
      </w:r>
      <w:r>
        <w:t xml:space="preserve"> </w:t>
      </w:r>
      <w:r>
        <w:rPr>
          <w:rStyle w:val="VerbatimChar"/>
        </w:rPr>
        <w:t xml:space="preserve">classification == "excluded"</w:t>
      </w:r>
      <w:r>
        <w:t xml:space="preserve"> </w:t>
      </w:r>
      <w:r>
        <w:t xml:space="preserve">to</w:t>
      </w:r>
      <w:r>
        <w:t xml:space="preserve"> </w:t>
      </w:r>
      <w:r>
        <w:rPr>
          <w:rStyle w:val="VerbatimChar"/>
        </w:rPr>
        <w:t xml:space="preserve">published = FALSE</w:t>
      </w:r>
      <w:r>
        <w:t xml:space="preserve">. Those scripts were written expecting these rows to be present; the filter was the anomaly.</w:t>
      </w:r>
    </w:p>
    <w:p>
      <w:pPr>
        <w:pStyle w:val="BodyText"/>
      </w:pPr>
      <w:r>
        <w:t xml:space="preserve">Publication fields are left populated on the retained rows. They describe the pre-conference paper that triggered the exclusion, which is the evidence for the decision.</w:t>
      </w:r>
      <w:r>
        <w:t xml:space="preserve"> </w:t>
      </w:r>
      <w:r>
        <w:rPr>
          <w:rStyle w:val="VerbatimChar"/>
        </w:rPr>
        <w:t xml:space="preserve">months_to_pub</w:t>
      </w:r>
      <w:r>
        <w:t xml:space="preserve"> </w:t>
      </w:r>
      <w:r>
        <w:t xml:space="preserve">is negative on these rows by construction, and nothing consumes it without first gating on the published flag.</w:t>
      </w:r>
    </w:p>
    <w:bookmarkStart w:id="170" w:name="effect-on-the-reported-result"/>
    <w:p>
      <w:pPr>
        <w:pStyle w:val="Heading4"/>
      </w:pPr>
      <w:r>
        <w:t xml:space="preserve">Effect on the reported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Before</w:t>
            </w:r>
          </w:p>
        </w:tc>
        <w:tc>
          <w:tcPr/>
          <w:p>
            <w:pPr>
              <w:pStyle w:val="Compact"/>
            </w:pPr>
            <w:r>
              <w:t xml:space="preserve">After</w:t>
            </w:r>
          </w:p>
        </w:tc>
      </w:tr>
      <w:tr>
        <w:tc>
          <w:tcPr/>
          <w:p>
            <w:pPr>
              <w:pStyle w:val="Compact"/>
            </w:pPr>
            <w:r>
              <w:t xml:space="preserve">Cohort</w:t>
            </w:r>
          </w:p>
        </w:tc>
        <w:tc>
          <w:tcPr/>
          <w:p>
            <w:pPr>
              <w:pStyle w:val="Compact"/>
            </w:pPr>
            <w:r>
              <w:t xml:space="preserve">1,067</w:t>
            </w:r>
          </w:p>
        </w:tc>
        <w:tc>
          <w:tcPr/>
          <w:p>
            <w:pPr>
              <w:pStyle w:val="Compact"/>
            </w:pPr>
            <w:r>
              <w:t xml:space="preserve">1,106</w:t>
            </w:r>
          </w:p>
        </w:tc>
      </w:tr>
      <w:tr>
        <w:tc>
          <w:tcPr/>
          <w:p>
            <w:pPr>
              <w:pStyle w:val="Compact"/>
            </w:pPr>
            <w:r>
              <w:t xml:space="preserve">Published</w:t>
            </w:r>
          </w:p>
        </w:tc>
        <w:tc>
          <w:tcPr/>
          <w:p>
            <w:pPr>
              <w:pStyle w:val="Compact"/>
            </w:pPr>
            <w:r>
              <w:t xml:space="preserve">174</w:t>
            </w:r>
          </w:p>
        </w:tc>
        <w:tc>
          <w:tcPr/>
          <w:p>
            <w:pPr>
              <w:pStyle w:val="Compact"/>
            </w:pPr>
            <w:r>
              <w:t xml:space="preserve">178</w:t>
            </w:r>
          </w:p>
        </w:tc>
      </w:tr>
      <w:tr>
        <w:tc>
          <w:tcPr/>
          <w:p>
            <w:pPr>
              <w:pStyle w:val="Compact"/>
            </w:pPr>
            <w:r>
              <w:t xml:space="preserve">Not published</w:t>
            </w:r>
          </w:p>
        </w:tc>
        <w:tc>
          <w:tcPr/>
          <w:p>
            <w:pPr>
              <w:pStyle w:val="Compact"/>
            </w:pPr>
            <w:r>
              <w:t xml:space="preserve">838</w:t>
            </w:r>
          </w:p>
        </w:tc>
        <w:tc>
          <w:tcPr/>
          <w:p>
            <w:pPr>
              <w:pStyle w:val="Compact"/>
            </w:pPr>
            <w:r>
              <w:t xml:space="preserve">873</w:t>
            </w:r>
          </w:p>
        </w:tc>
      </w:tr>
      <w:tr>
        <w:tc>
          <w:tcPr/>
          <w:p>
            <w:pPr>
              <w:pStyle w:val="Compact"/>
            </w:pPr>
            <w:r>
              <w:t xml:space="preserve">Pending review</w:t>
            </w:r>
          </w:p>
        </w:tc>
        <w:tc>
          <w:tcPr/>
          <w:p>
            <w:pPr>
              <w:pStyle w:val="Compact"/>
            </w:pPr>
            <w:r>
              <w:t xml:space="preserve">55</w:t>
            </w:r>
          </w:p>
        </w:tc>
        <w:tc>
          <w:tcPr/>
          <w:p>
            <w:pPr>
              <w:pStyle w:val="Compact"/>
            </w:pPr>
            <w:r>
              <w:t xml:space="preserve">55</w:t>
            </w:r>
          </w:p>
        </w:tc>
      </w:tr>
      <w:tr>
        <w:tc>
          <w:tcPr/>
          <w:p>
            <w:pPr>
              <w:pStyle w:val="Compact"/>
            </w:pPr>
            <w:r>
              <w:rPr>
                <w:b/>
                <w:bCs/>
              </w:rPr>
              <w:t xml:space="preserve">Publication rate</w:t>
            </w:r>
          </w:p>
        </w:tc>
        <w:tc>
          <w:tcPr/>
          <w:p>
            <w:pPr>
              <w:pStyle w:val="Compact"/>
            </w:pPr>
            <w:r>
              <w:rPr>
                <w:b/>
                <w:bCs/>
              </w:rPr>
              <w:t xml:space="preserve">17.2%</w:t>
            </w:r>
            <w:r>
              <w:t xml:space="preserve"> </w:t>
            </w:r>
            <w:r>
              <w:t xml:space="preserve">(95% CI 15.0–19.6)</w:t>
            </w:r>
          </w:p>
        </w:tc>
        <w:tc>
          <w:tcPr/>
          <w:p>
            <w:pPr>
              <w:pStyle w:val="Compact"/>
            </w:pPr>
            <w:r>
              <w:rPr>
                <w:b/>
                <w:bCs/>
              </w:rPr>
              <w:t xml:space="preserve">16.9%</w:t>
            </w:r>
            <w:r>
              <w:t xml:space="preserve"> </w:t>
            </w:r>
            <w:r>
              <w:t xml:space="preserve">(95% CI 14.8–19.3)</w:t>
            </w:r>
          </w:p>
        </w:tc>
      </w:tr>
    </w:tbl>
    <w:bookmarkEnd w:id="170"/>
    <w:bookmarkStart w:id="171" w:name="X4c69b4d62c520044987961c6d9671ea1aa352ed"/>
    <w:p>
      <w:pPr>
        <w:pStyle w:val="Heading4"/>
      </w:pPr>
      <w:r>
        <w:t xml:space="preserve">The defect also discarded confirmed publications</w:t>
      </w:r>
    </w:p>
    <w:p>
      <w:pPr>
        <w:pStyle w:val="FirstParagraph"/>
      </w:pPr>
      <w:r>
        <w:t xml:space="preserve">The bias was expected to run in one direction: removing non-events from the denominator inflates the rate. That was the larger effect, but it was not the only one.</w:t>
      </w:r>
    </w:p>
    <w:p>
      <w:pPr>
        <w:pStyle w:val="BodyText"/>
      </w:pPr>
      <w:r>
        <w:t xml:space="preserve">Of the 39 recovered abstracts,</w:t>
      </w:r>
      <w:r>
        <w:t xml:space="preserve"> </w:t>
      </w:r>
      <w:r>
        <w:rPr>
          <w:b/>
          <w:bCs/>
        </w:rPr>
        <w:t xml:space="preserve">35 are unpublished and 4 are published</w:t>
      </w:r>
      <w:r>
        <w:t xml:space="preserve">. The four carry an explicit human adjudication of</w:t>
      </w:r>
      <w:r>
        <w:t xml:space="preserve"> </w:t>
      </w:r>
      <w:r>
        <w:rPr>
          <w:rStyle w:val="VerbatimChar"/>
        </w:rPr>
        <w:t xml:space="preserve">manual_decision == "match"</w:t>
      </w:r>
      <w:r>
        <w:t xml:space="preserve"> </w:t>
      </w:r>
      <w:r>
        <w:t xml:space="preserve">against a specific PMID: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Abstract</w:t>
            </w:r>
          </w:p>
        </w:tc>
        <w:tc>
          <w:tcPr/>
          <w:p>
            <w:pPr>
              <w:pStyle w:val="Compact"/>
            </w:pPr>
            <w:r>
              <w:t xml:space="preserve">Congress</w:t>
            </w:r>
          </w:p>
        </w:tc>
        <w:tc>
          <w:tcPr/>
          <w:p>
            <w:pPr>
              <w:pStyle w:val="Compact"/>
            </w:pPr>
            <w:r>
              <w:t xml:space="preserve">PMID</w:t>
            </w:r>
          </w:p>
        </w:tc>
      </w:tr>
      <w:tr>
        <w:tc>
          <w:tcPr/>
          <w:p>
            <w:pPr>
              <w:pStyle w:val="Compact"/>
            </w:pPr>
            <w:r>
              <w:t xml:space="preserve">AAGL2021_002</w:t>
            </w:r>
          </w:p>
        </w:tc>
        <w:tc>
          <w:tcPr/>
          <w:p>
            <w:pPr>
              <w:pStyle w:val="Compact"/>
            </w:pPr>
            <w:r>
              <w:t xml:space="preserve">2021</w:t>
            </w:r>
          </w:p>
        </w:tc>
        <w:tc>
          <w:tcPr/>
          <w:p>
            <w:pPr>
              <w:pStyle w:val="Compact"/>
            </w:pPr>
            <w:r>
              <w:t xml:space="preserve">33992450</w:t>
            </w:r>
          </w:p>
        </w:tc>
      </w:tr>
      <w:tr>
        <w:tc>
          <w:tcPr/>
          <w:p>
            <w:pPr>
              <w:pStyle w:val="Compact"/>
            </w:pPr>
            <w:r>
              <w:t xml:space="preserve">AAGL2021_049</w:t>
            </w:r>
          </w:p>
        </w:tc>
        <w:tc>
          <w:tcPr/>
          <w:p>
            <w:pPr>
              <w:pStyle w:val="Compact"/>
            </w:pPr>
            <w:r>
              <w:t xml:space="preserve">2021</w:t>
            </w:r>
          </w:p>
        </w:tc>
        <w:tc>
          <w:tcPr/>
          <w:p>
            <w:pPr>
              <w:pStyle w:val="Compact"/>
            </w:pPr>
            <w:r>
              <w:t xml:space="preserve">34130801</w:t>
            </w:r>
          </w:p>
        </w:tc>
      </w:tr>
      <w:tr>
        <w:tc>
          <w:tcPr/>
          <w:p>
            <w:pPr>
              <w:pStyle w:val="Compact"/>
            </w:pPr>
            <w:r>
              <w:t xml:space="preserve">AAGL2023_042</w:t>
            </w:r>
          </w:p>
        </w:tc>
        <w:tc>
          <w:tcPr/>
          <w:p>
            <w:pPr>
              <w:pStyle w:val="Compact"/>
            </w:pPr>
            <w:r>
              <w:t xml:space="preserve">2023</w:t>
            </w:r>
          </w:p>
        </w:tc>
        <w:tc>
          <w:tcPr/>
          <w:p>
            <w:pPr>
              <w:pStyle w:val="Compact"/>
            </w:pPr>
            <w:r>
              <w:t xml:space="preserve">36852512</w:t>
            </w:r>
          </w:p>
        </w:tc>
      </w:tr>
      <w:tr>
        <w:tc>
          <w:tcPr/>
          <w:p>
            <w:pPr>
              <w:pStyle w:val="Compact"/>
            </w:pPr>
            <w:r>
              <w:t xml:space="preserve">AAGL2023_048</w:t>
            </w:r>
          </w:p>
        </w:tc>
        <w:tc>
          <w:tcPr/>
          <w:p>
            <w:pPr>
              <w:pStyle w:val="Compact"/>
            </w:pPr>
            <w:r>
              <w:t xml:space="preserve">2023</w:t>
            </w:r>
          </w:p>
        </w:tc>
        <w:tc>
          <w:tcPr/>
          <w:p>
            <w:pPr>
              <w:pStyle w:val="Compact"/>
            </w:pPr>
            <w:r>
              <w:t xml:space="preserve">37271737</w:t>
            </w:r>
          </w:p>
        </w:tc>
      </w:tr>
    </w:tbl>
    <w:p>
      <w:pPr>
        <w:pStyle w:val="BodyText"/>
      </w:pPr>
      <w:r>
        <w:t xml:space="preserve">For these four, a reviewer examined the candidate and recorded a match, while the algorithm had classified it pre-conference. The filter discarded the abstract before that human decision could take effect, removing confirmed publications from the numerator as well as non-events from the denominator. The two effects act in opposite directions, which is why the corrected rate moves by only 0.3 percentage points rather than the 0.6 predicted from the denominator change alone.</w:t>
      </w:r>
    </w:p>
    <w:p>
      <w:pPr>
        <w:pStyle w:val="BodyText"/>
      </w:pPr>
      <w:r>
        <w:t xml:space="preserve">These four warrant review on their own merits. A human match against a candidate the algorithm dates before the congress is most likely an online-first publication that appeared ahead of the November meeting. Whether such a paper counts as the conference-to-publication conversion is a methodological question this correction does not settle: it preserves the reviewer’s decision rather than overriding it, on the principle that human adjudication takes precedence over algorithmic classification, which is the convention already encoded in</w:t>
      </w:r>
      <w:r>
        <w:t xml:space="preserve"> </w:t>
      </w:r>
      <w:r>
        <w:rPr>
          <w:rStyle w:val="VerbatimChar"/>
        </w:rPr>
        <w:t xml:space="preserve">final_published</w:t>
      </w:r>
      <w:r>
        <w:t xml:space="preserve">.</w:t>
      </w:r>
    </w:p>
    <w:bookmarkEnd w:id="171"/>
    <w:bookmarkStart w:id="172" w:name="remaining-limitation"/>
    <w:p>
      <w:pPr>
        <w:pStyle w:val="Heading4"/>
      </w:pPr>
      <w:r>
        <w:t xml:space="preserve">Remaining limitation</w:t>
      </w:r>
    </w:p>
    <w:p>
      <w:pPr>
        <w:pStyle w:val="FirstParagraph"/>
      </w:pPr>
      <w:r>
        <w:t xml:space="preserve">Abstracts whose best candidate is pre-conference are counted as unpublished without re-scoring against their next-best candidate. If the true publication was ranked second, it is not recovered. Quantifying that would require re-running adjudication with the pre-conference candidate suppressed and the next candidate promoted. That has not been done.</w:t>
      </w:r>
    </w:p>
    <w:bookmarkEnd w:id="172"/>
    <w:bookmarkEnd w:id="173"/>
    <w:bookmarkEnd w:id="174"/>
    <w:bookmarkStart w:id="183" w:name="a13.-the-denominator-chain"/>
    <w:p>
      <w:pPr>
        <w:pStyle w:val="Heading2"/>
      </w:pPr>
      <w:r>
        <w:t xml:space="preserve">A13. The Denominator Chain</w:t>
      </w:r>
    </w:p>
    <w:p>
      <w:pPr>
        <w:pStyle w:val="FirstParagraph"/>
      </w:pPr>
      <w:r>
        <w:t xml:space="preserve">Section A12.7 corrected a defect that removed 39 abstracts from the cohort. Reconciling the numbers afterward showed that the reported publication rate still cannot be reconstructed from the figures the pipeline exports. This section documents the full chain from parsed abstracts to the denominator, identifies where each reduction occurs in code, and separates the reductions that are methodological decisions from those that are defects.</w:t>
      </w:r>
    </w:p>
    <w:bookmarkStart w:id="175" w:name="Xaec3024e5f265282d77e2a408973c1cfde8cf18"/>
    <w:p>
      <w:pPr>
        <w:pStyle w:val="Heading3"/>
      </w:pPr>
      <w:r>
        <w:t xml:space="preserve">A13.1 The chain from parsed abstracts to the denominator</w:t>
      </w:r>
    </w:p>
    <w:p>
      <w:pPr>
        <w:pStyle w:val="SourceCode"/>
      </w:pPr>
      <w:r>
        <w:rPr>
          <w:rStyle w:val="VerbatimChar"/>
        </w:rPr>
        <w:t xml:space="preserve">1,154   parsed from the congress supplements</w:t>
      </w:r>
      <w:r>
        <w:br/>
      </w:r>
      <w:r>
        <w:rPr>
          <w:rStyle w:val="VerbatimChar"/>
        </w:rPr>
        <w:t xml:space="preserve">  -48   video presentations, dropped at R/02_clean_abstracts.R:34</w:t>
      </w:r>
      <w:r>
        <w:br/>
      </w:r>
      <w:r>
        <w:rPr>
          <w:rStyle w:val="VerbatimChar"/>
        </w:rPr>
        <w:t xml:space="preserve">1,106   cleaned cohort, all oral            &lt;- the COHORT</w:t>
      </w:r>
      <w:r>
        <w:br/>
      </w:r>
      <w:r>
        <w:rPr>
          <w:rStyle w:val="VerbatimChar"/>
        </w:rPr>
        <w:t xml:space="preserve">  -55   final_published = NA</w:t>
      </w:r>
      <w:r>
        <w:br/>
      </w:r>
      <w:r>
        <w:rPr>
          <w:rStyle w:val="VerbatimChar"/>
        </w:rPr>
        <w:t xml:space="preserve">1,051   evaluated                           &lt;- the DENOMINATOR</w:t>
      </w:r>
    </w:p>
    <w:p>
      <w:pPr>
        <w:pStyle w:val="FirstParagraph"/>
      </w:pPr>
      <w:r>
        <w:t xml:space="preserve">The publication rate is 178 / 1,051 =</w:t>
      </w:r>
      <w:r>
        <w:t xml:space="preserve"> </w:t>
      </w:r>
      <w:r>
        <w:rPr>
          <w:b/>
          <w:bCs/>
        </w:rPr>
        <w:t xml:space="preserve">16.9%</w:t>
      </w:r>
      <w:r>
        <w:t xml:space="preserve">.</w:t>
      </w:r>
      <w:r>
        <w:t xml:space="preserve"> </w:t>
      </w:r>
      <w:r>
        <w:rPr>
          <w:rStyle w:val="VerbatimChar"/>
        </w:rPr>
        <w:t xml:space="preserve">R/strobe_flowchart.R</w:t>
      </w:r>
      <w:r>
        <w:t xml:space="preserve"> </w:t>
      </w:r>
      <w:r>
        <w:t xml:space="preserve">renders this chain as a STROBE participant-flow diagram, deriving every count from the pipeline files at render time rather than from literals, and asserting with</w:t>
      </w:r>
      <w:r>
        <w:t xml:space="preserve"> </w:t>
      </w:r>
      <w:r>
        <w:rPr>
          <w:rStyle w:val="VerbatimChar"/>
        </w:rPr>
        <w:t xml:space="preserve">stopifnot()</w:t>
      </w:r>
      <w:r>
        <w:t xml:space="preserve"> </w:t>
      </w:r>
      <w:r>
        <w:t xml:space="preserve">that the arithmetic closes on both branches.</w:t>
      </w:r>
    </w:p>
    <w:p>
      <w:pPr>
        <w:pStyle w:val="BodyText"/>
      </w:pPr>
      <w:r>
        <w:t xml:space="preserve">Two reductions occur, and they are different in kind. The video exclusion is a pre-specified eligibility criterion applied at parsing. The 55-abstract reduction is not a criterion at all; it is unfinished adjudication, described in A13.2.</w:t>
      </w:r>
    </w:p>
    <w:bookmarkEnd w:id="175"/>
    <w:bookmarkStart w:id="176" w:name="X996dce13b25773c968f81a4c0b82df3608e50d3"/>
    <w:p>
      <w:pPr>
        <w:pStyle w:val="Heading3"/>
      </w:pPr>
      <w:r>
        <w:t xml:space="preserve">A13.2 Where the 55 unresolved abstracts come from</w:t>
      </w:r>
    </w:p>
    <w:p>
      <w:pPr>
        <w:pStyle w:val="FirstParagraph"/>
      </w:pPr>
      <w:r>
        <w:rPr>
          <w:rStyle w:val="VerbatimChar"/>
        </w:rPr>
        <w:t xml:space="preserve">final_published</w:t>
      </w:r>
      <w:r>
        <w:t xml:space="preserve"> </w:t>
      </w:r>
      <w:r>
        <w:t xml:space="preserve">is assigned by a single</w:t>
      </w:r>
      <w:r>
        <w:t xml:space="preserve"> </w:t>
      </w:r>
      <w:r>
        <w:rPr>
          <w:rStyle w:val="VerbatimChar"/>
        </w:rPr>
        <w:t xml:space="preserve">case_when</w:t>
      </w:r>
      <w:r>
        <w:t xml:space="preserve"> </w:t>
      </w:r>
      <w:r>
        <w:t xml:space="preserve">in</w:t>
      </w:r>
      <w:r>
        <w:t xml:space="preserve"> </w:t>
      </w:r>
      <w:r>
        <w:rPr>
          <w:rStyle w:val="VerbatimChar"/>
        </w:rPr>
        <w:t xml:space="preserve">R/06_analyze_results.R:39</w:t>
      </w:r>
      <w:r>
        <w:t xml:space="preserve">:</w:t>
      </w:r>
    </w:p>
    <w:p>
      <w:pPr>
        <w:pStyle w:val="SourceCode"/>
      </w:pPr>
      <w:r>
        <w:rPr>
          <w:rStyle w:val="NormalTok"/>
        </w:rPr>
        <w:t xml:space="preserve">final_published </w:t>
      </w:r>
      <w:r>
        <w:rPr>
          <w:rStyle w:val="OtherTok"/>
        </w:rPr>
        <w:t xml:space="preserve">=</w:t>
      </w:r>
      <w:r>
        <w:rPr>
          <w:rStyle w:val="NormalTok"/>
        </w:rPr>
        <w:t xml:space="preserve"> </w:t>
      </w:r>
      <w:r>
        <w:rPr>
          <w:rStyle w:val="FunctionTok"/>
        </w:rPr>
        <w:t xml:space="preserve">case_when</w:t>
      </w:r>
      <w:r>
        <w:rPr>
          <w:rStyle w:val="NormalTok"/>
        </w:rPr>
        <w:t xml:space="preserve">(</w:t>
      </w:r>
      <w:r>
        <w:br/>
      </w:r>
      <w:r>
        <w:rPr>
          <w:rStyle w:val="NormalTok"/>
        </w:rPr>
        <w:t xml:space="preserve">  classification </w:t>
      </w:r>
      <w:r>
        <w:rPr>
          <w:rStyle w:val="SpecialCharTok"/>
        </w:rPr>
        <w:t xml:space="preserve">==</w:t>
      </w:r>
      <w:r>
        <w:rPr>
          <w:rStyle w:val="NormalTok"/>
        </w:rPr>
        <w:t xml:space="preserve"> </w:t>
      </w:r>
      <w:r>
        <w:rPr>
          <w:rStyle w:val="StringTok"/>
        </w:rPr>
        <w:t xml:space="preserve">"definite"</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"match"</w:t>
      </w:r>
      <w:r>
        <w:rPr>
          <w:rStyle w:val="NormalTok"/>
        </w:rPr>
        <w:t xml:space="preserve">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manual_decision </w:t>
      </w:r>
      <w:r>
        <w:rPr>
          <w:rStyle w:val="SpecialCharTok"/>
        </w:rPr>
        <w:t xml:space="preserve">==</w:t>
      </w:r>
      <w:r>
        <w:rPr>
          <w:rStyle w:val="NormalTok"/>
        </w:rPr>
        <w:t xml:space="preserve"> </w:t>
      </w:r>
      <w:r>
        <w:rPr>
          <w:rStyle w:val="StringTok"/>
        </w:rPr>
        <w:t xml:space="preserve">"no_match"</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classification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"no_match"</w:t>
      </w:r>
      <w:r>
        <w:rPr>
          <w:rStyle w:val="NormalTok"/>
        </w:rPr>
        <w:t xml:space="preserve">,</w:t>
      </w:r>
      <w:r>
        <w:rPr>
          <w:rStyle w:val="StringTok"/>
        </w:rPr>
        <w:t xml:space="preserve">"no_candidates"</w:t>
      </w:r>
      <w:r>
        <w:rPr>
          <w:rStyle w:val="NormalTok"/>
        </w:rPr>
        <w:t xml:space="preserve">,</w:t>
      </w:r>
      <w:r>
        <w:rPr>
          <w:rStyle w:val="StringTok"/>
        </w:rPr>
        <w:t xml:space="preserve">"excluded"</w:t>
      </w:r>
      <w:r>
        <w:rPr>
          <w:rStyle w:val="NormalTok"/>
        </w:rPr>
        <w:t xml:space="preserve">)  </w:t>
      </w:r>
      <w:r>
        <w:rPr>
          <w:rStyle w:val="SpecialCha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w:t>
      </w:r>
    </w:p>
    <w:p>
      <w:pPr>
        <w:pStyle w:val="FirstParagraph"/>
      </w:pPr>
      <w:r>
        <w:t xml:space="preserve">An abstract reaches</w:t>
      </w:r>
      <w:r>
        <w:t xml:space="preserve"> </w:t>
      </w:r>
      <w:r>
        <w:rPr>
          <w:rStyle w:val="VerbatimChar"/>
        </w:rPr>
        <w:t xml:space="preserve">NA</w:t>
      </w:r>
      <w:r>
        <w:t xml:space="preserve"> </w:t>
      </w:r>
      <w:r>
        <w:t xml:space="preserve">only by failing all four branches. That requires the algorithm to have classified it</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and the reviewer to have recorded</w:t>
      </w:r>
      <w:r>
        <w:t xml:space="preserve"> </w:t>
      </w:r>
      <w:r>
        <w:rPr>
          <w:rStyle w:val="VerbatimChar"/>
        </w:rPr>
        <w:t xml:space="preserve">skip</w:t>
      </w:r>
      <w:r>
        <w:t xml:space="preserve">. Every unresolved abstract is exactly that combination: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Algorithm classification</w:t>
            </w:r>
          </w:p>
        </w:tc>
        <w:tc>
          <w:tcPr/>
          <w:p>
            <w:pPr>
              <w:pStyle w:val="Compact"/>
              <w:jc w:val="left"/>
            </w:pPr>
            <w:r>
              <w:t xml:space="preserve">Reviewer decision</w:t>
            </w:r>
          </w:p>
        </w:tc>
        <w:tc>
          <w:tcPr/>
          <w:p>
            <w:pPr>
              <w:pStyle w:val="Compact"/>
              <w:jc w:val="right"/>
            </w:pPr>
            <w:r>
              <w:t xml:space="preserve">n</w:t>
            </w:r>
          </w:p>
        </w:tc>
      </w:tr>
      <w:tr>
        <w:tc>
          <w:tcPr/>
          <w:p>
            <w:pPr>
              <w:pStyle w:val="Compact"/>
              <w:jc w:val="left"/>
            </w:pPr>
            <w:r>
              <w:t xml:space="preserve">probable</w:t>
            </w:r>
          </w:p>
        </w:tc>
        <w:tc>
          <w:tcPr/>
          <w:p>
            <w:pPr>
              <w:pStyle w:val="Compact"/>
              <w:jc w:val="left"/>
            </w:pPr>
            <w:r>
              <w:t xml:space="preserve">skip</w:t>
            </w:r>
          </w:p>
        </w:tc>
        <w:tc>
          <w:tcPr/>
          <w:p>
            <w:pPr>
              <w:pStyle w:val="Compact"/>
              <w:jc w:val="right"/>
            </w:pPr>
            <w:r>
              <w:t xml:space="preserve">31</w:t>
            </w:r>
          </w:p>
        </w:tc>
      </w:tr>
      <w:tr>
        <w:tc>
          <w:tcPr/>
          <w:p>
            <w:pPr>
              <w:pStyle w:val="Compact"/>
              <w:jc w:val="left"/>
            </w:pPr>
            <w:r>
              <w:t xml:space="preserve">possible</w:t>
            </w:r>
          </w:p>
        </w:tc>
        <w:tc>
          <w:tcPr/>
          <w:p>
            <w:pPr>
              <w:pStyle w:val="Compact"/>
              <w:jc w:val="left"/>
            </w:pPr>
            <w:r>
              <w:t xml:space="preserve">skip</w:t>
            </w:r>
          </w:p>
        </w:tc>
        <w:tc>
          <w:tcPr/>
          <w:p>
            <w:pPr>
              <w:pStyle w:val="Compact"/>
              <w:jc w:val="right"/>
            </w:pPr>
            <w:r>
              <w:t xml:space="preserve">24</w:t>
            </w:r>
          </w:p>
        </w:tc>
      </w:tr>
    </w:tbl>
    <w:p>
      <w:pPr>
        <w:pStyle w:val="BodyText"/>
      </w:pPr>
      <w:r>
        <w:t xml:space="preserve">These are not unreviewable records. They are cases where the algorithm found a plausible but not certain candidate and the reviewer passed. They require adjudication, not a methodological ruling.</w:t>
      </w:r>
      <w:r>
        <w:t xml:space="preserve"> </w:t>
      </w:r>
      <w:r>
        <w:rPr>
          <w:rStyle w:val="VerbatimChar"/>
        </w:rPr>
        <w:t xml:space="preserve">R/06_analyze_results.R:72</w:t>
      </w:r>
      <w:r>
        <w:t xml:space="preserve"> </w:t>
      </w:r>
      <w:r>
        <w:t xml:space="preserve">then removes them with</w:t>
      </w:r>
      <w:r>
        <w:t xml:space="preserve"> </w:t>
      </w:r>
      <w:r>
        <w:rPr>
          <w:rStyle w:val="VerbatimChar"/>
        </w:rPr>
        <w:t xml:space="preserve">n_evaluated &lt;- n_total - n_pending</w:t>
      </w:r>
      <w:r>
        <w:t xml:space="preserve">, so they leave the denominator silently.</w:t>
      </w:r>
    </w:p>
    <w:bookmarkEnd w:id="176"/>
    <w:bookmarkStart w:id="177" w:name="Xe7d54d09e7fb3066dc4d00ae0c7400eb2082aef"/>
    <w:p>
      <w:pPr>
        <w:pStyle w:val="Heading3"/>
      </w:pPr>
      <w:r>
        <w:t xml:space="preserve">A13.3 Reviewer skips are not the same population as unresolved abstracts</w:t>
      </w:r>
    </w:p>
    <w:p>
      <w:pPr>
        <w:pStyle w:val="FirstParagraph"/>
      </w:pPr>
      <w:r>
        <w:t xml:space="preserve">212 abstracts carry</w:t>
      </w:r>
      <w:r>
        <w:t xml:space="preserve"> </w:t>
      </w:r>
      <w:r>
        <w:rPr>
          <w:rStyle w:val="VerbatimChar"/>
        </w:rPr>
        <w:t xml:space="preserve">manual_decision == "skip"</w:t>
      </w:r>
      <w:r>
        <w:t xml:space="preserve">, but only 55 reach</w:t>
      </w:r>
      <w:r>
        <w:t xml:space="preserve"> </w:t>
      </w:r>
      <w:r>
        <w:rPr>
          <w:rStyle w:val="VerbatimChar"/>
        </w:rPr>
        <w:t xml:space="preserve">NA</w:t>
      </w:r>
      <w:r>
        <w:t xml:space="preserve">. The cascade resolves the rest before the fall-through: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Classification under a reviewer skip</w:t>
            </w:r>
          </w:p>
        </w:tc>
        <w:tc>
          <w:tcPr/>
          <w:p>
            <w:pPr>
              <w:pStyle w:val="Compact"/>
              <w:jc w:val="right"/>
            </w:pPr>
            <w:r>
              <w:t xml:space="preserve">n</w:t>
            </w:r>
          </w:p>
        </w:tc>
        <w:tc>
          <w:tcPr/>
          <w:p>
            <w:pPr>
              <w:pStyle w:val="Compact"/>
              <w:jc w:val="left"/>
            </w:pPr>
            <w:r>
              <w:t xml:space="preserve">Resulting final_published</w:t>
            </w:r>
          </w:p>
        </w:tc>
      </w:tr>
      <w:tr>
        <w:tc>
          <w:tcPr/>
          <w:p>
            <w:pPr>
              <w:pStyle w:val="Compact"/>
              <w:jc w:val="left"/>
            </w:pPr>
            <w:r>
              <w:t xml:space="preserve">no_match</w:t>
            </w:r>
          </w:p>
        </w:tc>
        <w:tc>
          <w:tcPr/>
          <w:p>
            <w:pPr>
              <w:pStyle w:val="Compact"/>
              <w:jc w:val="right"/>
            </w:pPr>
            <w:r>
              <w:t xml:space="preserve">111</w:t>
            </w:r>
          </w:p>
        </w:tc>
        <w:tc>
          <w:tcPr/>
          <w:p>
            <w:pPr>
              <w:pStyle w:val="Compact"/>
              <w:jc w:val="left"/>
            </w:pPr>
            <w:r>
              <w:t xml:space="preserve">FALSE (branch 4)</w:t>
            </w:r>
          </w:p>
        </w:tc>
      </w:tr>
      <w:tr>
        <w:tc>
          <w:tcPr/>
          <w:p>
            <w:pPr>
              <w:pStyle w:val="Compact"/>
              <w:jc w:val="left"/>
            </w:pPr>
            <w:r>
              <w:t xml:space="preserve">definite</w:t>
            </w:r>
          </w:p>
        </w:tc>
        <w:tc>
          <w:tcPr/>
          <w:p>
            <w:pPr>
              <w:pStyle w:val="Compact"/>
              <w:jc w:val="right"/>
            </w:pPr>
            <w:r>
              <w:t xml:space="preserve">44</w:t>
            </w:r>
          </w:p>
        </w:tc>
        <w:tc>
          <w:tcPr/>
          <w:p>
            <w:pPr>
              <w:pStyle w:val="Compact"/>
              <w:jc w:val="left"/>
            </w:pPr>
            <w:r>
              <w:t xml:space="preserve">TRUE (branch 1)</w:t>
            </w:r>
          </w:p>
        </w:tc>
      </w:tr>
      <w:tr>
        <w:tc>
          <w:tcPr/>
          <w:p>
            <w:pPr>
              <w:pStyle w:val="Compact"/>
              <w:jc w:val="left"/>
            </w:pPr>
            <w:r>
              <w:t xml:space="preserve">probable</w:t>
            </w:r>
          </w:p>
        </w:tc>
        <w:tc>
          <w:tcPr/>
          <w:p>
            <w:pPr>
              <w:pStyle w:val="Compact"/>
              <w:jc w:val="right"/>
            </w:pPr>
            <w:r>
              <w:t xml:space="preserve">31</w:t>
            </w:r>
          </w:p>
        </w:tc>
        <w:tc>
          <w:tcPr/>
          <w:p>
            <w:pPr>
              <w:pStyle w:val="Compact"/>
              <w:jc w:val="left"/>
            </w:pPr>
            <w:r>
              <w:t xml:space="preserve">NA (fall-through)</w:t>
            </w:r>
          </w:p>
        </w:tc>
      </w:tr>
      <w:tr>
        <w:tc>
          <w:tcPr/>
          <w:p>
            <w:pPr>
              <w:pStyle w:val="Compact"/>
              <w:jc w:val="left"/>
            </w:pPr>
            <w:r>
              <w:t xml:space="preserve">possible</w:t>
            </w:r>
          </w:p>
        </w:tc>
        <w:tc>
          <w:tcPr/>
          <w:p>
            <w:pPr>
              <w:pStyle w:val="Compact"/>
              <w:jc w:val="right"/>
            </w:pPr>
            <w:r>
              <w:t xml:space="preserve">24</w:t>
            </w:r>
          </w:p>
        </w:tc>
        <w:tc>
          <w:tcPr/>
          <w:p>
            <w:pPr>
              <w:pStyle w:val="Compact"/>
              <w:jc w:val="left"/>
            </w:pPr>
            <w:r>
              <w:t xml:space="preserve">NA (fall-through)</w:t>
            </w:r>
          </w:p>
        </w:tc>
      </w:tr>
      <w:tr>
        <w:tc>
          <w:tcPr/>
          <w:p>
            <w:pPr>
              <w:pStyle w:val="Compact"/>
              <w:jc w:val="left"/>
            </w:pPr>
            <w:r>
              <w:t xml:space="preserve">excluded</w:t>
            </w:r>
          </w:p>
        </w:tc>
        <w:tc>
          <w:tcPr/>
          <w:p>
            <w:pPr>
              <w:pStyle w:val="Compact"/>
              <w:jc w:val="right"/>
            </w:pPr>
            <w:r>
              <w:t xml:space="preserve">2</w:t>
            </w:r>
          </w:p>
        </w:tc>
        <w:tc>
          <w:tcPr/>
          <w:p>
            <w:pPr>
              <w:pStyle w:val="Compact"/>
              <w:jc w:val="left"/>
            </w:pPr>
            <w:r>
              <w:t xml:space="preserve">FALSE (branch 4)</w:t>
            </w:r>
          </w:p>
        </w:tc>
      </w:tr>
    </w:tbl>
    <w:p>
      <w:pPr>
        <w:pStyle w:val="BodyText"/>
      </w:pPr>
      <w:r>
        <w:t xml:space="preserve">This distinction matters for any statement about where review effort stalled. The 212 skips concentrate heavily in the 2019 through 2021 congresses; the 55 unresolved abstracts are spread across nine congress years and do not show the same pattern. Describing the unresolved set as a stalled recent review batch is not supported by the data.</w:t>
      </w:r>
    </w:p>
    <w:bookmarkEnd w:id="177"/>
    <w:bookmarkStart w:id="178" w:name="X66936839bf128518e19a110eff2bddaa5f5619e"/>
    <w:p>
      <w:pPr>
        <w:pStyle w:val="Heading3"/>
      </w:pPr>
      <w:r>
        <w:t xml:space="preserve">A13.4 Reviewer skips overridden in one direction only</w:t>
      </w:r>
    </w:p>
    <w:p>
      <w:pPr>
        <w:pStyle w:val="FirstParagraph"/>
      </w:pPr>
      <w:r>
        <w:t xml:space="preserve">Branch 1 is evaluated before any reviewer decision. An abstract classified</w:t>
      </w:r>
      <w:r>
        <w:t xml:space="preserve"> </w:t>
      </w:r>
      <w:r>
        <w:rPr>
          <w:rStyle w:val="VerbatimChar"/>
        </w:rPr>
        <w:t xml:space="preserve">definite</w:t>
      </w:r>
      <w:r>
        <w:t xml:space="preserve"> </w:t>
      </w:r>
      <w:r>
        <w:t xml:space="preserve">is therefore recorded as published even when the reviewer declined to rule on it. This affects 44 abstracts.</w:t>
      </w:r>
    </w:p>
    <w:p>
      <w:pPr>
        <w:pStyle w:val="BodyText"/>
      </w:pPr>
      <w:r>
        <w:t xml:space="preserve">The asymmetry is the concern rather than the count. A skip on a</w:t>
      </w:r>
      <w:r>
        <w:t xml:space="preserve"> </w:t>
      </w:r>
      <w:r>
        <w:rPr>
          <w:rStyle w:val="VerbatimChar"/>
        </w:rPr>
        <w:t xml:space="preserve">definite</w:t>
      </w:r>
      <w:r>
        <w:t xml:space="preserve"> </w:t>
      </w:r>
      <w:r>
        <w:t xml:space="preserve">candidate is overridden toward published, while a skip on a</w:t>
      </w:r>
      <w:r>
        <w:t xml:space="preserve"> </w:t>
      </w:r>
      <w:r>
        <w:rPr>
          <w:rStyle w:val="VerbatimChar"/>
        </w:rPr>
        <w:t xml:space="preserve">probable</w:t>
      </w:r>
      <w:r>
        <w:t xml:space="preserve"> </w:t>
      </w:r>
      <w:r>
        <w:t xml:space="preserve">or</w:t>
      </w:r>
      <w:r>
        <w:t xml:space="preserve"> </w:t>
      </w:r>
      <w:r>
        <w:rPr>
          <w:rStyle w:val="VerbatimChar"/>
        </w:rPr>
        <w:t xml:space="preserve">possible</w:t>
      </w:r>
      <w:r>
        <w:t xml:space="preserve"> </w:t>
      </w:r>
      <w:r>
        <w:t xml:space="preserve">candidate is not overridden at all and instead leaves the denominator. The same reviewer action produces opposite consequences depending on a classification the reviewer was in the act of declining to endorse.</w:t>
      </w:r>
    </w:p>
    <w:p>
      <w:pPr>
        <w:pStyle w:val="BodyText"/>
      </w:pPr>
      <w:r>
        <w:t xml:space="preserve">Reordering the cascade so that reviewer decisions precede algorithmic classification would resolve this, at the cost of moving 44 abstracts from published into unresolved. That change has not been made, and either ordering is defensible provided the manuscript states which one is in force.</w:t>
      </w:r>
    </w:p>
    <w:bookmarkEnd w:id="178"/>
    <w:bookmarkStart w:id="179" w:name="Xc6f557b10d91a1a1873a0575d44b42a3a8a82bf"/>
    <w:p>
      <w:pPr>
        <w:pStyle w:val="Heading3"/>
      </w:pPr>
      <w:r>
        <w:t xml:space="preserve">A13.5 The exported rate cannot be reconstructed from the exported counts</w:t>
      </w:r>
    </w:p>
    <w:p>
      <w:pPr>
        <w:pStyle w:val="FirstParagraph"/>
      </w:pPr>
      <w:r>
        <w:rPr>
          <w:rStyle w:val="VerbatimChar"/>
        </w:rPr>
        <w:t xml:space="preserve">output/aim1_publication_rate.csv</w:t>
      </w:r>
      <w:r>
        <w:t xml:space="preserve"> </w:t>
      </w:r>
      <w:r>
        <w:t xml:space="preserve">reports</w:t>
      </w:r>
      <w:r>
        <w:t xml:space="preserve"> </w:t>
      </w:r>
      <w:r>
        <w:rPr>
          <w:rStyle w:val="VerbatimChar"/>
        </w:rPr>
        <w:t xml:space="preserve">total_abstracts</w:t>
      </w:r>
      <w:r>
        <w:t xml:space="preserve"> </w:t>
      </w:r>
      <w:r>
        <w:t xml:space="preserve">= 1,106 alongside</w:t>
      </w:r>
      <w:r>
        <w:t xml:space="preserve"> </w:t>
      </w:r>
      <w:r>
        <w:rPr>
          <w:rStyle w:val="VerbatimChar"/>
        </w:rPr>
        <w:t xml:space="preserve">publication_rate</w:t>
      </w:r>
      <w:r>
        <w:t xml:space="preserve"> </w:t>
      </w:r>
      <w:r>
        <w:t xml:space="preserve">= 16.9, but the rate is computed on 1,051. A reader dividing the published count by the stated total obtains 16.1%, not 16.9%. The 95% confidence interval is likewise computed on 1,051.</w:t>
      </w:r>
    </w:p>
    <w:p>
      <w:pPr>
        <w:pStyle w:val="BodyText"/>
      </w:pPr>
      <w:r>
        <w:t xml:space="preserve">No row of the exported table states the denominator. The file should carry</w:t>
      </w:r>
      <w:r>
        <w:t xml:space="preserve"> </w:t>
      </w:r>
      <w:r>
        <w:rPr>
          <w:rStyle w:val="VerbatimChar"/>
        </w:rPr>
        <w:t xml:space="preserve">n_evaluated</w:t>
      </w:r>
      <w:r>
        <w:t xml:space="preserve"> </w:t>
      </w:r>
      <w:r>
        <w:t xml:space="preserve">explicitly, and the manuscript should report the cohort and the denominator as separate quantities.</w:t>
      </w:r>
    </w:p>
    <w:bookmarkEnd w:id="179"/>
    <w:bookmarkStart w:id="180" w:name="Xd523eef7e6828c64d776d46d5f742a778b8dd66"/>
    <w:p>
      <w:pPr>
        <w:pStyle w:val="Heading3"/>
      </w:pPr>
      <w:r>
        <w:t xml:space="preserve">A13.6 Candidates dated before the congress require two further corrections</w:t>
      </w:r>
    </w:p>
    <w:p>
      <w:pPr>
        <w:pStyle w:val="FirstParagraph"/>
      </w:pPr>
      <w:r>
        <w:t xml:space="preserve">A12.7 restored the 39 abstracts whose best candidate predates the conference. Auditing that set against PubMed shows that 10 of the 39 are misclassified, for two distinct reasons.</w:t>
      </w:r>
    </w:p>
    <w:p>
      <w:pPr>
        <w:pStyle w:val="BodyText"/>
      </w:pPr>
      <w:r>
        <w:rPr>
          <w:b/>
          <w:bCs/>
        </w:rPr>
        <w:t xml:space="preserve">Six matched the AAGL abstract supplement itself.</w:t>
      </w:r>
      <w:r>
        <w:t xml:space="preserve"> </w:t>
      </w:r>
      <w:r>
        <w:t xml:space="preserve">All six are 2015 abstracts matched to</w:t>
      </w:r>
      <w:r>
        <w:t xml:space="preserve"> </w:t>
      </w:r>
      <w:r>
        <w:rPr>
          <w:i/>
          <w:iCs/>
        </w:rPr>
        <w:t xml:space="preserve">Journal of Minimally Invasive Gynecology</w:t>
      </w:r>
      <w:r>
        <w:t xml:space="preserve"> </w:t>
      </w:r>
      <w:r>
        <w:t xml:space="preserve">volume 22, issue 6S, at supplement pagination: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PMID</w:t>
            </w:r>
          </w:p>
        </w:tc>
        <w:tc>
          <w:tcPr/>
          <w:p>
            <w:pPr>
              <w:pStyle w:val="Compact"/>
            </w:pPr>
            <w:r>
              <w:t xml:space="preserve">Pages</w:t>
            </w:r>
          </w:p>
        </w:tc>
        <w:tc>
          <w:tcPr/>
          <w:p>
            <w:pPr>
              <w:pStyle w:val="Compact"/>
            </w:pPr>
            <w:r>
              <w:t xml:space="preserve">PMID</w:t>
            </w:r>
          </w:p>
        </w:tc>
        <w:tc>
          <w:tcPr/>
          <w:p>
            <w:pPr>
              <w:pStyle w:val="Compact"/>
            </w:pPr>
            <w:r>
              <w:t xml:space="preserve">Pages</w:t>
            </w:r>
          </w:p>
        </w:tc>
      </w:tr>
      <w:tr>
        <w:tc>
          <w:tcPr/>
          <w:p>
            <w:pPr>
              <w:pStyle w:val="Compact"/>
            </w:pPr>
            <w:r>
              <w:t xml:space="preserve">27679343</w:t>
            </w:r>
          </w:p>
        </w:tc>
        <w:tc>
          <w:tcPr/>
          <w:p>
            <w:pPr>
              <w:pStyle w:val="Compact"/>
            </w:pPr>
            <w:r>
              <w:t xml:space="preserve">S8-S9</w:t>
            </w:r>
          </w:p>
        </w:tc>
        <w:tc>
          <w:tcPr/>
          <w:p>
            <w:pPr>
              <w:pStyle w:val="Compact"/>
            </w:pPr>
            <w:r>
              <w:t xml:space="preserve">27679061</w:t>
            </w:r>
          </w:p>
        </w:tc>
        <w:tc>
          <w:tcPr/>
          <w:p>
            <w:pPr>
              <w:pStyle w:val="Compact"/>
            </w:pPr>
            <w:r>
              <w:t xml:space="preserve">S21</w:t>
            </w:r>
          </w:p>
        </w:tc>
      </w:tr>
      <w:tr>
        <w:tc>
          <w:tcPr/>
          <w:p>
            <w:pPr>
              <w:pStyle w:val="Compact"/>
            </w:pPr>
            <w:r>
              <w:t xml:space="preserve">27678765</w:t>
            </w:r>
          </w:p>
        </w:tc>
        <w:tc>
          <w:tcPr/>
          <w:p>
            <w:pPr>
              <w:pStyle w:val="Compact"/>
            </w:pPr>
            <w:r>
              <w:t xml:space="preserve">S14</w:t>
            </w:r>
          </w:p>
        </w:tc>
        <w:tc>
          <w:tcPr/>
          <w:p>
            <w:pPr>
              <w:pStyle w:val="Compact"/>
            </w:pPr>
            <w:r>
              <w:t xml:space="preserve">27679183</w:t>
            </w:r>
          </w:p>
        </w:tc>
        <w:tc>
          <w:tcPr/>
          <w:p>
            <w:pPr>
              <w:pStyle w:val="Compact"/>
            </w:pPr>
            <w:r>
              <w:t xml:space="preserve">S25</w:t>
            </w:r>
          </w:p>
        </w:tc>
      </w:tr>
      <w:tr>
        <w:tc>
          <w:tcPr/>
          <w:p>
            <w:pPr>
              <w:pStyle w:val="Compact"/>
            </w:pPr>
            <w:r>
              <w:t xml:space="preserve">27678766</w:t>
            </w:r>
          </w:p>
        </w:tc>
        <w:tc>
          <w:tcPr/>
          <w:p>
            <w:pPr>
              <w:pStyle w:val="Compact"/>
            </w:pPr>
            <w:r>
              <w:t xml:space="preserve">S14</w:t>
            </w:r>
          </w:p>
        </w:tc>
        <w:tc>
          <w:tcPr/>
          <w:p>
            <w:pPr>
              <w:pStyle w:val="Compact"/>
            </w:pPr>
            <w:r>
              <w:t xml:space="preserve">27679222</w:t>
            </w:r>
          </w:p>
        </w:tc>
        <w:tc>
          <w:tcPr/>
          <w:p>
            <w:pPr>
              <w:pStyle w:val="Compact"/>
            </w:pPr>
            <w:r>
              <w:t xml:space="preserve">S37</w:t>
            </w:r>
          </w:p>
        </w:tc>
      </w:tr>
    </w:tbl>
    <w:p>
      <w:pPr>
        <w:pStyle w:val="BodyText"/>
      </w:pPr>
      <w:r>
        <w:t xml:space="preserve">That issue is the 2015 congress supplement, which is the source document the pipeline scrapes. Each abstract was matched to its own PubMed listing and then classified pre-conference because the supplement posted online roughly one month before the meeting. A12.3 narrowed an over-broad JMIG supplement filter; these cases show the narrowed filter now admits genuine self-matches. A candidate whose journal, volume, and supplement pagination correspond to the source congress must be rejected before scoring.</w:t>
      </w:r>
    </w:p>
    <w:p>
      <w:pPr>
        <w:pStyle w:val="BodyText"/>
      </w:pPr>
      <w:r>
        <w:rPr>
          <w:b/>
          <w:bCs/>
        </w:rPr>
        <w:t xml:space="preserve">Two were published after the congress.</w:t>
      </w:r>
      <w:r>
        <w:t xml:space="preserve"> </w:t>
      </w:r>
      <w:r>
        <w:t xml:space="preserve">PMID 29318153 has an</w:t>
      </w:r>
      <w:r>
        <w:t xml:space="preserve"> </w:t>
      </w:r>
      <w:r>
        <w:rPr>
          <w:rStyle w:val="VerbatimChar"/>
        </w:rPr>
        <w:t xml:space="preserve">ArticleDate</w:t>
      </w:r>
      <w:r>
        <w:t xml:space="preserve"> </w:t>
      </w:r>
      <w:r>
        <w:t xml:space="preserve">of 2017-11-29 against a congress date of 2017-11-12, and PMID 33294577 has 2020-11-10 against 2020-11-07. Both carry a coarse</w:t>
      </w:r>
      <w:r>
        <w:t xml:space="preserve"> </w:t>
      </w:r>
      <w:r>
        <w:rPr>
          <w:rStyle w:val="VerbatimChar"/>
        </w:rPr>
        <w:t xml:space="preserve">JournalIssue/PubDate</w:t>
      </w:r>
      <w:r>
        <w:t xml:space="preserve"> </w:t>
      </w:r>
      <w:r>
        <w:t xml:space="preserve">(</w:t>
      </w:r>
      <w:r>
        <w:rPr>
          <w:rStyle w:val="VerbatimChar"/>
        </w:rPr>
        <w:t xml:space="preserve">2017</w:t>
      </w:r>
      <w:r>
        <w:t xml:space="preserve"> </w:t>
      </w:r>
      <w:r>
        <w:t xml:space="preserve">and</w:t>
      </w:r>
      <w:r>
        <w:t xml:space="preserve"> </w:t>
      </w:r>
      <w:r>
        <w:rPr>
          <w:rStyle w:val="VerbatimChar"/>
        </w:rPr>
        <w:t xml:space="preserve">2020 Nov</w:t>
      </w:r>
      <w:r>
        <w:t xml:space="preserve"> </w:t>
      </w:r>
      <w:r>
        <w:t xml:space="preserve">respectively), which the scorer resolves to January 1 and to the first of the month, placing them before the congress. Eleven of the 39 carry year-only publication dates, so the exposure is broader than these two cases. Preferring</w:t>
      </w:r>
      <w:r>
        <w:t xml:space="preserve"> </w:t>
      </w:r>
      <w:r>
        <w:rPr>
          <w:rStyle w:val="VerbatimChar"/>
        </w:rPr>
        <w:t xml:space="preserve">ArticleDate</w:t>
      </w:r>
      <w:r>
        <w:t xml:space="preserve"> </w:t>
      </w:r>
      <w:r>
        <w:t xml:space="preserve">when present would correct it. Both are conversions with unusually short intervals and belong in the numerator.</w:t>
      </w:r>
    </w:p>
    <w:p>
      <w:pPr>
        <w:pStyle w:val="BodyText"/>
      </w:pPr>
      <w:r>
        <w:rPr>
          <w:b/>
          <w:bCs/>
        </w:rPr>
        <w:t xml:space="preserve">Two are scoring false positives</w:t>
      </w:r>
      <w:r>
        <w:t xml:space="preserve"> </w:t>
      </w:r>
      <w:r>
        <w:t xml:space="preserve">unrelated to dating. A 2019 abstract on laparoscopic relocation of the ovaries was matched to a paper on patient-reported outcome measures in benign gynecologic surgery, and a 2017 abstract was matched to a record PubMed types as an educational video, a category excluded at parsing.</w:t>
      </w:r>
    </w:p>
    <w:p>
      <w:pPr>
        <w:pStyle w:val="BodyText"/>
      </w:pPr>
      <w:r>
        <w:t xml:space="preserve">Twenty-nine of the 39 are genuine pre-congress publications. Their interval between publication and congress is informative for the open question A12.7 left unsettled: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Interval before congress</w:t>
            </w:r>
          </w:p>
        </w:tc>
        <w:tc>
          <w:tcPr/>
          <w:p>
            <w:pPr>
              <w:pStyle w:val="Compact"/>
            </w:pPr>
            <w:r>
              <w:t xml:space="preserve">n</w:t>
            </w:r>
          </w:p>
        </w:tc>
      </w:tr>
      <w:tr>
        <w:tc>
          <w:tcPr/>
          <w:p>
            <w:pPr>
              <w:pStyle w:val="Compact"/>
            </w:pPr>
            <w:r>
              <w:t xml:space="preserve">0 to 6 months</w:t>
            </w:r>
          </w:p>
        </w:tc>
        <w:tc>
          <w:tcPr/>
          <w:p>
            <w:pPr>
              <w:pStyle w:val="Compact"/>
            </w:pPr>
            <w:r>
              <w:t xml:space="preserve">14</w:t>
            </w:r>
          </w:p>
        </w:tc>
      </w:tr>
      <w:tr>
        <w:tc>
          <w:tcPr/>
          <w:p>
            <w:pPr>
              <w:pStyle w:val="Compact"/>
            </w:pPr>
            <w:r>
              <w:t xml:space="preserve">6 to 12 months</w:t>
            </w:r>
          </w:p>
        </w:tc>
        <w:tc>
          <w:tcPr/>
          <w:p>
            <w:pPr>
              <w:pStyle w:val="Compact"/>
            </w:pPr>
            <w:r>
              <w:t xml:space="preserve">8</w:t>
            </w:r>
          </w:p>
        </w:tc>
      </w:tr>
      <w:tr>
        <w:tc>
          <w:tcPr/>
          <w:p>
            <w:pPr>
              <w:pStyle w:val="Compact"/>
            </w:pPr>
            <w:r>
              <w:t xml:space="preserve">12 to 24 months</w:t>
            </w:r>
          </w:p>
        </w:tc>
        <w:tc>
          <w:tcPr/>
          <w:p>
            <w:pPr>
              <w:pStyle w:val="Compact"/>
            </w:pPr>
            <w:r>
              <w:t xml:space="preserve">6</w:t>
            </w:r>
          </w:p>
        </w:tc>
      </w:tr>
      <w:tr>
        <w:tc>
          <w:tcPr/>
          <w:p>
            <w:pPr>
              <w:pStyle w:val="Compact"/>
            </w:pPr>
            <w:r>
              <w:t xml:space="preserve">More than 24 months</w:t>
            </w:r>
          </w:p>
        </w:tc>
        <w:tc>
          <w:tcPr/>
          <w:p>
            <w:pPr>
              <w:pStyle w:val="Compact"/>
            </w:pPr>
            <w:r>
              <w:t xml:space="preserve">1</w:t>
            </w:r>
          </w:p>
        </w:tc>
      </w:tr>
    </w:tbl>
    <w:p>
      <w:pPr>
        <w:pStyle w:val="BodyText"/>
      </w:pPr>
      <w:r>
        <w:t xml:space="preserve">AAGL abstract submission for a November congress closes in the spring. A paper appearing within roughly six months of the meeting was therefore plausibly still in press at submission, which is the ordinary sequence for a conference presentation rather than evidence of a pre-existing publication. Papers appearing earlier were already in print when the abstract was submitted. The four human-adjudicated matches identified in A12.7 all fall between 5.1 and 6.5 months before their congress, consistent with online-first publication ahead of the meeting.</w:t>
      </w:r>
    </w:p>
    <w:p>
      <w:pPr>
        <w:pStyle w:val="BodyText"/>
      </w:pPr>
      <w:r>
        <w:t xml:space="preserve">The exact submission deadline for each congress is not recorded in</w:t>
      </w:r>
      <w:r>
        <w:t xml:space="preserve"> </w:t>
      </w:r>
      <w:r>
        <w:rPr>
          <w:rStyle w:val="VerbatimChar"/>
        </w:rPr>
        <w:t xml:space="preserve">config.yml</w:t>
      </w:r>
      <w:r>
        <w:t xml:space="preserve"> </w:t>
      </w:r>
      <w:r>
        <w:t xml:space="preserve">and has not been verified. The six-month boundary above is an assumption, not a validated cutpoint, and the manuscript should state whichever rule is adopted explicitly.</w:t>
      </w:r>
    </w:p>
    <w:bookmarkEnd w:id="180"/>
    <w:bookmarkStart w:id="181" w:name="Xfe60afafdb930e89bfc144c42546b6e47dfb735"/>
    <w:p>
      <w:pPr>
        <w:pStyle w:val="Heading3"/>
      </w:pPr>
      <w:r>
        <w:t xml:space="preserve">A13.7 Effect of the outstanding decisions on the denominator</w:t>
      </w:r>
    </w:p>
    <w:p>
      <w:pPr>
        <w:pStyle w:val="FirstParagraph"/>
      </w:pPr>
      <w:r>
        <w:t xml:space="preserve">Two decisions remain open. Their combinations span the following: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Treatment of the 55 unresolved</w:t>
            </w:r>
          </w:p>
        </w:tc>
        <w:tc>
          <w:tcPr/>
          <w:p>
            <w:pPr>
              <w:pStyle w:val="Compact"/>
            </w:pPr>
            <w:r>
              <w:t xml:space="preserve">Pre-congress abstracts</w:t>
            </w:r>
          </w:p>
        </w:tc>
        <w:tc>
          <w:tcPr/>
          <w:p>
            <w:pPr>
              <w:pStyle w:val="Compact"/>
            </w:pPr>
            <w:r>
              <w:t xml:space="preserve">Denominator</w:t>
            </w:r>
          </w:p>
        </w:tc>
        <w:tc>
          <w:tcPr/>
          <w:p>
            <w:pPr>
              <w:pStyle w:val="Compact"/>
            </w:pPr>
            <w:r>
              <w:t xml:space="preserve">Rate</w:t>
            </w:r>
          </w:p>
        </w:tc>
      </w:tr>
      <w:tr>
        <w:tc>
          <w:tcPr/>
          <w:p>
            <w:pPr>
              <w:pStyle w:val="Compact"/>
            </w:pPr>
            <w:r>
              <w:t xml:space="preserve">Dropped (current)</w:t>
            </w:r>
          </w:p>
        </w:tc>
        <w:tc>
          <w:tcPr/>
          <w:p>
            <w:pPr>
              <w:pStyle w:val="Compact"/>
            </w:pPr>
            <w:r>
              <w:t xml:space="preserve">Retained</w:t>
            </w:r>
          </w:p>
        </w:tc>
        <w:tc>
          <w:tcPr/>
          <w:p>
            <w:pPr>
              <w:pStyle w:val="Compact"/>
            </w:pPr>
            <w:r>
              <w:t xml:space="preserve">1,051</w:t>
            </w:r>
          </w:p>
        </w:tc>
        <w:tc>
          <w:tcPr/>
          <w:p>
            <w:pPr>
              <w:pStyle w:val="Compact"/>
            </w:pPr>
            <w:r>
              <w:t xml:space="preserve">16.9%</w:t>
            </w:r>
          </w:p>
        </w:tc>
      </w:tr>
      <w:tr>
        <w:tc>
          <w:tcPr/>
          <w:p>
            <w:pPr>
              <w:pStyle w:val="Compact"/>
            </w:pPr>
            <w:r>
              <w:t xml:space="preserve">Counted as unpublished</w:t>
            </w:r>
          </w:p>
        </w:tc>
        <w:tc>
          <w:tcPr/>
          <w:p>
            <w:pPr>
              <w:pStyle w:val="Compact"/>
            </w:pPr>
            <w:r>
              <w:t xml:space="preserve">Retained</w:t>
            </w:r>
          </w:p>
        </w:tc>
        <w:tc>
          <w:tcPr/>
          <w:p>
            <w:pPr>
              <w:pStyle w:val="Compact"/>
            </w:pPr>
            <w:r>
              <w:t xml:space="preserve">1,106</w:t>
            </w:r>
          </w:p>
        </w:tc>
        <w:tc>
          <w:tcPr/>
          <w:p>
            <w:pPr>
              <w:pStyle w:val="Compact"/>
            </w:pPr>
            <w:r>
              <w:t xml:space="preserve">16.1%</w:t>
            </w:r>
          </w:p>
        </w:tc>
      </w:tr>
      <w:tr>
        <w:tc>
          <w:tcPr/>
          <w:p>
            <w:pPr>
              <w:pStyle w:val="Compact"/>
            </w:pPr>
            <w:r>
              <w:t xml:space="preserve">Dropped</w:t>
            </w:r>
          </w:p>
        </w:tc>
        <w:tc>
          <w:tcPr/>
          <w:p>
            <w:pPr>
              <w:pStyle w:val="Compact"/>
            </w:pPr>
            <w:r>
              <w:t xml:space="preserve">Removed</w:t>
            </w:r>
          </w:p>
        </w:tc>
        <w:tc>
          <w:tcPr/>
          <w:p>
            <w:pPr>
              <w:pStyle w:val="Compact"/>
            </w:pPr>
            <w:r>
              <w:t xml:space="preserve">1,012</w:t>
            </w:r>
          </w:p>
        </w:tc>
        <w:tc>
          <w:tcPr/>
          <w:p>
            <w:pPr>
              <w:pStyle w:val="Compact"/>
            </w:pPr>
            <w:r>
              <w:t xml:space="preserve">17.2%</w:t>
            </w:r>
          </w:p>
        </w:tc>
      </w:tr>
      <w:tr>
        <w:tc>
          <w:tcPr/>
          <w:p>
            <w:pPr>
              <w:pStyle w:val="Compact"/>
            </w:pPr>
            <w:r>
              <w:t xml:space="preserve">Counted as unpublished</w:t>
            </w:r>
          </w:p>
        </w:tc>
        <w:tc>
          <w:tcPr/>
          <w:p>
            <w:pPr>
              <w:pStyle w:val="Compact"/>
            </w:pPr>
            <w:r>
              <w:t xml:space="preserve">Removed</w:t>
            </w:r>
          </w:p>
        </w:tc>
        <w:tc>
          <w:tcPr/>
          <w:p>
            <w:pPr>
              <w:pStyle w:val="Compact"/>
            </w:pPr>
            <w:r>
              <w:t xml:space="preserve">1,067</w:t>
            </w:r>
          </w:p>
        </w:tc>
        <w:tc>
          <w:tcPr/>
          <w:p>
            <w:pPr>
              <w:pStyle w:val="Compact"/>
            </w:pPr>
            <w:r>
              <w:t xml:space="preserve">16.3%</w:t>
            </w:r>
          </w:p>
        </w:tc>
      </w:tr>
    </w:tbl>
    <w:p>
      <w:pPr>
        <w:pStyle w:val="BodyText"/>
      </w:pPr>
      <w:r>
        <w:t xml:space="preserve">The range is 16.1% to 17.2%. All four are defensible; none can be inferred by a reader from the currently exported numbers. Resolving the 55 by adjudication rather than by rule removes the first dimension entirely, and is the preferred course because those abstracts are reviewable.</w:t>
      </w:r>
    </w:p>
    <w:bookmarkEnd w:id="181"/>
    <w:bookmarkStart w:id="182" w:name="a13.8-limitations"/>
    <w:p>
      <w:pPr>
        <w:pStyle w:val="Heading3"/>
      </w:pPr>
      <w:r>
        <w:t xml:space="preserve">A13.8 Limitations</w:t>
      </w:r>
    </w:p>
    <w:p>
      <w:pPr>
        <w:pStyle w:val="FirstParagraph"/>
      </w:pPr>
      <w:r>
        <w:t xml:space="preserve">The counts in this section describe the pipeline state before the April 2026 matching corrections in A12 were executed against a fresh search. The PubMed candidate pool was last retrieved on 19 April 2026 and the corrections were written on 28 April 2026; all downstream stages have since been regenerated from that pre-correction pool. Every figure in this section will move when the search is re-run, and the year-over-year publication rates in particular should not be interpreted until it is.</w:t>
      </w:r>
    </w:p>
    <w:p>
      <w:pPr>
        <w:pStyle w:val="BodyText"/>
      </w:pPr>
      <w:r>
        <w:t xml:space="preserve">The audit in A13.6 verified publication dates against PubMed for the 39 pre-congress candidates only. The same date-granularity defect may affect candidates elsewhere in the cohort that were not classified</w:t>
      </w:r>
      <w:r>
        <w:t xml:space="preserve"> </w:t>
      </w:r>
      <w:r>
        <w:rPr>
          <w:rStyle w:val="VerbatimChar"/>
        </w:rPr>
        <w:t xml:space="preserve">excluded</w:t>
      </w:r>
      <w:r>
        <w:t xml:space="preserve">, and that has not been quantified.</w:t>
      </w:r>
    </w:p>
    <w:bookmarkEnd w:id="182"/>
    <w:bookmarkEnd w:id="183"/>
    <w:bookmarkStart w:id="187" w:name="Xa5402b9a21ceddc4361c12a648b457b97e3f8c7"/>
    <w:p>
      <w:pPr>
        <w:pStyle w:val="Heading2"/>
      </w:pPr>
      <w:r>
        <w:t xml:space="preserve">A14. Cohort Truncation at Ingestion (verified, not remediated here)</w:t>
      </w:r>
    </w:p>
    <w:p>
      <w:pPr>
        <w:pStyle w:val="FirstParagraph"/>
      </w:pPr>
      <w:r>
        <w:t xml:space="preserve">Sections A12 and A13 document defects in matching, adjudication and reporting.</w:t>
      </w:r>
      <w:r>
        <w:t xml:space="preserve"> </w:t>
      </w:r>
      <w:r>
        <w:t xml:space="preserve">All of them assume the cohort is what it claims to be: the oral presentations of</w:t>
      </w:r>
      <w:r>
        <w:t xml:space="preserve"> </w:t>
      </w:r>
      <w:r>
        <w:t xml:space="preserve">twelve AAGL Global Congresses. That assumption does not hold. This section</w:t>
      </w:r>
      <w:r>
        <w:t xml:space="preserve"> </w:t>
      </w:r>
      <w:r>
        <w:t xml:space="preserve">records an independent verification of the failure catalogued as F1 in</w:t>
      </w:r>
      <w:r>
        <w:t xml:space="preserve"> </w:t>
      </w:r>
      <w:r>
        <w:rPr>
          <w:rStyle w:val="VerbatimChar"/>
        </w:rPr>
        <w:t xml:space="preserve">docs/FAILURE_MODES.md</w:t>
      </w:r>
      <w:r>
        <w:t xml:space="preserve">, and states plainly what it does to the rest of this</w:t>
      </w:r>
      <w:r>
        <w:t xml:space="preserve"> </w:t>
      </w:r>
      <w:r>
        <w:t xml:space="preserve">appendix.</w:t>
      </w:r>
    </w:p>
    <w:bookmarkStart w:id="184" w:name="a14.1-what-was-verified"/>
    <w:p>
      <w:pPr>
        <w:pStyle w:val="Heading3"/>
      </w:pPr>
      <w:r>
        <w:t xml:space="preserve">A14.1 What was verified</w:t>
      </w:r>
    </w:p>
    <w:p>
      <w:pPr>
        <w:pStyle w:val="FirstParagraph"/>
      </w:pPr>
      <w:r>
        <w:rPr>
          <w:rStyle w:val="VerbatimChar"/>
        </w:rPr>
        <w:t xml:space="preserve">R/01b_parse_web.R</w:t>
      </w:r>
      <w:r>
        <w:t xml:space="preserve"> </w:t>
      </w:r>
      <w:r>
        <w:t xml:space="preserve">fetches one issue-listing page per congress from</w:t>
      </w:r>
      <w:r>
        <w:t xml:space="preserve"> </w:t>
      </w:r>
      <w:r>
        <w:t xml:space="preserve">ScienceDirect. The capture stops after roughly one page of results. Two</w:t>
      </w:r>
      <w:r>
        <w:t xml:space="preserve"> </w:t>
      </w:r>
      <w:r>
        <w:t xml:space="preserve">signatures identify this as a page-size limit rather than a real distribution:</w:t>
      </w:r>
      <w:r>
        <w:t xml:space="preserve"> </w:t>
      </w:r>
      <w:r>
        <w:t xml:space="preserve">every congress yields between 93 and 100 presentations, and the 2022 congress</w:t>
      </w:r>
      <w:r>
        <w:t xml:space="preserve"> </w:t>
      </w:r>
      <w:r>
        <w:t xml:space="preserve">yields</w:t>
      </w:r>
      <w:r>
        <w:t xml:space="preserve"> </w:t>
      </w:r>
      <w:r>
        <w:rPr>
          <w:b/>
          <w:bCs/>
        </w:rPr>
        <w:t xml:space="preserve">exactly 100</w:t>
      </w:r>
      <w:r>
        <w:t xml:space="preserve">.</w:t>
      </w:r>
    </w:p>
    <w:p>
      <w:pPr>
        <w:pStyle w:val="BodyText"/>
      </w:pPr>
      <w:r>
        <w:t xml:space="preserve">Each captured set is contiguous from page S1 and stops between S26 and S60. The</w:t>
      </w:r>
      <w:r>
        <w:t xml:space="preserve"> </w:t>
      </w:r>
      <w:r>
        <w:t xml:space="preserve">supplements themselves are far longer. Counts below come from the Crossref REST</w:t>
      </w:r>
      <w:r>
        <w:t xml:space="preserve"> </w:t>
      </w:r>
      <w:r>
        <w:t xml:space="preserve">API for the</w:t>
      </w:r>
      <w:r>
        <w:t xml:space="preserve"> </w:t>
      </w:r>
      <w:r>
        <w:rPr>
          <w:i/>
          <w:iCs/>
        </w:rPr>
        <w:t xml:space="preserve">Journal of Minimally Invasive Gynecology</w:t>
      </w:r>
      <w:r>
        <w:t xml:space="preserve"> </w:t>
      </w:r>
      <w:r>
        <w:t xml:space="preserve">(ISSN 1553-4650),</w:t>
      </w:r>
      <w:r>
        <w:t xml:space="preserve"> </w:t>
      </w:r>
      <w:r>
        <w:t xml:space="preserve">restricted to each congress’s November issue and to records carrying</w:t>
      </w:r>
      <w:r>
        <w:t xml:space="preserve"> </w:t>
      </w:r>
      <w:r>
        <w:rPr>
          <w:rStyle w:val="VerbatimChar"/>
        </w:rPr>
        <w:t xml:space="preserve">S</w:t>
      </w:r>
      <w:r>
        <w:t xml:space="preserve">-prefixed pagination, retrieved 3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Congress</w:t>
            </w:r>
          </w:p>
        </w:tc>
        <w:tc>
          <w:tcPr/>
          <w:p>
            <w:pPr>
              <w:pStyle w:val="Compact"/>
            </w:pPr>
            <w:r>
              <w:t xml:space="preserve">Captured</w:t>
            </w:r>
          </w:p>
        </w:tc>
        <w:tc>
          <w:tcPr/>
          <w:p>
            <w:pPr>
              <w:pStyle w:val="Compact"/>
            </w:pPr>
            <w:r>
              <w:t xml:space="preserve">Last captured page</w:t>
            </w:r>
          </w:p>
        </w:tc>
        <w:tc>
          <w:tcPr/>
          <w:p>
            <w:pPr>
              <w:pStyle w:val="Compact"/>
            </w:pPr>
            <w:r>
              <w:t xml:space="preserve">Supplement items</w:t>
            </w:r>
          </w:p>
        </w:tc>
        <w:tc>
          <w:tcPr/>
          <w:p>
            <w:pPr>
              <w:pStyle w:val="Compact"/>
            </w:pPr>
            <w:r>
              <w:t xml:space="preserve">Supplement extent</w:t>
            </w:r>
          </w:p>
        </w:tc>
      </w:tr>
      <w:tr>
        <w:tc>
          <w:tcPr/>
          <w:p>
            <w:pPr>
              <w:pStyle w:val="Compact"/>
            </w:pPr>
            <w:r>
              <w:t xml:space="preserve">2012</w:t>
            </w:r>
          </w:p>
        </w:tc>
        <w:tc>
          <w:tcPr/>
          <w:p>
            <w:pPr>
              <w:pStyle w:val="Compact"/>
            </w:pPr>
            <w:r>
              <w:t xml:space="preserve">95</w:t>
            </w:r>
          </w:p>
        </w:tc>
        <w:tc>
          <w:tcPr/>
          <w:p>
            <w:pPr>
              <w:pStyle w:val="Compact"/>
            </w:pPr>
            <w:r>
              <w:t xml:space="preserve">S33-S34</w:t>
            </w:r>
          </w:p>
        </w:tc>
        <w:tc>
          <w:tcPr/>
          <w:p>
            <w:pPr>
              <w:pStyle w:val="Compact"/>
            </w:pPr>
            <w:r>
              <w:t xml:space="preserve">663</w:t>
            </w:r>
          </w:p>
        </w:tc>
        <w:tc>
          <w:tcPr/>
          <w:p>
            <w:pPr>
              <w:pStyle w:val="Compact"/>
            </w:pPr>
            <w:r>
              <w:t xml:space="preserve">S1-S191</w:t>
            </w:r>
          </w:p>
        </w:tc>
      </w:tr>
      <w:tr>
        <w:tc>
          <w:tcPr/>
          <w:p>
            <w:pPr>
              <w:pStyle w:val="Compact"/>
            </w:pPr>
            <w:r>
              <w:t xml:space="preserve">2013</w:t>
            </w:r>
          </w:p>
        </w:tc>
        <w:tc>
          <w:tcPr/>
          <w:p>
            <w:pPr>
              <w:pStyle w:val="Compact"/>
            </w:pPr>
            <w:r>
              <w:t xml:space="preserve">96</w:t>
            </w:r>
          </w:p>
        </w:tc>
        <w:tc>
          <w:tcPr/>
          <w:p>
            <w:pPr>
              <w:pStyle w:val="Compact"/>
            </w:pPr>
            <w:r>
              <w:t xml:space="preserve">S31</w:t>
            </w:r>
          </w:p>
        </w:tc>
        <w:tc>
          <w:tcPr/>
          <w:p>
            <w:pPr>
              <w:pStyle w:val="Compact"/>
            </w:pPr>
            <w:r>
              <w:t xml:space="preserve">698</w:t>
            </w:r>
          </w:p>
        </w:tc>
        <w:tc>
          <w:tcPr/>
          <w:p>
            <w:pPr>
              <w:pStyle w:val="Compact"/>
            </w:pPr>
            <w:r>
              <w:t xml:space="preserve">S1-S195</w:t>
            </w:r>
          </w:p>
        </w:tc>
      </w:tr>
      <w:tr>
        <w:tc>
          <w:tcPr/>
          <w:p>
            <w:pPr>
              <w:pStyle w:val="Compact"/>
            </w:pPr>
            <w:r>
              <w:t xml:space="preserve">2014</w:t>
            </w:r>
          </w:p>
        </w:tc>
        <w:tc>
          <w:tcPr/>
          <w:p>
            <w:pPr>
              <w:pStyle w:val="Compact"/>
            </w:pPr>
            <w:r>
              <w:t xml:space="preserve">93</w:t>
            </w:r>
          </w:p>
        </w:tc>
        <w:tc>
          <w:tcPr/>
          <w:p>
            <w:pPr>
              <w:pStyle w:val="Compact"/>
            </w:pPr>
            <w:r>
              <w:t xml:space="preserve">S26</w:t>
            </w:r>
          </w:p>
        </w:tc>
        <w:tc>
          <w:tcPr/>
          <w:p>
            <w:pPr>
              <w:pStyle w:val="Compact"/>
            </w:pPr>
            <w:r>
              <w:t xml:space="preserve">762</w:t>
            </w:r>
          </w:p>
        </w:tc>
        <w:tc>
          <w:tcPr/>
          <w:p>
            <w:pPr>
              <w:pStyle w:val="Compact"/>
            </w:pPr>
            <w:r>
              <w:t xml:space="preserve">S1-S237</w:t>
            </w:r>
          </w:p>
        </w:tc>
      </w:tr>
      <w:tr>
        <w:tc>
          <w:tcPr/>
          <w:p>
            <w:pPr>
              <w:pStyle w:val="Compact"/>
            </w:pPr>
            <w:r>
              <w:t xml:space="preserve">2015</w:t>
            </w:r>
          </w:p>
        </w:tc>
        <w:tc>
          <w:tcPr/>
          <w:p>
            <w:pPr>
              <w:pStyle w:val="Compact"/>
            </w:pPr>
            <w:r>
              <w:t xml:space="preserve">95</w:t>
            </w:r>
          </w:p>
        </w:tc>
        <w:tc>
          <w:tcPr/>
          <w:p>
            <w:pPr>
              <w:pStyle w:val="Compact"/>
            </w:pPr>
            <w:r>
              <w:t xml:space="preserve">S38</w:t>
            </w:r>
          </w:p>
        </w:tc>
        <w:tc>
          <w:tcPr/>
          <w:p>
            <w:pPr>
              <w:pStyle w:val="Compact"/>
            </w:pPr>
            <w:r>
              <w:t xml:space="preserve">852</w:t>
            </w:r>
          </w:p>
        </w:tc>
        <w:tc>
          <w:tcPr/>
          <w:p>
            <w:pPr>
              <w:pStyle w:val="Compact"/>
            </w:pPr>
            <w:r>
              <w:t xml:space="preserve">S1-S262</w:t>
            </w:r>
          </w:p>
        </w:tc>
      </w:tr>
      <w:tr>
        <w:tc>
          <w:tcPr/>
          <w:p>
            <w:pPr>
              <w:pStyle w:val="Compact"/>
            </w:pPr>
            <w:r>
              <w:t xml:space="preserve">2016</w:t>
            </w:r>
          </w:p>
        </w:tc>
        <w:tc>
          <w:tcPr/>
          <w:p>
            <w:pPr>
              <w:pStyle w:val="Compact"/>
            </w:pPr>
            <w:r>
              <w:t xml:space="preserve">96</w:t>
            </w:r>
          </w:p>
        </w:tc>
        <w:tc>
          <w:tcPr/>
          <w:p>
            <w:pPr>
              <w:pStyle w:val="Compact"/>
            </w:pPr>
            <w:r>
              <w:t xml:space="preserve">S40</w:t>
            </w:r>
          </w:p>
        </w:tc>
        <w:tc>
          <w:tcPr/>
          <w:p>
            <w:pPr>
              <w:pStyle w:val="Compact"/>
            </w:pPr>
            <w:r>
              <w:t xml:space="preserve">793</w:t>
            </w:r>
          </w:p>
        </w:tc>
        <w:tc>
          <w:tcPr/>
          <w:p>
            <w:pPr>
              <w:pStyle w:val="Compact"/>
            </w:pPr>
            <w:r>
              <w:t xml:space="preserve">S1-S261</w:t>
            </w:r>
          </w:p>
        </w:tc>
      </w:tr>
      <w:tr>
        <w:tc>
          <w:tcPr/>
          <w:p>
            <w:pPr>
              <w:pStyle w:val="Compact"/>
            </w:pPr>
            <w:r>
              <w:t xml:space="preserve">2017</w:t>
            </w:r>
          </w:p>
        </w:tc>
        <w:tc>
          <w:tcPr/>
          <w:p>
            <w:pPr>
              <w:pStyle w:val="Compact"/>
            </w:pPr>
            <w:r>
              <w:t xml:space="preserve">97</w:t>
            </w:r>
          </w:p>
        </w:tc>
        <w:tc>
          <w:tcPr/>
          <w:p>
            <w:pPr>
              <w:pStyle w:val="Compact"/>
            </w:pPr>
            <w:r>
              <w:t xml:space="preserve">S59-S60</w:t>
            </w:r>
          </w:p>
        </w:tc>
        <w:tc>
          <w:tcPr/>
          <w:p>
            <w:pPr>
              <w:pStyle w:val="Compact"/>
            </w:pPr>
            <w:r>
              <w:t xml:space="preserve">614</w:t>
            </w:r>
          </w:p>
        </w:tc>
        <w:tc>
          <w:tcPr/>
          <w:p>
            <w:pPr>
              <w:pStyle w:val="Compact"/>
            </w:pPr>
            <w:r>
              <w:t xml:space="preserve">S1-S208</w:t>
            </w:r>
          </w:p>
        </w:tc>
      </w:tr>
      <w:tr>
        <w:tc>
          <w:tcPr/>
          <w:p>
            <w:pPr>
              <w:pStyle w:val="Compact"/>
            </w:pPr>
            <w:r>
              <w:t xml:space="preserve">2018</w:t>
            </w:r>
          </w:p>
        </w:tc>
        <w:tc>
          <w:tcPr/>
          <w:p>
            <w:pPr>
              <w:pStyle w:val="Compact"/>
            </w:pPr>
            <w:r>
              <w:t xml:space="preserve">95</w:t>
            </w:r>
          </w:p>
        </w:tc>
        <w:tc>
          <w:tcPr/>
          <w:p>
            <w:pPr>
              <w:pStyle w:val="Compact"/>
            </w:pPr>
            <w:r>
              <w:t xml:space="preserve">S60</w:t>
            </w:r>
          </w:p>
        </w:tc>
        <w:tc>
          <w:tcPr/>
          <w:p>
            <w:pPr>
              <w:pStyle w:val="Compact"/>
            </w:pPr>
            <w:r>
              <w:t xml:space="preserve">745</w:t>
            </w:r>
          </w:p>
        </w:tc>
        <w:tc>
          <w:tcPr/>
          <w:p>
            <w:pPr>
              <w:pStyle w:val="Compact"/>
            </w:pPr>
            <w:r>
              <w:t xml:space="preserve">S1-S286</w:t>
            </w:r>
          </w:p>
        </w:tc>
      </w:tr>
      <w:tr>
        <w:tc>
          <w:tcPr/>
          <w:p>
            <w:pPr>
              <w:pStyle w:val="Compact"/>
            </w:pPr>
            <w:r>
              <w:t xml:space="preserve">2019</w:t>
            </w:r>
          </w:p>
        </w:tc>
        <w:tc>
          <w:tcPr/>
          <w:p>
            <w:pPr>
              <w:pStyle w:val="Compact"/>
            </w:pPr>
            <w:r>
              <w:t xml:space="preserve">96</w:t>
            </w:r>
          </w:p>
        </w:tc>
        <w:tc>
          <w:tcPr/>
          <w:p>
            <w:pPr>
              <w:pStyle w:val="Compact"/>
            </w:pPr>
            <w:r>
              <w:t xml:space="preserve">S30</w:t>
            </w:r>
          </w:p>
        </w:tc>
        <w:tc>
          <w:tcPr/>
          <w:p>
            <w:pPr>
              <w:pStyle w:val="Compact"/>
            </w:pPr>
            <w:r>
              <w:t xml:space="preserve">744</w:t>
            </w:r>
          </w:p>
        </w:tc>
        <w:tc>
          <w:tcPr/>
          <w:p>
            <w:pPr>
              <w:pStyle w:val="Compact"/>
            </w:pPr>
            <w:r>
              <w:t xml:space="preserve">S1-S239</w:t>
            </w:r>
          </w:p>
        </w:tc>
      </w:tr>
      <w:tr>
        <w:tc>
          <w:tcPr/>
          <w:p>
            <w:pPr>
              <w:pStyle w:val="Compact"/>
            </w:pPr>
            <w:r>
              <w:t xml:space="preserve">2020</w:t>
            </w:r>
          </w:p>
        </w:tc>
        <w:tc>
          <w:tcPr/>
          <w:p>
            <w:pPr>
              <w:pStyle w:val="Compact"/>
            </w:pPr>
            <w:r>
              <w:t xml:space="preserve">95</w:t>
            </w:r>
          </w:p>
        </w:tc>
        <w:tc>
          <w:tcPr/>
          <w:p>
            <w:pPr>
              <w:pStyle w:val="Compact"/>
            </w:pPr>
            <w:r>
              <w:t xml:space="preserve">S33</w:t>
            </w:r>
          </w:p>
        </w:tc>
        <w:tc>
          <w:tcPr/>
          <w:p>
            <w:pPr>
              <w:pStyle w:val="Compact"/>
            </w:pPr>
            <w:r>
              <w:t xml:space="preserve">453</w:t>
            </w:r>
          </w:p>
        </w:tc>
        <w:tc>
          <w:tcPr/>
          <w:p>
            <w:pPr>
              <w:pStyle w:val="Compact"/>
            </w:pPr>
            <w:r>
              <w:t xml:space="preserve">S1-S152</w:t>
            </w:r>
          </w:p>
        </w:tc>
      </w:tr>
      <w:tr>
        <w:tc>
          <w:tcPr/>
          <w:p>
            <w:pPr>
              <w:pStyle w:val="Compact"/>
            </w:pPr>
            <w:r>
              <w:t xml:space="preserve">2021</w:t>
            </w:r>
          </w:p>
        </w:tc>
        <w:tc>
          <w:tcPr/>
          <w:p>
            <w:pPr>
              <w:pStyle w:val="Compact"/>
            </w:pPr>
            <w:r>
              <w:t xml:space="preserve">98</w:t>
            </w:r>
          </w:p>
        </w:tc>
        <w:tc>
          <w:tcPr/>
          <w:p>
            <w:pPr>
              <w:pStyle w:val="Compact"/>
            </w:pPr>
            <w:r>
              <w:t xml:space="preserve">S34</w:t>
            </w:r>
          </w:p>
        </w:tc>
        <w:tc>
          <w:tcPr/>
          <w:p>
            <w:pPr>
              <w:pStyle w:val="Compact"/>
            </w:pPr>
            <w:r>
              <w:t xml:space="preserve">498</w:t>
            </w:r>
          </w:p>
        </w:tc>
        <w:tc>
          <w:tcPr/>
          <w:p>
            <w:pPr>
              <w:pStyle w:val="Compact"/>
            </w:pPr>
            <w:r>
              <w:t xml:space="preserve">S1-S169</w:t>
            </w:r>
          </w:p>
        </w:tc>
      </w:tr>
      <w:tr>
        <w:tc>
          <w:tcPr/>
          <w:p>
            <w:pPr>
              <w:pStyle w:val="Compact"/>
            </w:pPr>
            <w:r>
              <w:t xml:space="preserve">2022</w:t>
            </w:r>
          </w:p>
        </w:tc>
        <w:tc>
          <w:tcPr/>
          <w:p>
            <w:pPr>
              <w:pStyle w:val="Compact"/>
            </w:pPr>
            <w:r>
              <w:t xml:space="preserve">100</w:t>
            </w:r>
          </w:p>
        </w:tc>
        <w:tc>
          <w:tcPr/>
          <w:p>
            <w:pPr>
              <w:pStyle w:val="Compact"/>
            </w:pPr>
            <w:r>
              <w:t xml:space="preserve">S40</w:t>
            </w:r>
          </w:p>
        </w:tc>
        <w:tc>
          <w:tcPr/>
          <w:p>
            <w:pPr>
              <w:pStyle w:val="Compact"/>
            </w:pPr>
            <w:r>
              <w:t xml:space="preserve">497</w:t>
            </w:r>
          </w:p>
        </w:tc>
        <w:tc>
          <w:tcPr/>
          <w:p>
            <w:pPr>
              <w:pStyle w:val="Compact"/>
            </w:pPr>
            <w:r>
              <w:t xml:space="preserve">S1-S167</w:t>
            </w:r>
          </w:p>
        </w:tc>
      </w:tr>
      <w:tr>
        <w:tc>
          <w:tcPr/>
          <w:p>
            <w:pPr>
              <w:pStyle w:val="Compact"/>
            </w:pPr>
            <w:r>
              <w:t xml:space="preserve">2023</w:t>
            </w:r>
          </w:p>
        </w:tc>
        <w:tc>
          <w:tcPr/>
          <w:p>
            <w:pPr>
              <w:pStyle w:val="Compact"/>
            </w:pPr>
            <w:r>
              <w:t xml:space="preserve">98</w:t>
            </w:r>
          </w:p>
        </w:tc>
        <w:tc>
          <w:tcPr/>
          <w:p>
            <w:pPr>
              <w:pStyle w:val="Compact"/>
            </w:pPr>
            <w:r>
              <w:t xml:space="preserve">S38</w:t>
            </w:r>
          </w:p>
        </w:tc>
        <w:tc>
          <w:tcPr/>
          <w:p>
            <w:pPr>
              <w:pStyle w:val="Compact"/>
            </w:pPr>
            <w:r>
              <w:t xml:space="preserve">392</w:t>
            </w:r>
          </w:p>
        </w:tc>
        <w:tc>
          <w:tcPr/>
          <w:p>
            <w:pPr>
              <w:pStyle w:val="Compact"/>
            </w:pPr>
            <w:r>
              <w:t xml:space="preserve">S1-S141</w:t>
            </w:r>
          </w:p>
        </w:tc>
      </w:tr>
    </w:tbl>
    <w:bookmarkEnd w:id="184"/>
    <w:bookmarkStart w:id="185" w:name="Xbb0267dc4073d6b452b4fbd468e89b232540a33"/>
    <w:p>
      <w:pPr>
        <w:pStyle w:val="Heading3"/>
      </w:pPr>
      <w:r>
        <w:t xml:space="preserve">A14.2 The cutoff is mid-block, not at a section boundary</w:t>
      </w:r>
    </w:p>
    <w:p>
      <w:pPr>
        <w:pStyle w:val="FirstParagraph"/>
      </w:pPr>
      <w:r>
        <w:t xml:space="preserve">If the capture happened to stop where the oral block ends, the cohort would</w:t>
      </w:r>
      <w:r>
        <w:t xml:space="preserve"> </w:t>
      </w:r>
      <w:r>
        <w:t xml:space="preserve">still be a valid census of oral presentations. It does not. The 2012 capture</w:t>
      </w:r>
      <w:r>
        <w:t xml:space="preserve"> </w:t>
      </w:r>
      <w:r>
        <w:t xml:space="preserve">ends at S33-S34; the records immediately following are ordinary scientific</w:t>
      </w:r>
      <w:r>
        <w:t xml:space="preserve"> </w:t>
      </w:r>
      <w:r>
        <w:t xml:space="preserve">abstracts of the same kind already in the cohort:</w:t>
      </w:r>
    </w:p>
    <w:p>
      <w:pPr>
        <w:pStyle w:val="BlockText"/>
      </w:pPr>
      <w:r>
        <w:t xml:space="preserve">S33 Endoscopic Midurethral Circumferential Injection of Calcium Hydroxylapatite</w:t>
      </w:r>
      <w:r>
        <w:t xml:space="preserve"> </w:t>
      </w:r>
      <w:r>
        <w:t xml:space="preserve">for Urethral Bulking; S34 Sling Failures: Does the Adjustable Suburethral Sling</w:t>
      </w:r>
      <w:r>
        <w:t xml:space="preserve"> </w:t>
      </w:r>
      <w:r>
        <w:t xml:space="preserve">(Remeex) Bring Hope; S35 Interest of the 3D Ultrasound Evaluation of Suburethral</w:t>
      </w:r>
      <w:r>
        <w:t xml:space="preserve"> </w:t>
      </w:r>
      <w:r>
        <w:t xml:space="preserve">Tape after TVT-O Procedure; S37 The Outcomes of Elderly Patients in the Treatment</w:t>
      </w:r>
      <w:r>
        <w:t xml:space="preserve"> </w:t>
      </w:r>
      <w:r>
        <w:t xml:space="preserve">of Gynecological Malignancy with Robotics.</w:t>
      </w:r>
    </w:p>
    <w:p>
      <w:pPr>
        <w:pStyle w:val="FirstParagraph"/>
      </w:pPr>
      <w:r>
        <w:t xml:space="preserve">Ingestion stopped part-way through the material, not at the end of a category.</w:t>
      </w:r>
    </w:p>
    <w:bookmarkEnd w:id="185"/>
    <w:bookmarkStart w:id="186" w:name="a14.3-consequence-for-this-appendix"/>
    <w:p>
      <w:pPr>
        <w:pStyle w:val="Heading3"/>
      </w:pPr>
      <w:r>
        <w:t xml:space="preserve">A14.3 Consequence for this appendix</w:t>
      </w:r>
    </w:p>
    <w:p>
      <w:pPr>
        <w:pStyle w:val="FirstParagraph"/>
      </w:pPr>
      <w:r>
        <w:t xml:space="preserve">Each supplement mixes oral presentations, posters and videos, so the item counts</w:t>
      </w:r>
      <w:r>
        <w:t xml:space="preserve"> </w:t>
      </w:r>
      <w:r>
        <w:t xml:space="preserve">above are not counts of missing</w:t>
      </w:r>
      <w:r>
        <w:t xml:space="preserve"> </w:t>
      </w:r>
      <w:r>
        <w:rPr>
          <w:i/>
          <w:iCs/>
        </w:rPr>
        <w:t xml:space="preserve">orals</w:t>
      </w:r>
      <w:r>
        <w:t xml:space="preserve">. Establishing the true oral denominator</w:t>
      </w:r>
      <w:r>
        <w:t xml:space="preserve"> </w:t>
      </w:r>
      <w:r>
        <w:t xml:space="preserve">per congress requires the section headers that</w:t>
      </w:r>
      <w:r>
        <w:t xml:space="preserve"> </w:t>
      </w:r>
      <w:r>
        <w:rPr>
          <w:rStyle w:val="VerbatimChar"/>
        </w:rPr>
        <w:t xml:space="preserve">R/01b_parse_web.R</w:t>
      </w:r>
      <w:r>
        <w:t xml:space="preserve"> </w:t>
      </w:r>
      <w:r>
        <w:t xml:space="preserve">reads, which</w:t>
      </w:r>
      <w:r>
        <w:t xml:space="preserve"> </w:t>
      </w:r>
      <w:r>
        <w:t xml:space="preserve">is the same code path that truncates. The size of the shortfall is therefore not</w:t>
      </w:r>
      <w:r>
        <w:t xml:space="preserve"> </w:t>
      </w:r>
      <w:r>
        <w:t xml:space="preserve">established here; only its existence is.</w:t>
      </w:r>
    </w:p>
    <w:p>
      <w:pPr>
        <w:pStyle w:val="BodyText"/>
      </w:pPr>
      <w:r>
        <w:t xml:space="preserve">What is established is that the captured cohort is a</w:t>
      </w:r>
      <w:r>
        <w:t xml:space="preserve"> </w:t>
      </w:r>
      <w:r>
        <w:rPr>
          <w:b/>
          <w:bCs/>
        </w:rPr>
        <w:t xml:space="preserve">contiguous prefix</w:t>
      </w:r>
      <w:r>
        <w:t xml:space="preserve"> </w:t>
      </w:r>
      <w:r>
        <w:t xml:space="preserve">of</w:t>
      </w:r>
      <w:r>
        <w:t xml:space="preserve"> </w:t>
      </w:r>
      <w:r>
        <w:t xml:space="preserve">each supplement rather than a sample of it. It is systematically the</w:t>
      </w:r>
      <w:r>
        <w:t xml:space="preserve"> </w:t>
      </w:r>
      <w:r>
        <w:t xml:space="preserve">earliest-paginated material, which corresponds to particular sessions and topic</w:t>
      </w:r>
      <w:r>
        <w:t xml:space="preserve"> </w:t>
      </w:r>
      <w:r>
        <w:t xml:space="preserve">blocks rather than to a random draw.</w:t>
      </w:r>
    </w:p>
    <w:p>
      <w:pPr>
        <w:pStyle w:val="BodyText"/>
      </w:pPr>
      <w:r>
        <w:t xml:space="preserve">Every quantity reported in this appendix and in the manuscript is arithmetically</w:t>
      </w:r>
      <w:r>
        <w:t xml:space="preserve"> </w:t>
      </w:r>
      <w:r>
        <w:t xml:space="preserve">correct</w:t>
      </w:r>
      <w:r>
        <w:t xml:space="preserve"> </w:t>
      </w:r>
      <w:r>
        <w:rPr>
          <w:b/>
          <w:bCs/>
        </w:rPr>
        <w:t xml:space="preserve">for the 1,106 abstracts that were captured</w:t>
      </w:r>
      <w:r>
        <w:t xml:space="preserve">. None of them describes</w:t>
      </w:r>
      <w:r>
        <w:t xml:space="preserve"> </w:t>
      </w:r>
      <w:r>
        <w:t xml:space="preserve">“all oral presentations at the AAGL Global Congress, 2012-2023”</w:t>
      </w:r>
      <w:r>
        <w:t xml:space="preserve">. The corrections</w:t>
      </w:r>
      <w:r>
        <w:t xml:space="preserve"> </w:t>
      </w:r>
      <w:r>
        <w:t xml:space="preserve">in A12 and A13, the denominator chain in A13.1, and the open decisions recorded</w:t>
      </w:r>
      <w:r>
        <w:t xml:space="preserve"> </w:t>
      </w:r>
      <w:r>
        <w:t xml:space="preserve">in A13.6 and A13.7 all sit downstream of a cohort that has not yet been</w:t>
      </w:r>
      <w:r>
        <w:t xml:space="preserve"> </w:t>
      </w:r>
      <w:r>
        <w:t xml:space="preserve">correctly assembled.</w:t>
      </w:r>
    </w:p>
    <w:p>
      <w:pPr>
        <w:pStyle w:val="BodyText"/>
      </w:pPr>
      <w:r>
        <w:t xml:space="preserve">Remediation is tracked in</w:t>
      </w:r>
      <w:r>
        <w:t xml:space="preserve"> </w:t>
      </w:r>
      <w:r>
        <w:rPr>
          <w:rStyle w:val="VerbatimChar"/>
        </w:rPr>
        <w:t xml:space="preserve">docs/FAILURE_MODES.md</w:t>
      </w:r>
      <w:r>
        <w:t xml:space="preserve"> </w:t>
      </w:r>
      <w:r>
        <w:t xml:space="preserve">and is out of scope for this</w:t>
      </w:r>
      <w:r>
        <w:t xml:space="preserve"> </w:t>
      </w:r>
      <w:r>
        <w:t xml:space="preserve">appendix.</w:t>
      </w:r>
    </w:p>
    <w:p>
      <w:r>
        <w:pict>
          <v:rect style="width:0;height:1.5pt" o:hralign="center" o:hrstd="t" o:hr="t"/>
        </w:pict>
      </w:r>
    </w:p>
    <w:bookmarkEnd w:id="186"/>
    <w:bookmarkEnd w:id="187"/>
    <w:bookmarkStart w:id="197" w:name="a15.-remediation-september-2026"/>
    <w:p>
      <w:pPr>
        <w:pStyle w:val="Heading2"/>
      </w:pPr>
      <w:r>
        <w:t xml:space="preserve">A15. Remediation, September 2026</w:t>
      </w:r>
    </w:p>
    <w:p>
      <w:pPr>
        <w:pStyle w:val="FirstParagraph"/>
      </w:pPr>
      <w:r>
        <w:t xml:space="preserve">Sections A12–A14 catalogue defects. This section records what was done about</w:t>
      </w:r>
      <w:r>
        <w:t xml:space="preserve"> </w:t>
      </w:r>
      <w:r>
        <w:t xml:space="preserve">them on 3–4 September 2026, what it changed, and what was deliberately left</w:t>
      </w:r>
      <w:r>
        <w:t xml:space="preserve"> </w:t>
      </w:r>
      <w:r>
        <w:t xml:space="preserve">alone. It is the counterpart to</w:t>
      </w:r>
      <w:r>
        <w:t xml:space="preserve"> </w:t>
      </w:r>
      <w:r>
        <w:rPr>
          <w:rStyle w:val="VerbatimChar"/>
        </w:rPr>
        <w:t xml:space="preserve">docs/FAILURE_MODES.md</w:t>
      </w:r>
      <w:r>
        <w:t xml:space="preserve">, which holds the</w:t>
      </w:r>
      <w:r>
        <w:t xml:space="preserve"> </w:t>
      </w:r>
      <w:r>
        <w:t xml:space="preserve">mechanism for each entry; this is the narrative and the arithmetic.</w:t>
      </w:r>
    </w:p>
    <w:p>
      <w:pPr>
        <w:pStyle w:val="BodyText"/>
      </w:pPr>
      <w:r>
        <w:t xml:space="preserve">The headline did not move. The publication rate is 178 / 1,051 =</w:t>
      </w:r>
      <w:r>
        <w:t xml:space="preserve"> </w:t>
      </w:r>
      <w:r>
        <w:rPr>
          <w:b/>
          <w:bCs/>
        </w:rPr>
        <w:t xml:space="preserve">16.9%</w:t>
      </w:r>
      <w:r>
        <w:t xml:space="preserve"> </w:t>
      </w:r>
      <w:r>
        <w:t xml:space="preserve">before and after. What</w:t>
      </w:r>
      <w:r>
        <w:t xml:space="preserve"> </w:t>
      </w:r>
      <w:r>
        <w:t xml:space="preserve">moved is the evidence beneath the time-to-event and regression results, and</w:t>
      </w:r>
      <w:r>
        <w:t xml:space="preserve"> </w:t>
      </w:r>
      <w:r>
        <w:t xml:space="preserve">the amount of the pipeline that can be rebuilt on another machine.</w:t>
      </w:r>
    </w:p>
    <w:bookmarkStart w:id="188" w:name="a15.1-the-candidate-pool-f2"/>
    <w:p>
      <w:pPr>
        <w:pStyle w:val="Heading3"/>
      </w:pPr>
      <w:r>
        <w:t xml:space="preserve">A15.1 The candidate pool (F2)</w:t>
      </w:r>
    </w:p>
    <w:p>
      <w:pPr>
        <w:pStyle w:val="FirstParagraph"/>
      </w:pPr>
      <w:r>
        <w:rPr>
          <w:rStyle w:val="VerbatimChar"/>
        </w:rPr>
        <w:t xml:space="preserve">R/03b_search_crossref.R</w:t>
      </w:r>
      <w:r>
        <w:t xml:space="preserve"> </w:t>
      </w:r>
      <w:r>
        <w:t xml:space="preserve">rewrites</w:t>
      </w:r>
      <w:r>
        <w:t xml:space="preserve"> </w:t>
      </w:r>
      <w:r>
        <w:rPr>
          <w:rStyle w:val="VerbatimChar"/>
        </w:rPr>
        <w:t xml:space="preserve">data/processed/pubmed_candidates.csv</w:t>
      </w:r>
      <w:r>
        <w:t xml:space="preserve"> </w:t>
      </w:r>
      <w:r>
        <w:t xml:space="preserve">in</w:t>
      </w:r>
      <w:r>
        <w:t xml:space="preserve"> </w:t>
      </w:r>
      <w:r>
        <w:t xml:space="preserve">place at the end of every supplementary-search run. On 19 April 2026 it ran at</w:t>
      </w:r>
      <w:r>
        <w:t xml:space="preserve"> </w:t>
      </w:r>
      <w:r>
        <w:t xml:space="preserve">09:47, after</w:t>
      </w:r>
      <w:r>
        <w:t xml:space="preserve"> </w:t>
      </w:r>
      <w:r>
        <w:rPr>
          <w:rStyle w:val="VerbatimChar"/>
        </w:rPr>
        <w:t xml:space="preserve">R/04_score_matches.R</w:t>
      </w:r>
      <w:r>
        <w:t xml:space="preserve"> </w:t>
      </w:r>
      <w:r>
        <w:t xml:space="preserve">had scored at 09:21. The file left on disk</w:t>
      </w:r>
      <w:r>
        <w:t xml:space="preserve"> </w:t>
      </w:r>
      <w:r>
        <w:t xml:space="preserve">was a strict subset of the pool the scores were computed against.</w:t>
      </w:r>
    </w:p>
    <w:p>
      <w:pPr>
        <w:pStyle w:val="BodyText"/>
      </w:pPr>
      <w:r>
        <w:rPr>
          <w:rStyle w:val="VerbatimChar"/>
        </w:rPr>
        <w:t xml:space="preserve">scripts/rebuild_candidate_pool.R</w:t>
      </w:r>
      <w:r>
        <w:t xml:space="preserve"> </w:t>
      </w:r>
      <w:r>
        <w:t xml:space="preserve">reconstructs it from</w:t>
      </w:r>
      <w:r>
        <w:t xml:space="preserve"> </w:t>
      </w:r>
      <w:r>
        <w:rPr>
          <w:rStyle w:val="VerbatimChar"/>
        </w:rPr>
        <w:t xml:space="preserve">data/processed/match_scores_detailed.rds</w:t>
      </w:r>
      <w:r>
        <w:t xml:space="preserve"> </w:t>
      </w:r>
      <w:r>
        <w:t xml:space="preserve">— the surviving record of every</w:t>
      </w:r>
      <w:r>
        <w:t xml:space="preserve"> </w:t>
      </w:r>
      <w:r>
        <w:t xml:space="preserve">scored pair — plus every reviewer-supplied</w:t>
      </w:r>
      <w:r>
        <w:t xml:space="preserve"> </w:t>
      </w:r>
      <w:r>
        <w:rPr>
          <w:rStyle w:val="VerbatimChar"/>
        </w:rPr>
        <w:t xml:space="preserve">manual_pmid</w:t>
      </w:r>
      <w:r>
        <w:t xml:space="preserve">, refetching the missing</w:t>
      </w:r>
      <w:r>
        <w:t xml:space="preserve"> </w:t>
      </w:r>
      <w:r>
        <w:t xml:space="preserve">metadata from PubMed in batches of 100. It is resumable and drops rows keyed to</w:t>
      </w:r>
      <w:r>
        <w:t xml:space="preserve"> </w:t>
      </w:r>
      <w:r>
        <w:rPr>
          <w:rStyle w:val="VerbatimChar"/>
        </w:rPr>
        <w:t xml:space="preserve">abstract_id</w:t>
      </w:r>
      <w:r>
        <w:t xml:space="preserve">s outside the 1,154 parsed presentations.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before</w:t>
            </w:r>
          </w:p>
        </w:tc>
        <w:tc>
          <w:tcPr/>
          <w:p>
            <w:pPr>
              <w:pStyle w:val="Compact"/>
              <w:jc w:val="right"/>
            </w:pPr>
            <w:r>
              <w:t xml:space="preserve">after</w:t>
            </w:r>
          </w:p>
        </w:tc>
      </w:tr>
      <w:tr>
        <w:tc>
          <w:tcPr/>
          <w:p>
            <w:pPr>
              <w:pStyle w:val="Compact"/>
            </w:pPr>
            <w:r>
              <w:t xml:space="preserve">Rows in the pool</w:t>
            </w:r>
          </w:p>
        </w:tc>
        <w:tc>
          <w:tcPr/>
          <w:p>
            <w:pPr>
              <w:pStyle w:val="Compact"/>
              <w:jc w:val="right"/>
            </w:pPr>
            <w:r>
              <w:t xml:space="preserve">48,984</w:t>
            </w:r>
          </w:p>
        </w:tc>
        <w:tc>
          <w:tcPr/>
          <w:p>
            <w:pPr>
              <w:pStyle w:val="Compact"/>
              <w:jc w:val="right"/>
            </w:pPr>
            <w:r>
              <w:t xml:space="preserve">65,697</w:t>
            </w:r>
          </w:p>
        </w:tc>
      </w:tr>
      <w:tr>
        <w:tc>
          <w:tcPr/>
          <w:p>
            <w:pPr>
              <w:pStyle w:val="Compact"/>
            </w:pPr>
            <w:r>
              <w:t xml:space="preserve">Cohort pairs vs</w:t>
            </w:r>
            <w:r>
              <w:t xml:space="preserve"> </w:t>
            </w:r>
            <w:r>
              <w:rPr>
                <w:rStyle w:val="VerbatimChar"/>
              </w:rPr>
              <w:t xml:space="preserve">sum(n_candidates)</w:t>
            </w:r>
          </w:p>
        </w:tc>
        <w:tc>
          <w:tcPr/>
          <w:p>
            <w:pPr>
              <w:pStyle w:val="Compact"/>
              <w:jc w:val="right"/>
            </w:pPr>
            <w:r>
              <w:t xml:space="preserve">48,984 vs 64,718</w:t>
            </w:r>
          </w:p>
        </w:tc>
        <w:tc>
          <w:tcPr/>
          <w:p>
            <w:pPr>
              <w:pStyle w:val="Compact"/>
              <w:jc w:val="right"/>
            </w:pPr>
            <w:r>
              <w:t xml:space="preserve">64,728 vs 64,718</w:t>
            </w:r>
          </w:p>
        </w:tc>
      </w:tr>
      <w:tr>
        <w:tc>
          <w:tcPr/>
          <w:p>
            <w:pPr>
              <w:pStyle w:val="Compact"/>
            </w:pPr>
            <w:r>
              <w:t xml:space="preserve">Winning PMIDs unresolvable</w:t>
            </w:r>
          </w:p>
        </w:tc>
        <w:tc>
          <w:tcPr/>
          <w:p>
            <w:pPr>
              <w:pStyle w:val="Compact"/>
              <w:jc w:val="right"/>
            </w:pPr>
            <w:r>
              <w:t xml:space="preserve">283</w:t>
            </w:r>
          </w:p>
        </w:tc>
        <w:tc>
          <w:tcPr/>
          <w:p>
            <w:pPr>
              <w:pStyle w:val="Compact"/>
              <w:jc w:val="right"/>
            </w:pPr>
            <w:r>
              <w:rPr>
                <w:b/>
                <w:bCs/>
              </w:rPr>
              <w:t xml:space="preserve">0</w:t>
            </w:r>
          </w:p>
        </w:tc>
      </w:tr>
      <w:tr>
        <w:tc>
          <w:tcPr/>
          <w:p>
            <w:pPr>
              <w:pStyle w:val="Compact"/>
            </w:pPr>
            <w:r>
              <w:t xml:space="preserve">Published abstracts with a date</w:t>
            </w:r>
          </w:p>
        </w:tc>
        <w:tc>
          <w:tcPr/>
          <w:p>
            <w:pPr>
              <w:pStyle w:val="Compact"/>
              <w:jc w:val="right"/>
            </w:pPr>
            <w:r>
              <w:t xml:space="preserve">104 / 178</w:t>
            </w:r>
          </w:p>
        </w:tc>
        <w:tc>
          <w:tcPr/>
          <w:p>
            <w:pPr>
              <w:pStyle w:val="Compact"/>
              <w:jc w:val="right"/>
            </w:pPr>
            <w:r>
              <w:rPr>
                <w:b/>
                <w:bCs/>
              </w:rPr>
              <w:t xml:space="preserve">178 / 178</w:t>
            </w:r>
          </w:p>
        </w:tc>
      </w:tr>
      <w:tr>
        <w:tc>
          <w:tcPr/>
          <w:p>
            <w:pPr>
              <w:pStyle w:val="Compact"/>
            </w:pPr>
            <w:r>
              <w:t xml:space="preserve">Kaplan–Meier events</w:t>
            </w:r>
          </w:p>
        </w:tc>
        <w:tc>
          <w:tcPr/>
          <w:p>
            <w:pPr>
              <w:pStyle w:val="Compact"/>
              <w:jc w:val="right"/>
            </w:pPr>
            <w:r>
              <w:t xml:space="preserve">104</w:t>
            </w:r>
          </w:p>
        </w:tc>
        <w:tc>
          <w:tcPr/>
          <w:p>
            <w:pPr>
              <w:pStyle w:val="Compact"/>
              <w:jc w:val="right"/>
            </w:pPr>
            <w:r>
              <w:rPr>
                <w:b/>
                <w:bCs/>
              </w:rPr>
              <w:t xml:space="preserve">171</w:t>
            </w:r>
          </w:p>
        </w:tc>
      </w:tr>
      <w:tr>
        <w:tc>
          <w:tcPr/>
          <w:p>
            <w:pPr>
              <w:pStyle w:val="Compact"/>
            </w:pPr>
            <w:r>
              <w:t xml:space="preserve">Median time to publication</w:t>
            </w:r>
          </w:p>
        </w:tc>
        <w:tc>
          <w:tcPr/>
          <w:p>
            <w:pPr>
              <w:pStyle w:val="Compact"/>
              <w:jc w:val="right"/>
            </w:pPr>
            <w:r>
              <w:t xml:space="preserve">13.8 mo (IQR 6.3–25.0)</w:t>
            </w:r>
          </w:p>
        </w:tc>
        <w:tc>
          <w:tcPr/>
          <w:p>
            <w:pPr>
              <w:pStyle w:val="Compact"/>
              <w:jc w:val="right"/>
            </w:pPr>
            <w:r>
              <w:rPr>
                <w:b/>
                <w:bCs/>
              </w:rPr>
              <w:t xml:space="preserve">13.7 mo (IQR 5.7–22.6)</w:t>
            </w:r>
          </w:p>
        </w:tc>
      </w:tr>
    </w:tbl>
    <w:p>
      <w:pPr>
        <w:pStyle w:val="BodyText"/>
      </w:pPr>
      <w:r>
        <w:t xml:space="preserve">One limit is permanent. The</w:t>
      </w:r>
      <w:r>
        <w:t xml:space="preserve"> </w:t>
      </w:r>
      <w:r>
        <w:rPr>
          <w:rStyle w:val="VerbatimChar"/>
        </w:rPr>
        <w:t xml:space="preserve">strategies</w:t>
      </w:r>
      <w:r>
        <w:t xml:space="preserve"> </w:t>
      </w:r>
      <w:r>
        <w:t xml:space="preserve">provenance for a recovered pair lived</w:t>
      </w:r>
      <w:r>
        <w:t xml:space="preserve"> </w:t>
      </w:r>
      <w:r>
        <w:t xml:space="preserve">only in the overwritten file. Recovered rows carry</w:t>
      </w:r>
      <w:r>
        <w:t xml:space="preserve"> </w:t>
      </w:r>
      <w:r>
        <w:rPr>
          <w:rStyle w:val="VerbatimChar"/>
        </w:rPr>
        <w:t xml:space="preserve">strategies = "unrecovered"</w:t>
      </w:r>
      <w:r>
        <w:t xml:space="preserve"> </w:t>
      </w:r>
      <w:r>
        <w:t xml:space="preserve">so Aim 4’s attribution excludes rather than miscounts them.</w:t>
      </w:r>
    </w:p>
    <w:p>
      <w:pPr>
        <w:pStyle w:val="BodyText"/>
      </w:pPr>
      <w:r>
        <w:t xml:space="preserve">Seven confirmed publications appeared</w:t>
      </w:r>
      <w:r>
        <w:t xml:space="preserve"> </w:t>
      </w:r>
      <w:r>
        <w:rPr>
          <w:i/>
          <w:iCs/>
        </w:rPr>
        <w:t xml:space="preserve">before</w:t>
      </w:r>
      <w:r>
        <w:t xml:space="preserve"> </w:t>
      </w:r>
      <w:r>
        <w:t xml:space="preserve">their congress. They belong in</w:t>
      </w:r>
      <w:r>
        <w:t xml:space="preserve"> </w:t>
      </w:r>
      <w:r>
        <w:t xml:space="preserve">the numerator — a reviewer ruled they are the abstract’s publication — but a</w:t>
      </w:r>
      <w:r>
        <w:t xml:space="preserve"> </w:t>
      </w:r>
      <w:r>
        <w:t xml:space="preserve">negative interval is not a time to publication, so Aim 2 now reports</w:t>
      </w:r>
      <w:r>
        <w:t xml:space="preserve"> </w:t>
      </w:r>
      <w:r>
        <w:rPr>
          <w:rStyle w:val="VerbatimChar"/>
        </w:rPr>
        <w:t xml:space="preserve">n_published</w:t>
      </w:r>
      <w:r>
        <w:t xml:space="preserve">,</w:t>
      </w:r>
      <w:r>
        <w:t xml:space="preserve"> </w:t>
      </w:r>
      <w:r>
        <w:rPr>
          <w:rStyle w:val="VerbatimChar"/>
        </w:rPr>
        <w:t xml:space="preserve">n_with_dates</w:t>
      </w:r>
      <w:r>
        <w:t xml:space="preserve">,</w:t>
      </w:r>
      <w:r>
        <w:t xml:space="preserve"> </w:t>
      </w:r>
      <w:r>
        <w:rPr>
          <w:rStyle w:val="VerbatimChar"/>
        </w:rPr>
        <w:t xml:space="preserve">n_pre_congress</w:t>
      </w:r>
      <w:r>
        <w:t xml:space="preserve"> </w:t>
      </w:r>
      <w:r>
        <w:t xml:space="preserve">and</w:t>
      </w:r>
      <w:r>
        <w:t xml:space="preserve"> </w:t>
      </w:r>
      <w:r>
        <w:rPr>
          <w:rStyle w:val="VerbatimChar"/>
        </w:rPr>
        <w:t xml:space="preserve">n_undated</w:t>
      </w:r>
      <w:r>
        <w:t xml:space="preserve"> </w:t>
      </w:r>
      <w:r>
        <w:t xml:space="preserve">and computes the</w:t>
      </w:r>
      <w:r>
        <w:t xml:space="preserve"> </w:t>
      </w:r>
      <w:r>
        <w:t xml:space="preserve">median on post-congress publications only.</w:t>
      </w:r>
    </w:p>
    <w:bookmarkEnd w:id="188"/>
    <w:bookmarkStart w:id="189" w:name="Xf73817677dac78a0596c424c3d0e52489da902d"/>
    <w:p>
      <w:pPr>
        <w:pStyle w:val="Heading3"/>
      </w:pPr>
      <w:r>
        <w:t xml:space="preserve">A15.2 Covariates derived before the text existed (F3)</w:t>
      </w:r>
    </w:p>
    <w:p>
      <w:pPr>
        <w:pStyle w:val="FirstParagraph"/>
      </w:pPr>
      <w:r>
        <w:rPr>
          <w:rStyle w:val="VerbatimChar"/>
        </w:rPr>
        <w:t xml:space="preserve">R/02_clean_abstracts.R</w:t>
      </w:r>
      <w:r>
        <w:t xml:space="preserve"> </w:t>
      </w:r>
      <w:r>
        <w:t xml:space="preserve">derives roughly twenty predictors by regular expression</w:t>
      </w:r>
      <w:r>
        <w:t xml:space="preserve"> </w:t>
      </w:r>
      <w:r>
        <w:t xml:space="preserve">over</w:t>
      </w:r>
      <w:r>
        <w:t xml:space="preserve"> </w:t>
      </w:r>
      <w:r>
        <w:rPr>
          <w:rStyle w:val="VerbatimChar"/>
        </w:rPr>
        <w:t xml:space="preserve">search_text</w:t>
      </w:r>
      <w:r>
        <w:t xml:space="preserve">, but runs</w:t>
      </w:r>
      <w:r>
        <w:t xml:space="preserve"> </w:t>
      </w:r>
      <w:r>
        <w:rPr>
          <w:i/>
          <w:iCs/>
        </w:rPr>
        <w:t xml:space="preserve">before</w:t>
      </w:r>
      <w:r>
        <w:t xml:space="preserve"> </w:t>
      </w:r>
      <w:r>
        <w:t xml:space="preserve">the two text backfills. For congress years</w:t>
      </w:r>
      <w:r>
        <w:t xml:space="preserve"> </w:t>
      </w:r>
      <w:r>
        <w:t xml:space="preserve">2012–2018 it therefore saw the title alone, and nothing recomputed the</w:t>
      </w:r>
      <w:r>
        <w:t xml:space="preserve"> </w:t>
      </w:r>
      <w:r>
        <w:t xml:space="preserve">variables afterwards.</w:t>
      </w:r>
    </w:p>
    <w:p>
      <w:pPr>
        <w:pStyle w:val="BodyText"/>
      </w:pPr>
      <w:r>
        <w:rPr>
          <w:rStyle w:val="VerbatimChar"/>
        </w:rPr>
        <w:t xml:space="preserve">R/02d_rederive_predictors.R</w:t>
      </w:r>
      <w:r>
        <w:t xml:space="preserve"> </w:t>
      </w:r>
      <w:r>
        <w:t xml:space="preserve">re-runs the identical rules over the backfilled</w:t>
      </w:r>
      <w:r>
        <w:t xml:space="preserve"> </w:t>
      </w:r>
      <w:r>
        <w:t xml:space="preserve">text as step 2d. It touches covariates only — not</w:t>
      </w:r>
      <w:r>
        <w:t xml:space="preserve"> </w:t>
      </w:r>
      <w:r>
        <w:rPr>
          <w:rStyle w:val="VerbatimChar"/>
        </w:rPr>
        <w:t xml:space="preserve">title</w:t>
      </w:r>
      <w:r>
        <w:t xml:space="preserve">, the author columns or</w:t>
      </w:r>
      <w:r>
        <w:t xml:space="preserve"> </w:t>
      </w:r>
      <w:r>
        <w:rPr>
          <w:rStyle w:val="VerbatimChar"/>
        </w:rPr>
        <w:t xml:space="preserve">keywords_str</w:t>
      </w:r>
      <w:r>
        <w:t xml:space="preserve">, which feed the search and the score and whose change would</w:t>
      </w:r>
      <w:r>
        <w:t xml:space="preserve"> </w:t>
      </w:r>
      <w:r>
        <w:t xml:space="preserve">invalidate the scores and the human adjudication recorded against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 (cohort TRUE)</w:t>
            </w:r>
          </w:p>
        </w:tc>
        <w:tc>
          <w:tcPr/>
          <w:p>
            <w:pPr>
              <w:pStyle w:val="Compact"/>
              <w:jc w:val="right"/>
            </w:pPr>
            <w:r>
              <w:t xml:space="preserve">before</w:t>
            </w:r>
          </w:p>
        </w:tc>
        <w:tc>
          <w:tcPr/>
          <w:p>
            <w:pPr>
              <w:pStyle w:val="Compact"/>
              <w:jc w:val="right"/>
            </w:pPr>
            <w:r>
              <w:t xml:space="preserve">after</w:t>
            </w:r>
          </w:p>
        </w:tc>
      </w:tr>
      <w:tr>
        <w:tc>
          <w:tcPr/>
          <w:p>
            <w:pPr>
              <w:pStyle w:val="Compact"/>
            </w:pPr>
            <w:r>
              <w:rPr>
                <w:rStyle w:val="VerbatimChar"/>
              </w:rPr>
              <w:t xml:space="preserve">is_rct</w:t>
            </w:r>
          </w:p>
        </w:tc>
        <w:tc>
          <w:tcPr/>
          <w:p>
            <w:pPr>
              <w:pStyle w:val="Compact"/>
              <w:jc w:val="right"/>
            </w:pPr>
            <w:r>
              <w:t xml:space="preserve">71</w:t>
            </w:r>
          </w:p>
        </w:tc>
        <w:tc>
          <w:tcPr/>
          <w:p>
            <w:pPr>
              <w:pStyle w:val="Compact"/>
              <w:jc w:val="right"/>
            </w:pPr>
            <w:r>
              <w:t xml:space="preserve">98</w:t>
            </w:r>
          </w:p>
        </w:tc>
      </w:tr>
      <w:tr>
        <w:tc>
          <w:tcPr/>
          <w:p>
            <w:pPr>
              <w:pStyle w:val="Compact"/>
            </w:pPr>
            <w:r>
              <w:rPr>
                <w:rStyle w:val="VerbatimChar"/>
              </w:rPr>
              <w:t xml:space="preserve">is_academic</w:t>
            </w:r>
          </w:p>
        </w:tc>
        <w:tc>
          <w:tcPr/>
          <w:p>
            <w:pPr>
              <w:pStyle w:val="Compact"/>
              <w:jc w:val="right"/>
            </w:pPr>
            <w:r>
              <w:t xml:space="preserve">148</w:t>
            </w:r>
          </w:p>
        </w:tc>
        <w:tc>
          <w:tcPr/>
          <w:p>
            <w:pPr>
              <w:pStyle w:val="Compact"/>
              <w:jc w:val="right"/>
            </w:pPr>
            <w:r>
              <w:t xml:space="preserve">371</w:t>
            </w:r>
          </w:p>
        </w:tc>
      </w:tr>
      <w:tr>
        <w:tc>
          <w:tcPr/>
          <w:p>
            <w:pPr>
              <w:pStyle w:val="Compact"/>
            </w:pPr>
            <w:r>
              <w:rPr>
                <w:rStyle w:val="VerbatimChar"/>
              </w:rPr>
              <w:t xml:space="preserve">is_us_based</w:t>
            </w:r>
          </w:p>
        </w:tc>
        <w:tc>
          <w:tcPr/>
          <w:p>
            <w:pPr>
              <w:pStyle w:val="Compact"/>
              <w:jc w:val="right"/>
            </w:pPr>
            <w:r>
              <w:t xml:space="preserve">689</w:t>
            </w:r>
          </w:p>
        </w:tc>
        <w:tc>
          <w:tcPr/>
          <w:p>
            <w:pPr>
              <w:pStyle w:val="Compact"/>
              <w:jc w:val="right"/>
            </w:pPr>
            <w:r>
              <w:t xml:space="preserve">907</w:t>
            </w:r>
          </w:p>
        </w:tc>
      </w:tr>
      <w:tr>
        <w:tc>
          <w:tcPr/>
          <w:p>
            <w:pPr>
              <w:pStyle w:val="Compact"/>
            </w:pPr>
            <w:r>
              <w:rPr>
                <w:rStyle w:val="VerbatimChar"/>
              </w:rPr>
              <w:t xml:space="preserve">is_multicenter</w:t>
            </w:r>
          </w:p>
        </w:tc>
        <w:tc>
          <w:tcPr/>
          <w:p>
            <w:pPr>
              <w:pStyle w:val="Compact"/>
              <w:jc w:val="right"/>
            </w:pPr>
            <w:r>
              <w:t xml:space="preserve">38</w:t>
            </w:r>
          </w:p>
        </w:tc>
        <w:tc>
          <w:tcPr/>
          <w:p>
            <w:pPr>
              <w:pStyle w:val="Compact"/>
              <w:jc w:val="right"/>
            </w:pPr>
            <w:r>
              <w:t xml:space="preserve">65</w:t>
            </w:r>
          </w:p>
        </w:tc>
      </w:tr>
      <w:tr>
        <w:tc>
          <w:tcPr/>
          <w:p>
            <w:pPr>
              <w:pStyle w:val="Compact"/>
            </w:pPr>
            <w:r>
              <w:rPr>
                <w:rStyle w:val="VerbatimChar"/>
              </w:rPr>
              <w:t xml:space="preserve">has_numeric_results</w:t>
            </w:r>
          </w:p>
        </w:tc>
        <w:tc>
          <w:tcPr/>
          <w:p>
            <w:pPr>
              <w:pStyle w:val="Compact"/>
              <w:jc w:val="right"/>
            </w:pPr>
            <w:r>
              <w:t xml:space="preserve">276</w:t>
            </w:r>
          </w:p>
        </w:tc>
        <w:tc>
          <w:tcPr/>
          <w:p>
            <w:pPr>
              <w:pStyle w:val="Compact"/>
              <w:jc w:val="right"/>
            </w:pPr>
            <w:r>
              <w:t xml:space="preserve">622</w:t>
            </w:r>
          </w:p>
        </w:tc>
      </w:tr>
    </w:tbl>
    <w:p>
      <w:pPr>
        <w:pStyle w:val="BodyText"/>
      </w:pPr>
      <w:r>
        <w:t xml:space="preserve">Two rules were widened deliberately and are marked as such in the script:</w:t>
      </w:r>
      <w:r>
        <w:t xml:space="preserve"> </w:t>
      </w:r>
      <w:r>
        <w:rPr>
          <w:rStyle w:val="VerbatimChar"/>
        </w:rPr>
        <w:t xml:space="preserve">has_numeric_results</w:t>
      </w:r>
      <w:r>
        <w:t xml:space="preserve"> </w:t>
      </w:r>
      <w:r>
        <w:t xml:space="preserve">and</w:t>
      </w:r>
      <w:r>
        <w:t xml:space="preserve"> </w:t>
      </w:r>
      <w:r>
        <w:rPr>
          <w:rStyle w:val="VerbatimChar"/>
        </w:rPr>
        <w:t xml:space="preserve">result_positivity</w:t>
      </w:r>
      <w:r>
        <w:t xml:space="preserve"> </w:t>
      </w:r>
      <w:r>
        <w:t xml:space="preserve">now fall back to</w:t>
      </w:r>
      <w:r>
        <w:t xml:space="preserve"> </w:t>
      </w:r>
      <w:r>
        <w:rPr>
          <w:rStyle w:val="VerbatimChar"/>
        </w:rPr>
        <w:t xml:space="preserve">abstract_text</w:t>
      </w:r>
      <w:r>
        <w:t xml:space="preserve"> </w:t>
      </w:r>
      <w:r>
        <w:t xml:space="preserve">where the structured section columns are absent, which is every 2012–2018</w:t>
      </w:r>
      <w:r>
        <w:t xml:space="preserve"> </w:t>
      </w:r>
      <w:r>
        <w:t xml:space="preserve">abstract.</w:t>
      </w:r>
    </w:p>
    <w:p>
      <w:pPr>
        <w:pStyle w:val="BodyText"/>
      </w:pPr>
      <w:r>
        <w:t xml:space="preserve">The same script clears</w:t>
      </w:r>
      <w:r>
        <w:t xml:space="preserve"> </w:t>
      </w:r>
      <w:r>
        <w:rPr>
          <w:b/>
          <w:bCs/>
        </w:rPr>
        <w:t xml:space="preserve">96 degenerate</w:t>
      </w:r>
      <w:r>
        <w:rPr>
          <w:b/>
          <w:bCs/>
        </w:rPr>
        <w:t xml:space="preserve"> </w:t>
      </w:r>
      <w:r>
        <w:rPr>
          <w:rStyle w:val="VerbatimChar"/>
          <w:b/>
          <w:bCs/>
        </w:rPr>
        <w:t xml:space="preserve">abstract_text</w:t>
      </w:r>
      <w:r>
        <w:rPr>
          <w:b/>
          <w:bCs/>
        </w:rPr>
        <w:t xml:space="preserve"> </w:t>
      </w:r>
      <w:r>
        <w:rPr>
          <w:b/>
          <w:bCs/>
        </w:rPr>
        <w:t xml:space="preserve">values</w:t>
      </w:r>
      <w:r>
        <w:t xml:space="preserve">. The</w:t>
      </w:r>
      <w:r>
        <w:t xml:space="preserve"> </w:t>
      </w:r>
      <w:r>
        <w:t xml:space="preserve">ScienceDirect snippet backfill had written the page footnote</w:t>
      </w:r>
      <w:r>
        <w:t xml:space="preserve"> </w:t>
      </w:r>
      <w:r>
        <w:rPr>
          <w:rStyle w:val="VerbatimChar"/>
        </w:rPr>
        <w:t xml:space="preserve">"*: Corresponding author."</w:t>
      </w:r>
      <w:r>
        <w:t xml:space="preserve"> </w:t>
      </w:r>
      <w:r>
        <w:t xml:space="preserve">into all 95 abstracts of the 2018 congress and a</w:t>
      </w:r>
      <w:r>
        <w:t xml:space="preserve"> </w:t>
      </w:r>
      <w:r>
        <w:t xml:space="preserve">co-first-author footnote into one 2017 abstract. At 24 characters those passed</w:t>
      </w:r>
      <w:r>
        <w:t xml:space="preserve"> </w:t>
      </w:r>
      <w:r>
        <w:t xml:space="preserve">the</w:t>
      </w:r>
      <w:r>
        <w:t xml:space="preserve"> </w:t>
      </w:r>
      <w:r>
        <w:rPr>
          <w:rStyle w:val="VerbatimChar"/>
        </w:rPr>
        <w:t xml:space="preserve">nchar &gt;= 10</w:t>
      </w:r>
      <w:r>
        <w:t xml:space="preserve"> </w:t>
      </w:r>
      <w:r>
        <w:t xml:space="preserve">gate that</w:t>
      </w:r>
      <w:r>
        <w:t xml:space="preserve"> </w:t>
      </w:r>
      <w:r>
        <w:rPr>
          <w:rStyle w:val="VerbatimChar"/>
        </w:rPr>
        <w:t xml:space="preserve">02b</w:t>
      </w:r>
      <w:r>
        <w:t xml:space="preserve">/</w:t>
      </w:r>
      <w:r>
        <w:rPr>
          <w:rStyle w:val="VerbatimChar"/>
        </w:rPr>
        <w:t xml:space="preserve">02c</w:t>
      </w:r>
      <w:r>
        <w:t xml:space="preserve"> </w:t>
      </w:r>
      <w:r>
        <w:t xml:space="preserve">use to decide a row needs no backfill,</w:t>
      </w:r>
      <w:r>
        <w:t xml:space="preserve"> </w:t>
      </w:r>
      <w:r>
        <w:t xml:space="preserve">so the rows could never be repaired, and they displaced the title as the source</w:t>
      </w:r>
      <w:r>
        <w:t xml:space="preserve"> </w:t>
      </w:r>
      <w:r>
        <w:t xml:space="preserve">for every derived covariate. Clearing them is score-neutral: all 96 already</w:t>
      </w:r>
      <w:r>
        <w:t xml:space="preserve"> </w:t>
      </w:r>
      <w:r>
        <w:t xml:space="preserve">carried</w:t>
      </w:r>
      <w:r>
        <w:t xml:space="preserve"> </w:t>
      </w:r>
      <w:r>
        <w:rPr>
          <w:rStyle w:val="VerbatimChar"/>
        </w:rPr>
        <w:t xml:space="preserve">abstract_pts == 0</w:t>
      </w:r>
      <w:r>
        <w:t xml:space="preserve">, verified before the change.</w:t>
      </w:r>
    </w:p>
    <w:p>
      <w:pPr>
        <w:pStyle w:val="BodyText"/>
      </w:pPr>
      <w:r>
        <w:t xml:space="preserve">The residual year gradient is now confined to 2017 and 2018, which have no</w:t>
      </w:r>
      <w:r>
        <w:t xml:space="preserve"> </w:t>
      </w:r>
      <w:r>
        <w:t xml:space="preserve">recoverable abstract text at all (1 of 97 and 0 of 95) — a true absence of</w:t>
      </w:r>
      <w:r>
        <w:t xml:space="preserve"> </w:t>
      </w:r>
      <w:r>
        <w:t xml:space="preserve">evidence rather than a derivation-ordering artefact.</w:t>
      </w:r>
    </w:p>
    <w:p>
      <w:pPr>
        <w:pStyle w:val="BodyText"/>
      </w:pPr>
      <w:r>
        <w:rPr>
          <w:b/>
          <w:bCs/>
        </w:rPr>
        <w:t xml:space="preserve">This changed the models.</w:t>
      </w:r>
      <w:r>
        <w:t xml:space="preserve"> </w:t>
      </w:r>
      <w:r>
        <w:rPr>
          <w:rStyle w:val="VerbatimChar"/>
        </w:rPr>
        <w:t xml:space="preserve">is_academic</w:t>
      </w:r>
      <w:r>
        <w:t xml:space="preserve"> </w:t>
      </w:r>
      <w:r>
        <w:t xml:space="preserve">moved from HR 0.87 (p = 0.62) to</w:t>
      </w:r>
      <w:r>
        <w:t xml:space="preserve"> </w:t>
      </w:r>
      <w:r>
        <w:t xml:space="preserve">HR 0.62 (p = 0.007) and from OR 0.86 (p = 0.57) to OR 0.60 (p = 0.011). That</w:t>
      </w:r>
      <w:r>
        <w:t xml:space="preserve"> </w:t>
      </w:r>
      <w:r>
        <w:t xml:space="preserve">estimate rests on a covariate whose ascertainment more than doubled and should</w:t>
      </w:r>
      <w:r>
        <w:t xml:space="preserve"> </w:t>
      </w:r>
      <w:r>
        <w:t xml:space="preserve">be read with A15.5 alongside it.</w:t>
      </w:r>
    </w:p>
    <w:bookmarkEnd w:id="189"/>
    <w:bookmarkStart w:id="190" w:name="X0b7ec797966a7b4f52affb936169629a3cbcf12"/>
    <w:p>
      <w:pPr>
        <w:pStyle w:val="Heading3"/>
      </w:pPr>
      <w:r>
        <w:t xml:space="preserve">A15.3 Registry gender, and a dependency that moved</w:t>
      </w:r>
    </w:p>
    <w:p>
      <w:pPr>
        <w:pStyle w:val="FirstParagraph"/>
      </w:pPr>
      <w:r>
        <w:t xml:space="preserve">Tier 1 of the gender waterfall read</w:t>
      </w:r>
      <w:r>
        <w:t xml:space="preserve"> </w:t>
      </w:r>
      <w:r>
        <w:rPr>
          <w:rStyle w:val="VerbatimChar"/>
        </w:rPr>
        <w:t xml:space="preserve">npi_gender</w:t>
      </w:r>
      <w:r>
        <w:t xml:space="preserve"> </w:t>
      </w:r>
      <w:r>
        <w:t xml:space="preserve">from the ABOG</w:t>
      </w:r>
      <w:r>
        <w:t xml:space="preserve"> </w:t>
      </w:r>
      <w:r>
        <w:t xml:space="preserve">board-certification export. That export’s</w:t>
      </w:r>
      <w:r>
        <w:t xml:space="preserve"> </w:t>
      </w:r>
      <w:r>
        <w:rPr>
          <w:rStyle w:val="VerbatimChar"/>
        </w:rPr>
        <w:t xml:space="preserve">LATEST</w:t>
      </w:r>
      <w:r>
        <w:t xml:space="preserve"> </w:t>
      </w:r>
      <w:r>
        <w:t xml:space="preserve">symlink was repointed</w:t>
      </w:r>
      <w:r>
        <w:t xml:space="preserve"> </w:t>
      </w:r>
      <w:r>
        <w:t xml:space="preserve">upstream to a workforce file with</w:t>
      </w:r>
      <w:r>
        <w:t xml:space="preserve"> </w:t>
      </w:r>
      <w:r>
        <w:rPr>
          <w:b/>
          <w:bCs/>
        </w:rPr>
        <w:t xml:space="preserve">no gender column</w:t>
      </w:r>
      <w:r>
        <w:t xml:space="preserve">, 79,400 rows using</w:t>
      </w:r>
      <w:r>
        <w:t xml:space="preserve"> </w:t>
      </w:r>
      <w:r>
        <w:rPr>
          <w:rStyle w:val="VerbatimChar"/>
        </w:rPr>
        <w:t xml:space="preserve">first</w:t>
      </w:r>
      <w:r>
        <w:t xml:space="preserve">/</w:t>
      </w:r>
      <w:r>
        <w:rPr>
          <w:rStyle w:val="VerbatimChar"/>
        </w:rPr>
        <w:t xml:space="preserve">last</w:t>
      </w:r>
      <w:r>
        <w:t xml:space="preserve">/</w:t>
      </w:r>
      <w:r>
        <w:rPr>
          <w:rStyle w:val="VerbatimChar"/>
        </w:rPr>
        <w:t xml:space="preserve">middle</w:t>
      </w:r>
      <w:r>
        <w:t xml:space="preserve"> </w:t>
      </w:r>
      <w:r>
        <w:t xml:space="preserve">instead of</w:t>
      </w:r>
      <w:r>
        <w:t xml:space="preserve"> </w:t>
      </w:r>
      <w:r>
        <w:rPr>
          <w:rStyle w:val="VerbatimChar"/>
        </w:rPr>
        <w:t xml:space="preserve">first_name</w:t>
      </w:r>
      <w:r>
        <w:t xml:space="preserve">/</w:t>
      </w:r>
      <w:r>
        <w:rPr>
          <w:rStyle w:val="VerbatimChar"/>
        </w:rPr>
        <w:t xml:space="preserve">last_name</w:t>
      </w:r>
      <w:r>
        <w:t xml:space="preserve">/</w:t>
      </w:r>
      <w:r>
        <w:rPr>
          <w:rStyle w:val="VerbatimChar"/>
        </w:rPr>
        <w:t xml:space="preserve">middle_name</w:t>
      </w:r>
      <w:r>
        <w:t xml:space="preserve">, and</w:t>
      </w:r>
      <w:r>
        <w:t xml:space="preserve"> </w:t>
      </w:r>
      <w:r>
        <w:t xml:space="preserve">an NPI on only 411 rows. The shipped 256 tier-1 genders could be used but not</w:t>
      </w:r>
      <w:r>
        <w:t xml:space="preserve"> </w:t>
      </w:r>
      <w:r>
        <w:t xml:space="preserve">regenerated.</w:t>
      </w:r>
    </w:p>
    <w:p>
      <w:pPr>
        <w:pStyle w:val="BodyText"/>
      </w:pPr>
      <w:r>
        <w:rPr>
          <w:rStyle w:val="VerbatimChar"/>
        </w:rPr>
        <w:t xml:space="preserve">R/09k_gender_from_nppes.R</w:t>
      </w:r>
      <w:r>
        <w:t xml:space="preserve"> </w:t>
      </w:r>
      <w:r>
        <w:t xml:space="preserve">reads registrant-reported sex from NPPES keyed on</w:t>
      </w:r>
      <w:r>
        <w:t xml:space="preserve"> </w:t>
      </w:r>
      <w:r>
        <w:t xml:space="preserve">the NPI that</w:t>
      </w:r>
      <w:r>
        <w:t xml:space="preserve"> </w:t>
      </w:r>
      <w:r>
        <w:rPr>
          <w:rStyle w:val="VerbatimChar"/>
        </w:rPr>
        <w:t xml:space="preserve">R/10_npi_matching.R</w:t>
      </w:r>
      <w:r>
        <w:t xml:space="preserve"> </w:t>
      </w:r>
      <w:r>
        <w:t xml:space="preserve">already resolved, and is the new tier 1;</w:t>
      </w:r>
      <w:r>
        <w:t xml:space="preserve"> </w:t>
      </w:r>
      <w:r>
        <w:t xml:space="preserve">ABOG is tier 2 and still covers the four abstracts NPPES leaves blank. NPPES</w:t>
      </w:r>
      <w:r>
        <w:t xml:space="preserve"> </w:t>
      </w:r>
      <w:r>
        <w:t xml:space="preserve">resolves</w:t>
      </w:r>
      <w:r>
        <w:t xml:space="preserve"> </w:t>
      </w:r>
      <w:r>
        <w:rPr>
          <w:b/>
          <w:bCs/>
        </w:rPr>
        <w:t xml:space="preserve">263 of 265</w:t>
      </w:r>
      <w:r>
        <w:t xml:space="preserve"> </w:t>
      </w:r>
      <w:r>
        <w:t xml:space="preserve">high-confidence NPIs against ABOG’s 252, and the two</w:t>
      </w:r>
      <w:r>
        <w:t xml:space="preserve"> </w:t>
      </w:r>
      <w:r>
        <w:t xml:space="preserve">agree on</w:t>
      </w:r>
      <w:r>
        <w:t xml:space="preserve"> </w:t>
      </w:r>
      <w:r>
        <w:rPr>
          <w:b/>
          <w:bCs/>
        </w:rPr>
        <w:t xml:space="preserve">251 of 252</w:t>
      </w:r>
      <w:r>
        <w:t xml:space="preserve"> </w:t>
      </w:r>
      <w:r>
        <w:t xml:space="preserve">(99.6%).</w:t>
      </w:r>
    </w:p>
    <w:p>
      <w:pPr>
        <w:pStyle w:val="BodyText"/>
      </w:pPr>
      <w:r>
        <w:t xml:space="preserve">The reordering is justified on reproducibility, not accuracy. Coverage moved</w:t>
      </w:r>
      <w:r>
        <w:t xml:space="preserve"> </w:t>
      </w:r>
      <w:r>
        <w:t xml:space="preserve">only 1,065 → 1,066, but</w:t>
      </w:r>
      <w:r>
        <w:t xml:space="preserve"> </w:t>
      </w:r>
      <w:r>
        <w:rPr>
          <w:b/>
          <w:bCs/>
        </w:rPr>
        <w:t xml:space="preserve">11 abstracts moved from a name-inferred tier to a</w:t>
      </w:r>
      <w:r>
        <w:rPr>
          <w:b/>
          <w:bCs/>
        </w:rPr>
        <w:t xml:space="preserve"> </w:t>
      </w:r>
      <w:r>
        <w:rPr>
          <w:b/>
          <w:bCs/>
        </w:rPr>
        <w:t xml:space="preserve">registry tier</w:t>
      </w:r>
      <w:r>
        <w:t xml:space="preserve">, and four values changed — three of them replacing a name</w:t>
      </w:r>
      <w:r>
        <w:t xml:space="preserve"> </w:t>
      </w:r>
      <w:r>
        <w:t xml:space="preserve">inference, two of those resting on a single first initial: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abstract</w:t>
            </w:r>
          </w:p>
        </w:tc>
        <w:tc>
          <w:tcPr/>
          <w:p>
            <w:pPr>
              <w:pStyle w:val="Compact"/>
            </w:pPr>
            <w:r>
              <w:t xml:space="preserve">was</w:t>
            </w:r>
          </w:p>
        </w:tc>
        <w:tc>
          <w:tcPr/>
          <w:p>
            <w:pPr>
              <w:pStyle w:val="Compact"/>
            </w:pPr>
            <w:r>
              <w:t xml:space="preserve">from</w:t>
            </w:r>
          </w:p>
        </w:tc>
        <w:tc>
          <w:tcPr/>
          <w:p>
            <w:pPr>
              <w:pStyle w:val="Compact"/>
            </w:pPr>
            <w:r>
              <w:t xml:space="preserve">now</w:t>
            </w:r>
          </w:p>
        </w:tc>
      </w:tr>
      <w:tr>
        <w:tc>
          <w:tcPr/>
          <w:p>
            <w:pPr>
              <w:pStyle w:val="Compact"/>
            </w:pPr>
            <w:r>
              <w:rPr>
                <w:rStyle w:val="VerbatimChar"/>
              </w:rPr>
              <w:t xml:space="preserve">AAGL2018_021</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AAGL2021_053</w:t>
            </w:r>
          </w:p>
        </w:tc>
        <w:tc>
          <w:tcPr/>
          <w:p>
            <w:pPr>
              <w:pStyle w:val="Compact"/>
            </w:pPr>
            <w:r>
              <w:t xml:space="preserve">female</w:t>
            </w:r>
          </w:p>
        </w:tc>
        <w:tc>
          <w:tcPr/>
          <w:p>
            <w:pPr>
              <w:pStyle w:val="Compact"/>
            </w:pPr>
            <w:r>
              <w:rPr>
                <w:rStyle w:val="VerbatimChar"/>
              </w:rPr>
              <w:t xml:space="preserve">openalex_search</w:t>
            </w:r>
          </w:p>
        </w:tc>
        <w:tc>
          <w:tcPr/>
          <w:p>
            <w:pPr>
              <w:pStyle w:val="Compact"/>
            </w:pPr>
            <w:r>
              <w:t xml:space="preserve">male</w:t>
            </w:r>
          </w:p>
        </w:tc>
      </w:tr>
      <w:tr>
        <w:tc>
          <w:tcPr/>
          <w:p>
            <w:pPr>
              <w:pStyle w:val="Compact"/>
            </w:pPr>
            <w:r>
              <w:rPr>
                <w:rStyle w:val="VerbatimChar"/>
              </w:rPr>
              <w:t xml:space="preserve">AAGL2022_003</w:t>
            </w:r>
          </w:p>
        </w:tc>
        <w:tc>
          <w:tcPr/>
          <w:p>
            <w:pPr>
              <w:pStyle w:val="Compact"/>
            </w:pPr>
            <w:r>
              <w:t xml:space="preserve">male</w:t>
            </w:r>
          </w:p>
        </w:tc>
        <w:tc>
          <w:tcPr/>
          <w:p>
            <w:pPr>
              <w:pStyle w:val="Compact"/>
            </w:pPr>
            <w:r>
              <w:rPr>
                <w:rStyle w:val="VerbatimChar"/>
              </w:rPr>
              <w:t xml:space="preserve">ssa</w:t>
            </w:r>
            <w:r>
              <w:t xml:space="preserve"> </w:t>
            </w:r>
            <w:r>
              <w:t xml:space="preserve">(single initial)</w:t>
            </w:r>
          </w:p>
        </w:tc>
        <w:tc>
          <w:tcPr/>
          <w:p>
            <w:pPr>
              <w:pStyle w:val="Compact"/>
            </w:pPr>
            <w:r>
              <w:t xml:space="preserve">female</w:t>
            </w:r>
          </w:p>
        </w:tc>
      </w:tr>
      <w:tr>
        <w:tc>
          <w:tcPr/>
          <w:p>
            <w:pPr>
              <w:pStyle w:val="Compact"/>
            </w:pPr>
            <w:r>
              <w:rPr>
                <w:rStyle w:val="VerbatimChar"/>
              </w:rPr>
              <w:t xml:space="preserve">AAGL2022_031</w:t>
            </w:r>
          </w:p>
        </w:tc>
        <w:tc>
          <w:tcPr/>
          <w:p>
            <w:pPr>
              <w:pStyle w:val="Compact"/>
            </w:pPr>
            <w:r>
              <w:t xml:space="preserve">female</w:t>
            </w:r>
          </w:p>
        </w:tc>
        <w:tc>
          <w:tcPr/>
          <w:p>
            <w:pPr>
              <w:pStyle w:val="Compact"/>
            </w:pPr>
            <w:r>
              <w:rPr>
                <w:rStyle w:val="VerbatimChar"/>
              </w:rPr>
              <w:t xml:space="preserve">npi</w:t>
            </w:r>
            <w:r>
              <w:t xml:space="preserve"> </w:t>
            </w:r>
            <w:r>
              <w:t xml:space="preserve">(ABOG)</w:t>
            </w:r>
          </w:p>
        </w:tc>
        <w:tc>
          <w:tcPr/>
          <w:p>
            <w:pPr>
              <w:pStyle w:val="Compact"/>
            </w:pPr>
            <w:r>
              <w:t xml:space="preserve">male</w:t>
            </w:r>
          </w:p>
        </w:tc>
      </w:tr>
    </w:tbl>
    <w:p>
      <w:pPr>
        <w:pStyle w:val="BodyText"/>
      </w:pPr>
      <w:r>
        <w:t xml:space="preserve">The last is the only NPPES/ABOG disagreement and is logged to</w:t>
      </w:r>
      <w:r>
        <w:t xml:space="preserve"> </w:t>
      </w:r>
      <w:r>
        <w:rPr>
          <w:rStyle w:val="VerbatimChar"/>
        </w:rPr>
        <w:t xml:space="preserve">data/processed/gender_nppes_abog_conflicts.csv</w:t>
      </w:r>
      <w:r>
        <w:t xml:space="preserve"> </w:t>
      </w:r>
      <w:r>
        <w:t xml:space="preserve">rather than resolved silently.</w:t>
      </w:r>
      <w:r>
        <w:t xml:space="preserve"> </w:t>
      </w:r>
      <w:r>
        <w:t xml:space="preserve">267 of the 1,066 resolved genders now come from a registry; 287 still rest on a</w:t>
      </w:r>
      <w:r>
        <w:t xml:space="preserve"> </w:t>
      </w:r>
      <w:r>
        <w:t xml:space="preserve">single initial.</w:t>
      </w:r>
    </w:p>
    <w:p>
      <w:pPr>
        <w:pStyle w:val="BodyText"/>
      </w:pPr>
      <w:r>
        <w:rPr>
          <w:rStyle w:val="VerbatimChar"/>
        </w:rPr>
        <w:t xml:space="preserve">R/10_npi_matching.R</w:t>
      </w:r>
      <w:r>
        <w:t xml:space="preserve"> </w:t>
      </w:r>
      <w:r>
        <w:t xml:space="preserve">was hardened at the same time. Its missing-file guard</w:t>
      </w:r>
      <w:r>
        <w:t xml:space="preserve"> </w:t>
      </w:r>
      <w:r>
        <w:t xml:space="preserve">called</w:t>
      </w:r>
      <w:r>
        <w:t xml:space="preserve"> </w:t>
      </w:r>
      <w:r>
        <w:rPr>
          <w:rStyle w:val="VerbatimChar"/>
        </w:rPr>
        <w:t xml:space="preserve">invisible(NULL)</w:t>
      </w:r>
      <w:r>
        <w:t xml:space="preserve">, which does not stop a sourced script, so a missing</w:t>
      </w:r>
      <w:r>
        <w:t xml:space="preserve"> </w:t>
      </w:r>
      <w:r>
        <w:t xml:space="preserve">pool aborted the whole pipeline at that step; the body is now conditional. The</w:t>
      </w:r>
      <w:r>
        <w:t xml:space="preserve"> </w:t>
      </w:r>
      <w:r>
        <w:t xml:space="preserve">loader maps the renamed ABOG columns and</w:t>
      </w:r>
      <w:r>
        <w:t xml:space="preserve"> </w:t>
      </w:r>
      <w:r>
        <w:rPr>
          <w:b/>
          <w:bCs/>
        </w:rPr>
        <w:t xml:space="preserve">refuses to overwrite a richer sidecar</w:t>
      </w:r>
      <w:r>
        <w:rPr>
          <w:b/>
          <w:bCs/>
        </w:rPr>
        <w:t xml:space="preserve"> </w:t>
      </w:r>
      <w:r>
        <w:rPr>
          <w:b/>
          <w:bCs/>
        </w:rPr>
        <w:t xml:space="preserve">with a poorer one</w:t>
      </w:r>
      <w:r>
        <w:t xml:space="preserve">, writing</w:t>
      </w:r>
      <w:r>
        <w:t xml:space="preserve"> </w:t>
      </w:r>
      <w:r>
        <w:rPr>
          <w:rStyle w:val="VerbatimChar"/>
        </w:rPr>
        <w:t xml:space="preserve">npi_matches_nogender.csv</w:t>
      </w:r>
      <w:r>
        <w:t xml:space="preserve"> </w:t>
      </w:r>
      <w:r>
        <w:t xml:space="preserve">instead. Both external</w:t>
      </w:r>
      <w:r>
        <w:t xml:space="preserve"> </w:t>
      </w:r>
      <w:r>
        <w:t xml:space="preserve">paths moved from hard-coded absolutes into</w:t>
      </w:r>
      <w:r>
        <w:t xml:space="preserve"> </w:t>
      </w:r>
      <w:r>
        <w:rPr>
          <w:rStyle w:val="VerbatimChar"/>
        </w:rPr>
        <w:t xml:space="preserve">config.yml: external_data</w:t>
      </w:r>
      <w:r>
        <w:t xml:space="preserve">,</w:t>
      </w:r>
      <w:r>
        <w:t xml:space="preserve"> </w:t>
      </w:r>
      <w:r>
        <w:t xml:space="preserve">overridable by</w:t>
      </w:r>
      <w:r>
        <w:t xml:space="preserve"> </w:t>
      </w:r>
      <w:r>
        <w:rPr>
          <w:rStyle w:val="VerbatimChar"/>
        </w:rPr>
        <w:t xml:space="preserve">ABOG_NPI_PATH</w:t>
      </w:r>
      <w:r>
        <w:t xml:space="preserve"> </w:t>
      </w:r>
      <w:r>
        <w:t xml:space="preserve">and</w:t>
      </w:r>
      <w:r>
        <w:t xml:space="preserve"> </w:t>
      </w:r>
      <w:r>
        <w:rPr>
          <w:rStyle w:val="VerbatimChar"/>
        </w:rPr>
        <w:t xml:space="preserve">NPPES_DUCKDB_PATH</w:t>
      </w:r>
      <w:r>
        <w:t xml:space="preserve">.</w:t>
      </w:r>
    </w:p>
    <w:bookmarkEnd w:id="190"/>
    <w:bookmarkStart w:id="191" w:name="a15.4-the-model-variable-screen"/>
    <w:p>
      <w:pPr>
        <w:pStyle w:val="Heading3"/>
      </w:pPr>
      <w:r>
        <w:t xml:space="preserve">A15.4 The model variable screen</w:t>
      </w:r>
    </w:p>
    <w:p>
      <w:pPr>
        <w:pStyle w:val="FirstParagraph"/>
      </w:pPr>
      <w:r>
        <w:t xml:space="preserve">Both models selected their terms with an inline</w:t>
      </w:r>
      <w:r>
        <w:t xml:space="preserve"> </w:t>
      </w:r>
      <w:r>
        <w:t xml:space="preserve">“&lt; 50% missing and &gt;= 2 distinct</w:t>
      </w:r>
      <w:r>
        <w:t xml:space="preserve"> </w:t>
      </w:r>
      <w:r>
        <w:t xml:space="preserve">values”</w:t>
      </w:r>
      <w:r>
        <w:t xml:space="preserve"> </w:t>
      </w:r>
      <w:r>
        <w:t xml:space="preserve">rule, written out twice and recording nothing.</w:t>
      </w:r>
      <w:r>
        <w:t xml:space="preserve"> </w:t>
      </w:r>
      <w:r>
        <w:rPr>
          <w:rStyle w:val="VerbatimChar"/>
        </w:rPr>
        <w:t xml:space="preserve">screen_model_vars()</w:t>
      </w:r>
      <w:r>
        <w:t xml:space="preserve"> </w:t>
      </w:r>
      <w:r>
        <w:t xml:space="preserve">in</w:t>
      </w:r>
      <w:r>
        <w:t xml:space="preserve"> </w:t>
      </w:r>
      <w:r>
        <w:rPr>
          <w:rStyle w:val="VerbatimChar"/>
        </w:rPr>
        <w:t xml:space="preserve">R/06_analyze_results.R</w:t>
      </w:r>
      <w:r>
        <w:t xml:space="preserve"> </w:t>
      </w:r>
      <w:r>
        <w:t xml:space="preserve">now applies one rule to both and writes a decision and</w:t>
      </w:r>
      <w:r>
        <w:t xml:space="preserve"> </w:t>
      </w:r>
      <w:r>
        <w:t xml:space="preserve">a reason for every candidate to</w:t>
      </w:r>
      <w:r>
        <w:t xml:space="preserve"> </w:t>
      </w:r>
      <w:r>
        <w:rPr>
          <w:rStyle w:val="VerbatimChar"/>
        </w:rPr>
        <w:t xml:space="preserve">output/model_variable_screen.csv</w:t>
      </w:r>
      <w:r>
        <w:t xml:space="preserve">, so the</w:t>
      </w:r>
      <w:r>
        <w:t xml:space="preserve"> </w:t>
      </w:r>
      <w:r>
        <w:t xml:space="preserve">specification is reconstructible from the outputs alone.</w:t>
      </w:r>
    </w:p>
    <w:p>
      <w:pPr>
        <w:pStyle w:val="BodyText"/>
      </w:pPr>
      <w:r>
        <w:t xml:space="preserve">Three criteria, in order: more than 50% missing; fewer than two distinct values;</w:t>
      </w:r>
      <w:r>
        <w:t xml:space="preserve"> </w:t>
      </w:r>
      <w:r>
        <w:t xml:space="preserve">and</w:t>
      </w:r>
      <w:r>
        <w:t xml:space="preserve"> </w:t>
      </w:r>
      <w:r>
        <w:rPr>
          <w:b/>
          <w:bCs/>
        </w:rPr>
        <w:t xml:space="preserve">near-zero variance</w:t>
      </w:r>
      <w:r>
        <w:t xml:space="preserve"> </w:t>
      </w:r>
      <w:r>
        <w:t xml:space="preserve">by the conventional rule (frequency ratio above 19</w:t>
      </w:r>
      <w:r>
        <w:t xml:space="preserve"> </w:t>
      </w:r>
      <w:r>
        <w:t xml:space="preserve">and distinct values below 10%). A candidate absent from the model frame is</w:t>
      </w:r>
      <w:r>
        <w:t xml:space="preserve"> </w:t>
      </w:r>
      <w:r>
        <w:t xml:space="preserve">recorded as</w:t>
      </w:r>
      <w:r>
        <w:t xml:space="preserve"> </w:t>
      </w:r>
      <w:r>
        <w:rPr>
          <w:rStyle w:val="VerbatimChar"/>
        </w:rPr>
        <w:t xml:space="preserve">absent</w:t>
      </w:r>
      <w:r>
        <w:t xml:space="preserve"> </w:t>
      </w:r>
      <w:r>
        <w:t xml:space="preserve">rather than silently removed — the candidate list is no</w:t>
      </w:r>
      <w:r>
        <w:t xml:space="preserve"> </w:t>
      </w:r>
      <w:r>
        <w:t xml:space="preserve">longer pre-intersected with</w:t>
      </w:r>
      <w:r>
        <w:t xml:space="preserve"> </w:t>
      </w:r>
      <w:r>
        <w:rPr>
          <w:rStyle w:val="VerbatimChar"/>
        </w:rPr>
        <w:t xml:space="preserve">names(km_data)</w:t>
      </w:r>
      <w:r>
        <w:t xml:space="preserve">.</w:t>
      </w:r>
    </w:p>
    <w:p>
      <w:pPr>
        <w:pStyle w:val="BodyText"/>
      </w:pPr>
      <w:r>
        <w:t xml:space="preserve">Two things this surfaced:</w:t>
      </w:r>
    </w:p>
    <w:p>
      <w:pPr>
        <w:pStyle w:val="Compact"/>
        <w:numPr>
          <w:ilvl w:val="0"/>
          <w:numId w:val="1010"/>
        </w:numPr>
      </w:pPr>
      <w:r>
        <w:rPr>
          <w:rStyle w:val="VerbatimChar"/>
          <w:b/>
          <w:bCs/>
        </w:rPr>
        <w:t xml:space="preserve">has_funding</w:t>
      </w:r>
      <w:r>
        <w:rPr>
          <w:b/>
          <w:bCs/>
        </w:rPr>
        <w:t xml:space="preserve"> </w:t>
      </w:r>
      <w:r>
        <w:rPr>
          <w:b/>
          <w:bCs/>
        </w:rPr>
        <w:t xml:space="preserve">is dropped from both models.</w:t>
      </w:r>
      <w:r>
        <w:t xml:space="preserve"> </w:t>
      </w:r>
      <w:r>
        <w:t xml:space="preserve">TRUE for 7 of 1,051 evaluated</w:t>
      </w:r>
      <w:r>
        <w:t xml:space="preserve"> </w:t>
      </w:r>
      <w:r>
        <w:t xml:space="preserve">abstracts, a frequency ratio of about 149:1. Its interval spanned an order of</w:t>
      </w:r>
      <w:r>
        <w:t xml:space="preserve"> </w:t>
      </w:r>
      <w:r>
        <w:t xml:space="preserve">magnitude in both models.</w:t>
      </w:r>
    </w:p>
    <w:p>
      <w:pPr>
        <w:pStyle w:val="Compact"/>
        <w:numPr>
          <w:ilvl w:val="0"/>
          <w:numId w:val="1010"/>
        </w:numPr>
      </w:pPr>
      <w:r>
        <w:rPr>
          <w:rStyle w:val="VerbatimChar"/>
          <w:b/>
          <w:bCs/>
        </w:rPr>
        <w:t xml:space="preserve">log_sample_size</w:t>
      </w:r>
      <w:r>
        <w:rPr>
          <w:b/>
          <w:bCs/>
        </w:rPr>
        <w:t xml:space="preserve"> </w:t>
      </w:r>
      <w:r>
        <w:rPr>
          <w:b/>
          <w:bCs/>
        </w:rPr>
        <w:t xml:space="preserve">is recorded as absent from the Cox model frame.</w:t>
      </w:r>
      <w:r>
        <w:t xml:space="preserve"> </w:t>
      </w:r>
      <w:r>
        <w:t xml:space="preserve">It has</w:t>
      </w:r>
      <w:r>
        <w:t xml:space="preserve"> </w:t>
      </w:r>
      <w:r>
        <w:t xml:space="preserve">always been listed as a Cox candidate and has never once entered the model,</w:t>
      </w:r>
      <w:r>
        <w:t xml:space="preserve"> </w:t>
      </w:r>
      <w:r>
        <w:t xml:space="preserve">because it is created inside the Aim 3 block only. That was invisible while</w:t>
      </w:r>
      <w:r>
        <w:t xml:space="preserve"> </w:t>
      </w:r>
      <w:r>
        <w:t xml:space="preserve">the candidate list was pre-intersected.</w:t>
      </w:r>
    </w:p>
    <w:p>
      <w:pPr>
        <w:pStyle w:val="FirstParagraph"/>
      </w:pPr>
      <w:r>
        <w:t xml:space="preserve">Every other coefficient moved by less than 0.03. But the Cox proportional</w:t>
      </w:r>
      <w:r>
        <w:t xml:space="preserve"> </w:t>
      </w:r>
      <w:r>
        <w:t xml:space="preserve">hazards global test moved from p = 0.056 to</w:t>
      </w:r>
      <w:r>
        <w:t xml:space="preserve"> </w:t>
      </w:r>
      <w:r>
        <w:rPr>
          <w:b/>
          <w:bCs/>
        </w:rPr>
        <w:t xml:space="preserve">p = 0.043</w:t>
      </w:r>
      <w:r>
        <w:t xml:space="preserve">, so the assumption is</w:t>
      </w:r>
      <w:r>
        <w:t xml:space="preserve"> </w:t>
      </w:r>
      <w:r>
        <w:t xml:space="preserve">now violated at α = 0.05. Removing a near-constant term made a latent violation</w:t>
      </w:r>
      <w:r>
        <w:t xml:space="preserve"> </w:t>
      </w:r>
      <w:r>
        <w:t xml:space="preserve">visible rather than creating one: the test was already only marginal at 171</w:t>
      </w:r>
      <w:r>
        <w:t xml:space="preserve"> </w:t>
      </w:r>
      <w:r>
        <w:t xml:space="preserve">events, against p = 0.32 when it had 104. The response — stratify, allow</w:t>
      </w:r>
      <w:r>
        <w:t xml:space="preserve"> </w:t>
      </w:r>
      <w:r>
        <w:t xml:space="preserve">time-varying coefficients, or report the hazard ratios explicitly as averages</w:t>
      </w:r>
      <w:r>
        <w:t xml:space="preserve"> </w:t>
      </w:r>
      <w:r>
        <w:t xml:space="preserve">over follow-up — is a methodological decision and has not been taken.</w:t>
      </w:r>
      <w:r>
        <w:t xml:space="preserve"> </w:t>
      </w:r>
      <w:r>
        <w:rPr>
          <w:rStyle w:val="VerbatimChar"/>
        </w:rPr>
        <w:t xml:space="preserve">tests/testthat/test-pipeline_semantics.R</w:t>
      </w:r>
      <w:r>
        <w:t xml:space="preserve"> </w:t>
      </w:r>
      <w:r>
        <w:t xml:space="preserve">is left failing with an explanatory</w:t>
      </w:r>
      <w:r>
        <w:t xml:space="preserve"> </w:t>
      </w:r>
      <w:r>
        <w:t xml:space="preserve">message rather than relaxed.</w:t>
      </w:r>
    </w:p>
    <w:bookmarkEnd w:id="191"/>
    <w:bookmarkStart w:id="192" w:name="a15.5-how-stable-are-the-findings"/>
    <w:p>
      <w:pPr>
        <w:pStyle w:val="Heading3"/>
      </w:pPr>
      <w:r>
        <w:t xml:space="preserve">A15.5 How stable are the findings?</w:t>
      </w:r>
    </w:p>
    <w:p>
      <w:pPr>
        <w:pStyle w:val="FirstParagraph"/>
      </w:pPr>
      <w:r>
        <w:t xml:space="preserve">Neither model previously carried an influence, leave-one-out or stability</w:t>
      </w:r>
      <w:r>
        <w:t xml:space="preserve"> </w:t>
      </w:r>
      <w:r>
        <w:t xml:space="preserve">diagnostic.</w:t>
      </w:r>
      <w:r>
        <w:t xml:space="preserve"> </w:t>
      </w:r>
      <w:r>
        <w:rPr>
          <w:rStyle w:val="VerbatimChar"/>
        </w:rPr>
        <w:t xml:space="preserve">R/06d_model_stability.R</w:t>
      </w:r>
      <w:r>
        <w:t xml:space="preserve"> </w:t>
      </w:r>
      <w:r>
        <w:t xml:space="preserve">adds two, seeded from</w:t>
      </w:r>
      <w:r>
        <w:t xml:space="preserve"> </w:t>
      </w:r>
      <w:r>
        <w:rPr>
          <w:rStyle w:val="VerbatimChar"/>
        </w:rPr>
        <w:t xml:space="preserve">config.yml: pipeline$seed</w:t>
      </w:r>
      <w:r>
        <w:t xml:space="preserve">.</w:t>
      </w:r>
    </w:p>
    <w:p>
      <w:pPr>
        <w:pStyle w:val="BodyText"/>
      </w:pPr>
      <w:r>
        <w:rPr>
          <w:b/>
          <w:bCs/>
        </w:rPr>
        <w:t xml:space="preserve">Bootstrap predictor retention</w:t>
      </w:r>
      <w:r>
        <w:t xml:space="preserve">, 500 refits of the logistic model</w:t>
      </w:r>
      <w:r>
        <w:t xml:space="preserve"> </w:t>
      </w:r>
      <w:r>
        <w:t xml:space="preserve">(n = 1,011), counting how often each term stays significant at p &lt; 0.05: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predictor</w:t>
            </w:r>
          </w:p>
        </w:tc>
        <w:tc>
          <w:tcPr/>
          <w:p>
            <w:pPr>
              <w:pStyle w:val="Compact"/>
              <w:jc w:val="right"/>
            </w:pPr>
            <w:r>
              <w:t xml:space="preserve">retained</w:t>
            </w:r>
          </w:p>
        </w:tc>
      </w:tr>
      <w:tr>
        <w:tc>
          <w:tcPr/>
          <w:p>
            <w:pPr>
              <w:pStyle w:val="Compact"/>
            </w:pPr>
            <w:r>
              <w:rPr>
                <w:rStyle w:val="VerbatimChar"/>
              </w:rPr>
              <w:t xml:space="preserve">n_authors</w:t>
            </w:r>
          </w:p>
        </w:tc>
        <w:tc>
          <w:tcPr/>
          <w:p>
            <w:pPr>
              <w:pStyle w:val="Compact"/>
              <w:jc w:val="right"/>
            </w:pPr>
            <w:r>
              <w:rPr>
                <w:b/>
                <w:bCs/>
              </w:rPr>
              <w:t xml:space="preserve">97.2%</w:t>
            </w:r>
          </w:p>
        </w:tc>
      </w:tr>
      <w:tr>
        <w:tc>
          <w:tcPr/>
          <w:p>
            <w:pPr>
              <w:pStyle w:val="Compact"/>
            </w:pPr>
            <w:r>
              <w:rPr>
                <w:rStyle w:val="VerbatimChar"/>
              </w:rPr>
              <w:t xml:space="preserve">is_rct</w:t>
            </w:r>
          </w:p>
        </w:tc>
        <w:tc>
          <w:tcPr/>
          <w:p>
            <w:pPr>
              <w:pStyle w:val="Compact"/>
              <w:jc w:val="right"/>
            </w:pPr>
            <w:r>
              <w:rPr>
                <w:b/>
                <w:bCs/>
              </w:rPr>
              <w:t xml:space="preserve">93.6%</w:t>
            </w:r>
          </w:p>
        </w:tc>
      </w:tr>
      <w:tr>
        <w:tc>
          <w:tcPr/>
          <w:p>
            <w:pPr>
              <w:pStyle w:val="Compact"/>
            </w:pPr>
            <w:r>
              <w:rPr>
                <w:rStyle w:val="VerbatimChar"/>
              </w:rPr>
              <w:t xml:space="preserve">is_academic</w:t>
            </w:r>
          </w:p>
        </w:tc>
        <w:tc>
          <w:tcPr/>
          <w:p>
            <w:pPr>
              <w:pStyle w:val="Compact"/>
              <w:jc w:val="right"/>
            </w:pPr>
            <w:r>
              <w:t xml:space="preserve">67.4%</w:t>
            </w:r>
          </w:p>
        </w:tc>
      </w:tr>
      <w:tr>
        <w:tc>
          <w:tcPr/>
          <w:p>
            <w:pPr>
              <w:pStyle w:val="Compact"/>
            </w:pPr>
            <w:r>
              <w:rPr>
                <w:rStyle w:val="VerbatimChar"/>
              </w:rPr>
              <w:t xml:space="preserve">is_us_based</w:t>
            </w:r>
          </w:p>
        </w:tc>
        <w:tc>
          <w:tcPr/>
          <w:p>
            <w:pPr>
              <w:pStyle w:val="Compact"/>
              <w:jc w:val="right"/>
            </w:pPr>
            <w:r>
              <w:t xml:space="preserve">42.4%</w:t>
            </w:r>
          </w:p>
        </w:tc>
      </w:tr>
      <w:tr>
        <w:tc>
          <w:tcPr/>
          <w:p>
            <w:pPr>
              <w:pStyle w:val="Compact"/>
            </w:pPr>
            <w:r>
              <w:rPr>
                <w:rStyle w:val="VerbatimChar"/>
              </w:rPr>
              <w:t xml:space="preserve">log_sample_size</w:t>
            </w:r>
          </w:p>
        </w:tc>
        <w:tc>
          <w:tcPr/>
          <w:p>
            <w:pPr>
              <w:pStyle w:val="Compact"/>
              <w:jc w:val="right"/>
            </w:pPr>
            <w:r>
              <w:t xml:space="preserve">27.4%</w:t>
            </w:r>
          </w:p>
        </w:tc>
      </w:tr>
      <w:tr>
        <w:tc>
          <w:tcPr/>
          <w:p>
            <w:pPr>
              <w:pStyle w:val="Compact"/>
            </w:pPr>
            <w:r>
              <w:rPr>
                <w:rStyle w:val="VerbatimChar"/>
              </w:rPr>
              <w:t xml:space="preserve">is_multicenter</w:t>
            </w:r>
          </w:p>
        </w:tc>
        <w:tc>
          <w:tcPr/>
          <w:p>
            <w:pPr>
              <w:pStyle w:val="Compact"/>
              <w:jc w:val="right"/>
            </w:pPr>
            <w:r>
              <w:t xml:space="preserve">25.0%</w:t>
            </w:r>
          </w:p>
        </w:tc>
      </w:tr>
      <w:tr>
        <w:tc>
          <w:tcPr/>
          <w:p>
            <w:pPr>
              <w:pStyle w:val="Compact"/>
            </w:pPr>
            <w:r>
              <w:rPr>
                <w:rStyle w:val="VerbatimChar"/>
              </w:rPr>
              <w:t xml:space="preserve">gender_unified</w:t>
            </w:r>
          </w:p>
        </w:tc>
        <w:tc>
          <w:tcPr/>
          <w:p>
            <w:pPr>
              <w:pStyle w:val="Compact"/>
              <w:jc w:val="right"/>
            </w:pPr>
            <w:r>
              <w:t xml:space="preserve">17.0%</w:t>
            </w:r>
          </w:p>
        </w:tc>
      </w:tr>
    </w:tbl>
    <w:p>
      <w:pPr>
        <w:pStyle w:val="BodyText"/>
      </w:pPr>
      <w:r>
        <w:rPr>
          <w:b/>
          <w:bCs/>
        </w:rPr>
        <w:t xml:space="preserve">Leave-one-congress-out</w:t>
      </w:r>
      <w:r>
        <w:t xml:space="preserve">, the model refitted twelve times dropping each</w:t>
      </w:r>
      <w:r>
        <w:t xml:space="preserve"> </w:t>
      </w:r>
      <w:r>
        <w:t xml:space="preserve">congress in turn, for all seven terms — 84 refits, all converged, no term</w:t>
      </w:r>
      <w:r>
        <w:t xml:space="preserve"> </w:t>
      </w:r>
      <w:r>
        <w:t xml:space="preserve">changing direction. This matters specifically because 2017 and 2018 have no</w:t>
      </w:r>
      <w:r>
        <w:t xml:space="preserve"> </w:t>
      </w:r>
      <w:r>
        <w:t xml:space="preserve">recoverable abstract text and their covariates are near-constant; a finding</w:t>
      </w:r>
      <w:r>
        <w:t xml:space="preserve"> </w:t>
      </w:r>
      <w:r>
        <w:t xml:space="preserve">resting on either would be an artefact.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ratio range</w:t>
            </w:r>
          </w:p>
        </w:tc>
        <w:tc>
          <w:tcPr/>
          <w:p>
            <w:pPr>
              <w:pStyle w:val="Compact"/>
              <w:jc w:val="right"/>
            </w:pPr>
            <w:r>
              <w:t xml:space="preserve">significant in</w:t>
            </w:r>
          </w:p>
        </w:tc>
      </w:tr>
      <w:tr>
        <w:tc>
          <w:tcPr/>
          <w:p>
            <w:pPr>
              <w:pStyle w:val="Compact"/>
            </w:pPr>
            <w:r>
              <w:rPr>
                <w:rStyle w:val="VerbatimChar"/>
              </w:rPr>
              <w:t xml:space="preserve">is_rctTRUE</w:t>
            </w:r>
          </w:p>
        </w:tc>
        <w:tc>
          <w:tcPr/>
          <w:p>
            <w:pPr>
              <w:pStyle w:val="Compact"/>
            </w:pPr>
            <w:r>
              <w:t xml:space="preserve">2.12 – 3.21</w:t>
            </w:r>
          </w:p>
        </w:tc>
        <w:tc>
          <w:tcPr/>
          <w:p>
            <w:pPr>
              <w:pStyle w:val="Compact"/>
              <w:jc w:val="right"/>
            </w:pPr>
            <w:r>
              <w:t xml:space="preserve">12 / 12</w:t>
            </w:r>
          </w:p>
        </w:tc>
      </w:tr>
      <w:tr>
        <w:tc>
          <w:tcPr/>
          <w:p>
            <w:pPr>
              <w:pStyle w:val="Compact"/>
            </w:pPr>
            <w:r>
              <w:rPr>
                <w:rStyle w:val="VerbatimChar"/>
              </w:rPr>
              <w:t xml:space="preserve">n_authors</w:t>
            </w:r>
          </w:p>
        </w:tc>
        <w:tc>
          <w:tcPr/>
          <w:p>
            <w:pPr>
              <w:pStyle w:val="Compact"/>
            </w:pPr>
            <w:r>
              <w:t xml:space="preserve">1.27 – 1.38</w:t>
            </w:r>
          </w:p>
        </w:tc>
        <w:tc>
          <w:tcPr/>
          <w:p>
            <w:pPr>
              <w:pStyle w:val="Compact"/>
              <w:jc w:val="right"/>
            </w:pPr>
            <w:r>
              <w:t xml:space="preserve">12 / 12</w:t>
            </w:r>
          </w:p>
        </w:tc>
      </w:tr>
      <w:tr>
        <w:tc>
          <w:tcPr/>
          <w:p>
            <w:pPr>
              <w:pStyle w:val="Compact"/>
            </w:pPr>
            <w:r>
              <w:rPr>
                <w:rStyle w:val="VerbatimChar"/>
              </w:rPr>
              <w:t xml:space="preserve">is_academicTRUE</w:t>
            </w:r>
          </w:p>
        </w:tc>
        <w:tc>
          <w:tcPr/>
          <w:p>
            <w:pPr>
              <w:pStyle w:val="Compact"/>
            </w:pPr>
            <w:r>
              <w:t xml:space="preserve">0.55 – 0.66</w:t>
            </w:r>
          </w:p>
        </w:tc>
        <w:tc>
          <w:tcPr/>
          <w:p>
            <w:pPr>
              <w:pStyle w:val="Compact"/>
              <w:jc w:val="right"/>
            </w:pPr>
            <w:r>
              <w:t xml:space="preserve">12 / 12</w:t>
            </w:r>
          </w:p>
        </w:tc>
      </w:tr>
      <w:tr>
        <w:tc>
          <w:tcPr/>
          <w:p>
            <w:pPr>
              <w:pStyle w:val="Compact"/>
            </w:pPr>
            <w:r>
              <w:rPr>
                <w:rStyle w:val="VerbatimChar"/>
              </w:rPr>
              <w:t xml:space="preserve">is_us_basedTRUE</w:t>
            </w:r>
          </w:p>
        </w:tc>
        <w:tc>
          <w:tcPr/>
          <w:p>
            <w:pPr>
              <w:pStyle w:val="Compact"/>
            </w:pPr>
            <w:r>
              <w:t xml:space="preserve">1.15 – 5.31</w:t>
            </w:r>
          </w:p>
        </w:tc>
        <w:tc>
          <w:tcPr/>
          <w:p>
            <w:pPr>
              <w:pStyle w:val="Compact"/>
              <w:jc w:val="right"/>
            </w:pPr>
            <w:r>
              <w:t xml:space="preserve">3 / 12</w:t>
            </w:r>
          </w:p>
        </w:tc>
      </w:tr>
      <w:tr>
        <w:tc>
          <w:tcPr/>
          <w:p>
            <w:pPr>
              <w:pStyle w:val="Compact"/>
            </w:pPr>
            <w:r>
              <w:rPr>
                <w:rStyle w:val="VerbatimChar"/>
              </w:rPr>
              <w:t xml:space="preserve">is_multicenterTRUE</w:t>
            </w:r>
          </w:p>
        </w:tc>
        <w:tc>
          <w:tcPr/>
          <w:p>
            <w:pPr>
              <w:pStyle w:val="Compact"/>
            </w:pPr>
            <w:r>
              <w:t xml:space="preserve">1.28 – 1.82</w:t>
            </w:r>
          </w:p>
        </w:tc>
        <w:tc>
          <w:tcPr/>
          <w:p>
            <w:pPr>
              <w:pStyle w:val="Compact"/>
              <w:jc w:val="right"/>
            </w:pPr>
            <w:r>
              <w:t xml:space="preserve">0 / 12</w:t>
            </w:r>
          </w:p>
        </w:tc>
      </w:tr>
      <w:tr>
        <w:tc>
          <w:tcPr/>
          <w:p>
            <w:pPr>
              <w:pStyle w:val="Compact"/>
            </w:pPr>
            <w:r>
              <w:rPr>
                <w:rStyle w:val="VerbatimChar"/>
              </w:rPr>
              <w:t xml:space="preserve">gender_unifiedmale</w:t>
            </w:r>
          </w:p>
        </w:tc>
        <w:tc>
          <w:tcPr/>
          <w:p>
            <w:pPr>
              <w:pStyle w:val="Compact"/>
            </w:pPr>
            <w:r>
              <w:t xml:space="preserve">0.78 – 0.90</w:t>
            </w:r>
          </w:p>
        </w:tc>
        <w:tc>
          <w:tcPr/>
          <w:p>
            <w:pPr>
              <w:pStyle w:val="Compact"/>
              <w:jc w:val="right"/>
            </w:pPr>
            <w:r>
              <w:t xml:space="preserve">0 / 12</w:t>
            </w:r>
          </w:p>
        </w:tc>
      </w:tr>
      <w:tr>
        <w:tc>
          <w:tcPr/>
          <w:p>
            <w:pPr>
              <w:pStyle w:val="Compact"/>
            </w:pPr>
            <w:r>
              <w:rPr>
                <w:rStyle w:val="VerbatimChar"/>
              </w:rPr>
              <w:t xml:space="preserve">log_sample_size</w:t>
            </w:r>
          </w:p>
        </w:tc>
        <w:tc>
          <w:tcPr/>
          <w:p>
            <w:pPr>
              <w:pStyle w:val="Compact"/>
            </w:pPr>
            <w:r>
              <w:t xml:space="preserve">0.92 – 0.97</w:t>
            </w:r>
          </w:p>
        </w:tc>
        <w:tc>
          <w:tcPr/>
          <w:p>
            <w:pPr>
              <w:pStyle w:val="Compact"/>
              <w:jc w:val="right"/>
            </w:pPr>
            <w:r>
              <w:t xml:space="preserve">1 / 12</w:t>
            </w:r>
          </w:p>
        </w:tc>
      </w:tr>
    </w:tbl>
    <w:p>
      <w:pPr>
        <w:pStyle w:val="BodyText"/>
      </w:pPr>
      <w:r>
        <w:t xml:space="preserve">The two diagnostics disagree about</w:t>
      </w:r>
      <w:r>
        <w:t xml:space="preserve"> </w:t>
      </w:r>
      <w:r>
        <w:rPr>
          <w:rStyle w:val="VerbatimChar"/>
        </w:rPr>
        <w:t xml:space="preserve">is_academic</w:t>
      </w:r>
      <w:r>
        <w:t xml:space="preserve">, and the disagreement is the</w:t>
      </w:r>
      <w:r>
        <w:t xml:space="preserve"> </w:t>
      </w:r>
      <w:r>
        <w:t xml:space="preserve">useful part. It is significant in</w:t>
      </w:r>
      <w:r>
        <w:t xml:space="preserve"> </w:t>
      </w:r>
      <w:r>
        <w:rPr>
          <w:b/>
          <w:bCs/>
        </w:rPr>
        <w:t xml:space="preserve">all twelve</w:t>
      </w:r>
      <w:r>
        <w:t xml:space="preserve"> </w:t>
      </w:r>
      <w:r>
        <w:t xml:space="preserve">congress-drop refits, so it is</w:t>
      </w:r>
      <w:r>
        <w:t xml:space="preserve"> </w:t>
      </w:r>
      <w:r>
        <w:t xml:space="preserve">not driven by any single congress, but survives only</w:t>
      </w:r>
      <w:r>
        <w:t xml:space="preserve"> </w:t>
      </w:r>
      <w:r>
        <w:rPr>
          <w:b/>
          <w:bCs/>
        </w:rPr>
        <w:t xml:space="preserve">67.4%</w:t>
      </w:r>
      <w:r>
        <w:t xml:space="preserve"> </w:t>
      </w:r>
      <w:r>
        <w:t xml:space="preserve">of bootstrap</w:t>
      </w:r>
      <w:r>
        <w:t xml:space="preserve"> </w:t>
      </w:r>
      <w:r>
        <w:t xml:space="preserve">resamples, so it is sensitive to which</w:t>
      </w:r>
      <w:r>
        <w:t xml:space="preserve"> </w:t>
      </w:r>
      <w:r>
        <w:rPr>
          <w:i/>
          <w:iCs/>
        </w:rPr>
        <w:t xml:space="preserve">abstracts</w:t>
      </w:r>
      <w:r>
        <w:t xml:space="preserve"> </w:t>
      </w:r>
      <w:r>
        <w:t xml:space="preserve">are drawn. They measure</w:t>
      </w:r>
      <w:r>
        <w:t xml:space="preserve"> </w:t>
      </w:r>
      <w:r>
        <w:t xml:space="preserve">different things.</w:t>
      </w:r>
      <w:r>
        <w:t xml:space="preserve"> </w:t>
      </w:r>
      <w:r>
        <w:rPr>
          <w:rStyle w:val="VerbatimChar"/>
        </w:rPr>
        <w:t xml:space="preserve">is_academic</w:t>
      </w:r>
      <w:r>
        <w:t xml:space="preserve"> </w:t>
      </w:r>
      <w:r>
        <w:t xml:space="preserve">should be reported with that qualification</w:t>
      </w:r>
      <w:r>
        <w:t xml:space="preserve"> </w:t>
      </w:r>
      <w:r>
        <w:t xml:space="preserve">rather than as a headline.</w:t>
      </w:r>
      <w:r>
        <w:t xml:space="preserve"> </w:t>
      </w:r>
      <w:r>
        <w:rPr>
          <w:rStyle w:val="VerbatimChar"/>
        </w:rPr>
        <w:t xml:space="preserve">is_rct</w:t>
      </w:r>
      <w:r>
        <w:t xml:space="preserve"> </w:t>
      </w:r>
      <w:r>
        <w:t xml:space="preserve">and</w:t>
      </w:r>
      <w:r>
        <w:t xml:space="preserve"> </w:t>
      </w:r>
      <w:r>
        <w:rPr>
          <w:rStyle w:val="VerbatimChar"/>
        </w:rPr>
        <w:t xml:space="preserve">n_authors</w:t>
      </w:r>
      <w:r>
        <w:t xml:space="preserve"> </w:t>
      </w:r>
      <w:r>
        <w:t xml:space="preserve">pass both.</w:t>
      </w:r>
    </w:p>
    <w:bookmarkEnd w:id="192"/>
    <w:bookmarkStart w:id="193" w:name="a15.6-missing-data"/>
    <w:p>
      <w:pPr>
        <w:pStyle w:val="Heading3"/>
      </w:pPr>
      <w:r>
        <w:t xml:space="preserve">A15.6 Missing data</w:t>
      </w:r>
    </w:p>
    <w:p>
      <w:pPr>
        <w:pStyle w:val="FirstParagraph"/>
      </w:pPr>
      <w:r>
        <w:t xml:space="preserve">The Methods stated</w:t>
      </w:r>
      <w:r>
        <w:t xml:space="preserve"> </w:t>
      </w:r>
      <w:r>
        <w:t xml:space="preserve">“complete-case throughout, no imputation”</w:t>
      </w:r>
      <w:r>
        <w:t xml:space="preserve"> </w:t>
      </w:r>
      <w:r>
        <w:t xml:space="preserve">and reported no</w:t>
      </w:r>
      <w:r>
        <w:t xml:space="preserve"> </w:t>
      </w:r>
      <w:r>
        <w:t xml:space="preserve">missingness table and no mechanism test.</w:t>
      </w:r>
      <w:r>
        <w:t xml:space="preserve"> </w:t>
      </w:r>
      <w:r>
        <w:rPr>
          <w:rStyle w:val="VerbatimChar"/>
        </w:rPr>
        <w:t xml:space="preserve">R/06b_missingness.R</w:t>
      </w:r>
      <w:r>
        <w:t xml:space="preserve"> </w:t>
      </w:r>
      <w:r>
        <w:t xml:space="preserve">produces both.</w:t>
      </w:r>
    </w:p>
    <w:p>
      <w:pPr>
        <w:pStyle w:val="BodyText"/>
      </w:pPr>
      <w:r>
        <w:t xml:space="preserve">Little’s MCAR test over the numeric block gives chi-square 28.8, df 7,</w:t>
      </w:r>
      <w:r>
        <w:t xml:space="preserve"> </w:t>
      </w:r>
      <w:r>
        <w:rPr>
          <w:b/>
          <w:bCs/>
        </w:rPr>
        <w:t xml:space="preserve">p = 0.00015</w:t>
      </w:r>
      <w:r>
        <w:t xml:space="preserve"> </w:t>
      </w:r>
      <w:r>
        <w:t xml:space="preserve">— MCAR is rejected. Two caveats travel with that and are written</w:t>
      </w:r>
      <w:r>
        <w:t xml:space="preserve"> </w:t>
      </w:r>
      <w:r>
        <w:t xml:space="preserve">into</w:t>
      </w:r>
      <w:r>
        <w:t xml:space="preserve"> </w:t>
      </w:r>
      <w:r>
        <w:rPr>
          <w:rStyle w:val="VerbatimChar"/>
        </w:rPr>
        <w:t xml:space="preserve">output/missingness_mcar.csv</w:t>
      </w:r>
      <w:r>
        <w:t xml:space="preserve"> </w:t>
      </w:r>
      <w:r>
        <w:t xml:space="preserve">rather than left implicit: the test covers</w:t>
      </w:r>
      <w:r>
        <w:t xml:space="preserve"> </w:t>
      </w:r>
      <w:r>
        <w:t xml:space="preserve">only the numeric variables, and at N = 1,106 it is powered enough to reject on</w:t>
      </w:r>
      <w:r>
        <w:t xml:space="preserve"> </w:t>
      </w:r>
      <w:r>
        <w:t xml:space="preserve">minor deviations.</w:t>
      </w:r>
    </w:p>
    <w:p>
      <w:pPr>
        <w:pStyle w:val="BodyText"/>
      </w:pPr>
      <w:r>
        <w:t xml:space="preserve">More consequentially, the script tests the assumption the denominator rests on</w:t>
      </w:r>
      <w:r>
        <w:t xml:space="preserve"> </w:t>
      </w:r>
      <w:r>
        <w:t xml:space="preserve">by comparing the 55 unresolved abstracts against the 1,051 evaluated across</w:t>
      </w:r>
      <w:r>
        <w:t xml:space="preserve"> </w:t>
      </w:r>
      <w:r>
        <w:t xml:space="preserve">every model covariate: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covariate</w:t>
            </w:r>
          </w:p>
        </w:tc>
        <w:tc>
          <w:tcPr/>
          <w:p>
            <w:pPr>
              <w:pStyle w:val="Compact"/>
              <w:jc w:val="right"/>
            </w:pPr>
            <w:r>
              <w:t xml:space="preserve">unresolved</w:t>
            </w:r>
          </w:p>
        </w:tc>
        <w:tc>
          <w:tcPr/>
          <w:p>
            <w:pPr>
              <w:pStyle w:val="Compact"/>
              <w:jc w:val="right"/>
            </w:pPr>
            <w:r>
              <w:t xml:space="preserve">evaluated</w:t>
            </w:r>
          </w:p>
        </w:tc>
        <w:tc>
          <w:tcPr/>
          <w:p>
            <w:pPr>
              <w:pStyle w:val="Compact"/>
              <w:jc w:val="right"/>
            </w:pPr>
            <w:r>
              <w:t xml:space="preserve">p</w:t>
            </w:r>
          </w:p>
        </w:tc>
        <w:tc>
          <w:tcPr/>
          <w:p>
            <w:pPr>
              <w:pStyle w:val="Compact"/>
            </w:pPr>
          </w:p>
        </w:tc>
      </w:tr>
      <w:tr>
        <w:tc>
          <w:tcPr/>
          <w:p>
            <w:pPr>
              <w:pStyle w:val="Compact"/>
            </w:pPr>
            <w:r>
              <w:rPr>
                <w:rStyle w:val="VerbatimChar"/>
              </w:rPr>
              <w:t xml:space="preserve">study_design</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0.0004</w:t>
            </w:r>
          </w:p>
        </w:tc>
        <w:tc>
          <w:tcPr/>
          <w:p>
            <w:pPr>
              <w:pStyle w:val="Compact"/>
            </w:pPr>
            <w:r>
              <w:rPr>
                <w:b/>
                <w:bCs/>
              </w:rPr>
              <w:t xml:space="preserve">substantive</w:t>
            </w:r>
          </w:p>
        </w:tc>
      </w:tr>
      <w:tr>
        <w:tc>
          <w:tcPr/>
          <w:p>
            <w:pPr>
              <w:pStyle w:val="Compact"/>
            </w:pPr>
            <w:r>
              <w:rPr>
                <w:rStyle w:val="VerbatimChar"/>
              </w:rPr>
              <w:t xml:space="preserve">n_authors</w:t>
            </w:r>
          </w:p>
        </w:tc>
        <w:tc>
          <w:tcPr/>
          <w:p>
            <w:pPr>
              <w:pStyle w:val="Compact"/>
              <w:jc w:val="right"/>
            </w:pPr>
            <w:r>
              <w:t xml:space="preserve">3.51</w:t>
            </w:r>
          </w:p>
        </w:tc>
        <w:tc>
          <w:tcPr/>
          <w:p>
            <w:pPr>
              <w:pStyle w:val="Compact"/>
              <w:jc w:val="right"/>
            </w:pPr>
            <w:r>
              <w:t xml:space="preserve">3.90</w:t>
            </w:r>
          </w:p>
        </w:tc>
        <w:tc>
          <w:tcPr/>
          <w:p>
            <w:pPr>
              <w:pStyle w:val="Compact"/>
              <w:jc w:val="right"/>
            </w:pPr>
            <w:r>
              <w:t xml:space="preserve">0.013</w:t>
            </w:r>
          </w:p>
        </w:tc>
        <w:tc>
          <w:tcPr/>
          <w:p>
            <w:pPr>
              <w:pStyle w:val="Compact"/>
            </w:pPr>
            <w:r>
              <w:rPr>
                <w:b/>
                <w:bCs/>
              </w:rPr>
              <w:t xml:space="preserve">substantive</w:t>
            </w:r>
          </w:p>
        </w:tc>
      </w:tr>
      <w:tr>
        <w:tc>
          <w:tcPr/>
          <w:p>
            <w:pPr>
              <w:pStyle w:val="Compact"/>
            </w:pPr>
            <w:r>
              <w:rPr>
                <w:rStyle w:val="VerbatimChar"/>
              </w:rPr>
              <w:t xml:space="preserve">best_score</w:t>
            </w:r>
          </w:p>
        </w:tc>
        <w:tc>
          <w:tcPr/>
          <w:p>
            <w:pPr>
              <w:pStyle w:val="Compact"/>
              <w:jc w:val="right"/>
            </w:pPr>
            <w:r>
              <w:t xml:space="preserve">4.72</w:t>
            </w:r>
          </w:p>
        </w:tc>
        <w:tc>
          <w:tcPr/>
          <w:p>
            <w:pPr>
              <w:pStyle w:val="Compact"/>
              <w:jc w:val="right"/>
            </w:pPr>
            <w:r>
              <w:t xml:space="preserve">3.23</w:t>
            </w:r>
          </w:p>
        </w:tc>
        <w:tc>
          <w:tcPr/>
          <w:p>
            <w:pPr>
              <w:pStyle w:val="Compact"/>
              <w:jc w:val="right"/>
            </w:pPr>
            <w:r>
              <w:t xml:space="preserve">&lt;0.001</w:t>
            </w:r>
          </w:p>
        </w:tc>
        <w:tc>
          <w:tcPr/>
          <w:p>
            <w:pPr>
              <w:pStyle w:val="Compact"/>
            </w:pPr>
            <w:r>
              <w:t xml:space="preserve">definitional</w:t>
            </w:r>
          </w:p>
        </w:tc>
      </w:tr>
      <w:tr>
        <w:tc>
          <w:tcPr/>
          <w:p>
            <w:pPr>
              <w:pStyle w:val="Compact"/>
            </w:pPr>
            <w:r>
              <w:rPr>
                <w:rStyle w:val="VerbatimChar"/>
              </w:rPr>
              <w:t xml:space="preserve">n_candidates</w:t>
            </w:r>
          </w:p>
        </w:tc>
        <w:tc>
          <w:tcPr/>
          <w:p>
            <w:pPr>
              <w:pStyle w:val="Compact"/>
              <w:jc w:val="right"/>
            </w:pPr>
            <w:r>
              <w:t xml:space="preserve">94.6</w:t>
            </w:r>
          </w:p>
        </w:tc>
        <w:tc>
          <w:tcPr/>
          <w:p>
            <w:pPr>
              <w:pStyle w:val="Compact"/>
              <w:jc w:val="right"/>
            </w:pPr>
            <w:r>
              <w:t xml:space="preserve">56.6</w:t>
            </w:r>
          </w:p>
        </w:tc>
        <w:tc>
          <w:tcPr/>
          <w:p>
            <w:pPr>
              <w:pStyle w:val="Compact"/>
              <w:jc w:val="right"/>
            </w:pPr>
            <w:r>
              <w:t xml:space="preserve">0.22</w:t>
            </w:r>
          </w:p>
        </w:tc>
        <w:tc>
          <w:tcPr/>
          <w:p>
            <w:pPr>
              <w:pStyle w:val="Compact"/>
            </w:pPr>
            <w:r>
              <w:t xml:space="preserve">definitional</w:t>
            </w:r>
          </w:p>
        </w:tc>
      </w:tr>
    </w:tbl>
    <w:p>
      <w:pPr>
        <w:pStyle w:val="BodyText"/>
      </w:pPr>
      <w:r>
        <w:rPr>
          <w:rStyle w:val="VerbatimChar"/>
        </w:rPr>
        <w:t xml:space="preserve">best_score</w:t>
      </w:r>
      <w:r>
        <w:t xml:space="preserve"> </w:t>
      </w:r>
      <w:r>
        <w:t xml:space="preserve">and</w:t>
      </w:r>
      <w:r>
        <w:t xml:space="preserve"> </w:t>
      </w:r>
      <w:r>
        <w:rPr>
          <w:rStyle w:val="VerbatimChar"/>
        </w:rPr>
        <w:t xml:space="preserve">n_candidates</w:t>
      </w:r>
      <w:r>
        <w:t xml:space="preserve"> </w:t>
      </w:r>
      <w:r>
        <w:t xml:space="preserve">must differ: the unresolved are the mid-score</w:t>
      </w:r>
      <w:r>
        <w:t xml:space="preserve"> </w:t>
      </w:r>
      <w:r>
        <w:t xml:space="preserve">band by construction and the comparison group holds 709</w:t>
      </w:r>
      <w:r>
        <w:t xml:space="preserve"> </w:t>
      </w:r>
      <w:r>
        <w:rPr>
          <w:rStyle w:val="VerbatimChar"/>
        </w:rPr>
        <w:t xml:space="preserve">no_match</w:t>
      </w:r>
      <w:r>
        <w:t xml:space="preserve"> </w:t>
      </w:r>
      <w:r>
        <w:t xml:space="preserve">abstracts.</w:t>
      </w:r>
      <w:r>
        <w:t xml:space="preserve"> </w:t>
      </w:r>
      <w:r>
        <w:t xml:space="preserve">They are labelled definitional and excluded from the verdict.</w:t>
      </w:r>
    </w:p>
    <w:p>
      <w:pPr>
        <w:pStyle w:val="BodyText"/>
      </w:pPr>
      <w:r>
        <w:rPr>
          <w:b/>
          <w:bCs/>
        </w:rPr>
        <w:t xml:space="preserve">The 55 are not missing completely at random.</w:t>
      </w:r>
      <w:r>
        <w:t xml:space="preserve"> </w:t>
      </w:r>
      <w:r>
        <w:t xml:space="preserve">They differ on</w:t>
      </w:r>
      <w:r>
        <w:t xml:space="preserve"> </w:t>
      </w:r>
      <w:r>
        <w:rPr>
          <w:rStyle w:val="VerbatimChar"/>
        </w:rPr>
        <w:t xml:space="preserve">study_design</w:t>
      </w:r>
      <w:r>
        <w:t xml:space="preserve"> </w:t>
      </w:r>
      <w:r>
        <w:t xml:space="preserve">and on</w:t>
      </w:r>
      <w:r>
        <w:t xml:space="preserve"> </w:t>
      </w:r>
      <w:r>
        <w:rPr>
          <w:rStyle w:val="VerbatimChar"/>
        </w:rPr>
        <w:t xml:space="preserve">n_authors</w:t>
      </w:r>
      <w:r>
        <w:t xml:space="preserve">, and</w:t>
      </w:r>
      <w:r>
        <w:t xml:space="preserve"> </w:t>
      </w:r>
      <w:r>
        <w:rPr>
          <w:rStyle w:val="VerbatimChar"/>
        </w:rPr>
        <w:t xml:space="preserve">n_authors</w:t>
      </w:r>
      <w:r>
        <w:t xml:space="preserve"> </w:t>
      </w:r>
      <w:r>
        <w:t xml:space="preserve">is a significant predictor in both models.</w:t>
      </w:r>
      <w:r>
        <w:t xml:space="preserve"> </w:t>
      </w:r>
      <w:r>
        <w:t xml:space="preserve">Dropping them from the denominator assumes missing-at-random</w:t>
      </w:r>
      <w:r>
        <w:t xml:space="preserve"> </w:t>
      </w:r>
      <w:r>
        <w:rPr>
          <w:i/>
          <w:iCs/>
        </w:rPr>
        <w:t xml:space="preserve">given the observed</w:t>
      </w:r>
      <w:r>
        <w:rPr>
          <w:i/>
          <w:iCs/>
        </w:rPr>
        <w:t xml:space="preserve"> </w:t>
      </w:r>
      <w:r>
        <w:rPr>
          <w:i/>
          <w:iCs/>
        </w:rPr>
        <w:t xml:space="preserve">data</w:t>
      </w:r>
      <w:r>
        <w:t xml:space="preserve">, which is weaker and untestable. The bounds in A13 — 16.1% if all were</w:t>
      </w:r>
      <w:r>
        <w:t xml:space="preserve"> </w:t>
      </w:r>
      <w:r>
        <w:t xml:space="preserve">unpublished, 21.1% if all were published — are the honest envelope, and this</w:t>
      </w:r>
      <w:r>
        <w:t xml:space="preserve"> </w:t>
      </w:r>
      <w:r>
        <w:t xml:space="preserve">result is the reason to quote them.</w:t>
      </w:r>
    </w:p>
    <w:bookmarkEnd w:id="193"/>
    <w:bookmarkStart w:id="194" w:name="X246f9010855e97a42de4a4bd99cdda120c13eb6"/>
    <w:p>
      <w:pPr>
        <w:pStyle w:val="Heading3"/>
      </w:pPr>
      <w:r>
        <w:t xml:space="preserve">A15.7 Structural fixes with no effect on the numbers</w:t>
      </w:r>
    </w:p>
    <w:p>
      <w:pPr>
        <w:pStyle w:val="Compact"/>
        <w:numPr>
          <w:ilvl w:val="0"/>
          <w:numId w:val="1011"/>
        </w:numPr>
      </w:pPr>
      <w:r>
        <w:rPr>
          <w:rStyle w:val="VerbatimChar"/>
          <w:b/>
          <w:bCs/>
        </w:rPr>
        <w:t xml:space="preserve">R/05_adjudicate.R</w:t>
      </w:r>
      <w:r>
        <w:rPr>
          <w:b/>
          <w:bCs/>
        </w:rPr>
        <w:t xml:space="preserve"> </w:t>
      </w:r>
      <w:r>
        <w:rPr>
          <w:b/>
          <w:bCs/>
        </w:rPr>
        <w:t xml:space="preserve">no longer destroys the enrichment columns.</w:t>
      </w:r>
      <w:r>
        <w:t xml:space="preserve"> </w:t>
      </w:r>
      <w:r>
        <w:t xml:space="preserve">It rebuilds</w:t>
      </w:r>
      <w:r>
        <w:t xml:space="preserve"> </w:t>
      </w:r>
      <w:r>
        <w:rPr>
          <w:rStyle w:val="VerbatimChar"/>
        </w:rPr>
        <w:t xml:space="preserve">output/abstracts_with_matches.csv</w:t>
      </w:r>
      <w:r>
        <w:t xml:space="preserve"> </w:t>
      </w:r>
      <w:r>
        <w:t xml:space="preserve">from scratch with 46 columns while six</w:t>
      </w:r>
      <w:r>
        <w:t xml:space="preserve"> </w:t>
      </w:r>
      <w:r>
        <w:t xml:space="preserve">later stages add the rest in place, so re-running step 5 alone used to delete</w:t>
      </w:r>
      <w:r>
        <w:t xml:space="preserve"> </w:t>
      </w:r>
      <w:r>
        <w:t xml:space="preserve">41 columns and</w:t>
      </w:r>
      <w:r>
        <w:t xml:space="preserve"> </w:t>
      </w:r>
      <w:r>
        <w:rPr>
          <w:rStyle w:val="VerbatimChar"/>
        </w:rPr>
        <w:t xml:space="preserve">06</w:t>
      </w:r>
      <w:r>
        <w:t xml:space="preserve"> </w:t>
      </w:r>
      <w:r>
        <w:t xml:space="preserve">would then silently drop those model terms. It now</w:t>
      </w:r>
      <w:r>
        <w:t xml:space="preserve"> </w:t>
      </w:r>
      <w:r>
        <w:t xml:space="preserve">re-joins any column it does not own.</w:t>
      </w:r>
    </w:p>
    <w:p>
      <w:pPr>
        <w:pStyle w:val="Compact"/>
        <w:numPr>
          <w:ilvl w:val="0"/>
          <w:numId w:val="1011"/>
        </w:numPr>
      </w:pPr>
      <w:r>
        <w:rPr>
          <w:rStyle w:val="VerbatimChar"/>
          <w:b/>
          <w:bCs/>
        </w:rPr>
        <w:t xml:space="preserve">00_run_all.R</w:t>
      </w:r>
      <w:r>
        <w:rPr>
          <w:b/>
          <w:bCs/>
        </w:rPr>
        <w:t xml:space="preserve"> </w:t>
      </w:r>
      <w:r>
        <w:rPr>
          <w:b/>
          <w:bCs/>
        </w:rPr>
        <w:t xml:space="preserve">runs the demographics merge.</w:t>
      </w:r>
      <w:r>
        <w:t xml:space="preserve"> </w:t>
      </w:r>
      <w:r>
        <w:rPr>
          <w:rStyle w:val="VerbatimChar"/>
        </w:rPr>
        <w:t xml:space="preserve">R/10e_merge_demographics.R</w:t>
      </w:r>
      <w:r>
        <w:t xml:space="preserve"> </w:t>
      </w:r>
      <w:r>
        <w:t xml:space="preserve">and its four upstream scripts were reachable only through</w:t>
      </w:r>
      <w:r>
        <w:t xml:space="preserve"> </w:t>
      </w:r>
      <w:r>
        <w:rPr>
          <w:rStyle w:val="VerbatimChar"/>
        </w:rPr>
        <w:t xml:space="preserve">R/run_demographics.R</w:t>
      </w:r>
      <w:r>
        <w:t xml:space="preserve">, so a clean run of the master pipeline produced a</w:t>
      </w:r>
      <w:r>
        <w:t xml:space="preserve"> </w:t>
      </w:r>
      <w:r>
        <w:t xml:space="preserve">dataset with no</w:t>
      </w:r>
      <w:r>
        <w:t xml:space="preserve"> </w:t>
      </w:r>
      <w:r>
        <w:rPr>
          <w:rStyle w:val="VerbatimChar"/>
        </w:rPr>
        <w:t xml:space="preserve">gender_unified</w:t>
      </w:r>
      <w:r>
        <w:t xml:space="preserve">, no</w:t>
      </w:r>
      <w:r>
        <w:t xml:space="preserve"> </w:t>
      </w:r>
      <w:r>
        <w:rPr>
          <w:rStyle w:val="VerbatimChar"/>
        </w:rPr>
        <w:t xml:space="preserve">npi_*</w:t>
      </w:r>
      <w:r>
        <w:t xml:space="preserve"> </w:t>
      </w:r>
      <w:r>
        <w:t xml:space="preserve">and no</w:t>
      </w:r>
      <w:r>
        <w:t xml:space="preserve"> </w:t>
      </w:r>
      <w:r>
        <w:rPr>
          <w:rStyle w:val="VerbatimChar"/>
        </w:rPr>
        <w:t xml:space="preserve">state_unified</w:t>
      </w:r>
      <w:r>
        <w:t xml:space="preserve">.</w:t>
      </w:r>
    </w:p>
    <w:p>
      <w:pPr>
        <w:pStyle w:val="Compact"/>
        <w:numPr>
          <w:ilvl w:val="0"/>
          <w:numId w:val="1011"/>
        </w:numPr>
      </w:pPr>
      <w:r>
        <w:rPr>
          <w:rStyle w:val="VerbatimChar"/>
          <w:b/>
          <w:bCs/>
        </w:rPr>
        <w:t xml:space="preserve">07</w:t>
      </w:r>
      <w:r>
        <w:rPr>
          <w:b/>
          <w:bCs/>
        </w:rPr>
        <w:t xml:space="preserve"> </w:t>
      </w:r>
      <w:r>
        <w:rPr>
          <w:b/>
          <w:bCs/>
        </w:rPr>
        <w:t xml:space="preserve">and</w:t>
      </w:r>
      <w:r>
        <w:rPr>
          <w:b/>
          <w:bCs/>
        </w:rPr>
        <w:t xml:space="preserve"> </w:t>
      </w:r>
      <w:r>
        <w:rPr>
          <w:rStyle w:val="VerbatimChar"/>
          <w:b/>
          <w:bCs/>
        </w:rPr>
        <w:t xml:space="preserve">08</w:t>
      </w:r>
      <w:r>
        <w:rPr>
          <w:b/>
          <w:bCs/>
        </w:rPr>
        <w:t xml:space="preserve"> </w:t>
      </w:r>
      <w:r>
        <w:rPr>
          <w:b/>
          <w:bCs/>
        </w:rPr>
        <w:t xml:space="preserve">source</w:t>
      </w:r>
      <w:r>
        <w:rPr>
          <w:b/>
          <w:bCs/>
        </w:rPr>
        <w:t xml:space="preserve"> </w:t>
      </w:r>
      <w:r>
        <w:rPr>
          <w:rStyle w:val="VerbatimChar"/>
          <w:b/>
          <w:bCs/>
        </w:rPr>
        <w:t xml:space="preserve">R/utils_decisions.R</w:t>
      </w:r>
      <w:r>
        <w:t xml:space="preserve"> </w:t>
      </w:r>
      <w:r>
        <w:t xml:space="preserve">instead of each carrying an</w:t>
      </w:r>
      <w:r>
        <w:t xml:space="preserve"> </w:t>
      </w:r>
      <w:r>
        <w:t xml:space="preserve">inline copy of the outcome cascade that omitted the human-outranks-AUTO rule.</w:t>
      </w:r>
    </w:p>
    <w:p>
      <w:pPr>
        <w:pStyle w:val="Compact"/>
        <w:numPr>
          <w:ilvl w:val="0"/>
          <w:numId w:val="1011"/>
        </w:numPr>
      </w:pPr>
      <w:r>
        <w:rPr>
          <w:rStyle w:val="VerbatimChar"/>
          <w:b/>
          <w:bCs/>
        </w:rPr>
        <w:t xml:space="preserve">result_positivity</w:t>
      </w:r>
      <w:r>
        <w:rPr>
          <w:b/>
          <w:bCs/>
        </w:rPr>
        <w:t xml:space="preserve"> </w:t>
      </w:r>
      <w:r>
        <w:rPr>
          <w:b/>
          <w:bCs/>
        </w:rPr>
        <w:t xml:space="preserve">restored</w:t>
      </w:r>
      <w:r>
        <w:t xml:space="preserve"> </w:t>
      </w:r>
      <w:r>
        <w:t xml:space="preserve">to</w:t>
      </w:r>
      <w:r>
        <w:t xml:space="preserve"> </w:t>
      </w:r>
      <w:r>
        <w:rPr>
          <w:rStyle w:val="VerbatimChar"/>
        </w:rPr>
        <w:t xml:space="preserve">05</w:t>
      </w:r>
      <w:r>
        <w:t xml:space="preserve">’s</w:t>
      </w:r>
      <w:r>
        <w:t xml:space="preserve"> </w:t>
      </w:r>
      <w:r>
        <w:rPr>
          <w:rStyle w:val="VerbatimChar"/>
        </w:rPr>
        <w:t xml:space="preserve">select()</w:t>
      </w:r>
      <w:r>
        <w:t xml:space="preserve">, so the Aim 5</w:t>
      </w:r>
      <w:r>
        <w:t xml:space="preserve"> </w:t>
      </w:r>
      <w:r>
        <w:t xml:space="preserve">publication-bias block runs again after being silently gated off since</w:t>
      </w:r>
      <w:r>
        <w:t xml:space="preserve"> </w:t>
      </w:r>
      <w:r>
        <w:t xml:space="preserve">17 April 2026.</w:t>
      </w:r>
    </w:p>
    <w:p>
      <w:pPr>
        <w:pStyle w:val="Compact"/>
        <w:numPr>
          <w:ilvl w:val="0"/>
          <w:numId w:val="1011"/>
        </w:numPr>
      </w:pPr>
      <w:r>
        <w:rPr>
          <w:rStyle w:val="VerbatimChar"/>
          <w:b/>
          <w:bCs/>
        </w:rPr>
        <w:t xml:space="preserve">subspecialty_unified</w:t>
      </w:r>
      <w:r>
        <w:rPr>
          <w:b/>
          <w:bCs/>
        </w:rPr>
        <w:t xml:space="preserve"> </w:t>
      </w:r>
      <w:r>
        <w:rPr>
          <w:b/>
          <w:bCs/>
        </w:rPr>
        <w:t xml:space="preserve">harmonised</w:t>
      </w:r>
      <w:r>
        <w:t xml:space="preserve"> </w:t>
      </w:r>
      <w:r>
        <w:t xml:space="preserve">from 13 levels to 8.</w:t>
      </w:r>
      <w:r>
        <w:t xml:space="preserve"> </w:t>
      </w:r>
      <w:r>
        <w:rPr>
          <w:rStyle w:val="VerbatimChar"/>
        </w:rPr>
        <w:t xml:space="preserve">MIG</w:t>
      </w:r>
      <w:r>
        <w:t xml:space="preserve">/</w:t>
      </w:r>
      <w:r>
        <w:rPr>
          <w:rStyle w:val="VerbatimChar"/>
        </w:rPr>
        <w:t xml:space="preserve">MIGS</w:t>
      </w:r>
      <w:r>
        <w:t xml:space="preserve">,</w:t>
      </w:r>
      <w:r>
        <w:t xml:space="preserve"> </w:t>
      </w:r>
      <w:r>
        <w:rPr>
          <w:rStyle w:val="VerbatimChar"/>
        </w:rPr>
        <w:t xml:space="preserve">FPMRS</w:t>
      </w:r>
      <w:r>
        <w:t xml:space="preserve"> </w:t>
      </w:r>
      <w:r>
        <w:t xml:space="preserve">and its spelled-out form,</w:t>
      </w:r>
      <w:r>
        <w:t xml:space="preserve"> </w:t>
      </w:r>
      <w:r>
        <w:rPr>
          <w:rStyle w:val="VerbatimChar"/>
        </w:rPr>
        <w:t xml:space="preserve">Generalist</w:t>
      </w:r>
      <w:r>
        <w:t xml:space="preserve">/</w:t>
      </w:r>
      <w:r>
        <w:rPr>
          <w:rStyle w:val="VerbatimChar"/>
        </w:rPr>
        <w:t xml:space="preserve">general_OBGYN</w:t>
      </w:r>
      <w:r>
        <w:t xml:space="preserve"> </w:t>
      </w:r>
      <w:r>
        <w:t xml:space="preserve">were splitting</w:t>
      </w:r>
      <w:r>
        <w:t xml:space="preserve"> </w:t>
      </w:r>
      <w:r>
        <w:t xml:space="preserve">real categories in two.</w:t>
      </w:r>
    </w:p>
    <w:p>
      <w:pPr>
        <w:pStyle w:val="Compact"/>
        <w:numPr>
          <w:ilvl w:val="0"/>
          <w:numId w:val="1011"/>
        </w:numPr>
      </w:pPr>
      <w:r>
        <w:rPr>
          <w:b/>
          <w:bCs/>
        </w:rPr>
        <w:t xml:space="preserve">Thirteen joins in</w:t>
      </w:r>
      <w:r>
        <w:rPr>
          <w:b/>
          <w:bCs/>
        </w:rPr>
        <w:t xml:space="preserve"> </w:t>
      </w:r>
      <w:r>
        <w:rPr>
          <w:rStyle w:val="VerbatimChar"/>
          <w:b/>
          <w:bCs/>
        </w:rPr>
        <w:t xml:space="preserve">10e</w:t>
      </w:r>
      <w:r>
        <w:t xml:space="preserve"> </w:t>
      </w:r>
      <w:r>
        <w:t xml:space="preserve">now validate key uniqueness on the right table</w:t>
      </w:r>
      <w:r>
        <w:t xml:space="preserve"> </w:t>
      </w:r>
      <w:r>
        <w:t xml:space="preserve">before joining rather than checking the row count afterwards.</w:t>
      </w:r>
    </w:p>
    <w:p>
      <w:pPr>
        <w:pStyle w:val="Compact"/>
        <w:numPr>
          <w:ilvl w:val="0"/>
          <w:numId w:val="1011"/>
        </w:numPr>
      </w:pPr>
      <w:r>
        <w:rPr>
          <w:b/>
          <w:bCs/>
        </w:rPr>
        <w:t xml:space="preserve">The Shiny deploy verifies before it can publish</w:t>
      </w:r>
      <w:r>
        <w:t xml:space="preserve"> </w:t>
      </w:r>
      <w:r>
        <w:t xml:space="preserve">and is opt-in behind</w:t>
      </w:r>
      <w:r>
        <w:t xml:space="preserve"> </w:t>
      </w:r>
      <w:r>
        <w:rPr>
          <w:rStyle w:val="VerbatimChar"/>
        </w:rPr>
        <w:t xml:space="preserve">SHINY_DEPLOY</w:t>
      </w:r>
      <w:r>
        <w:t xml:space="preserve">. The bundle had been 135 days stale, so reviewers were</w:t>
      </w:r>
      <w:r>
        <w:t xml:space="preserve"> </w:t>
      </w:r>
      <w:r>
        <w:t xml:space="preserve">adjudicating against a pre-denominator-fix cohort and a candidate pool missing</w:t>
      </w:r>
      <w:r>
        <w:t xml:space="preserve"> </w:t>
      </w:r>
      <w:r>
        <w:t xml:space="preserve">283 winning PMIDs.</w:t>
      </w:r>
    </w:p>
    <w:bookmarkEnd w:id="194"/>
    <w:bookmarkStart w:id="195" w:name="a15.8-borrowed-code"/>
    <w:p>
      <w:pPr>
        <w:pStyle w:val="Heading3"/>
      </w:pPr>
      <w:r>
        <w:t xml:space="preserve">A15.8 Borrowed code</w:t>
      </w:r>
    </w:p>
    <w:p>
      <w:pPr>
        <w:pStyle w:val="FirstParagraph"/>
      </w:pPr>
      <w:r>
        <w:t xml:space="preserve">Five functions come from the</w:t>
      </w:r>
      <w:r>
        <w:t xml:space="preserve"> </w:t>
      </w:r>
      <w:r>
        <w:rPr>
          <w:rStyle w:val="VerbatimChar"/>
        </w:rPr>
        <w:t xml:space="preserve">mysterycall</w:t>
      </w:r>
      <w:r>
        <w:t xml:space="preserve"> </w:t>
      </w:r>
      <w:r>
        <w:t xml:space="preserve">package, pinned at commit</w:t>
      </w:r>
      <w:r>
        <w:t xml:space="preserve"> </w:t>
      </w:r>
      <w:r>
        <w:rPr>
          <w:rStyle w:val="VerbatimChar"/>
        </w:rPr>
        <w:t xml:space="preserve">42d66d92</w:t>
      </w:r>
      <w:r>
        <w:t xml:space="preserve"> </w:t>
      </w:r>
      <w:r>
        <w:t xml:space="preserve">in</w:t>
      </w:r>
      <w:r>
        <w:t xml:space="preserve"> </w:t>
      </w:r>
      <w:r>
        <w:rPr>
          <w:rStyle w:val="VerbatimChar"/>
        </w:rPr>
        <w:t xml:space="preserve">docs/REPRODUCIBILITY.md</w:t>
      </w:r>
      <w:r>
        <w:t xml:space="preserve">. Every use degrades to the previous</w:t>
      </w:r>
      <w:r>
        <w:t xml:space="preserve"> </w:t>
      </w:r>
      <w:r>
        <w:t xml:space="preserve">behaviour if the package is absent.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what it replaced</w:t>
            </w:r>
          </w:p>
        </w:tc>
      </w:tr>
      <w:tr>
        <w:tc>
          <w:tcPr/>
          <w:p>
            <w:pPr>
              <w:pStyle w:val="Compact"/>
            </w:pPr>
            <w:r>
              <w:rPr>
                <w:rStyle w:val="VerbatimChar"/>
              </w:rPr>
              <w:t xml:space="preserve">mysterycall_nppes_gender()</w:t>
            </w:r>
          </w:p>
        </w:tc>
        <w:tc>
          <w:tcPr/>
          <w:p>
            <w:pPr>
              <w:pStyle w:val="Compact"/>
            </w:pPr>
            <w:r>
              <w:t xml:space="preserve">the unregenerable ABOG gender column (A15.3)</w:t>
            </w:r>
          </w:p>
        </w:tc>
      </w:tr>
      <w:tr>
        <w:tc>
          <w:tcPr/>
          <w:p>
            <w:pPr>
              <w:pStyle w:val="Compact"/>
            </w:pPr>
            <w:r>
              <w:rPr>
                <w:rStyle w:val="VerbatimChar"/>
              </w:rPr>
              <w:t xml:space="preserve">mysterycall_table1()</w:t>
            </w:r>
          </w:p>
        </w:tc>
        <w:tc>
          <w:tcPr/>
          <w:p>
            <w:pPr>
              <w:pStyle w:val="Compact"/>
            </w:pPr>
            <w:r>
              <w:t xml:space="preserve">a five-variable summarise with no test, now 35 rows over 10 variables with p-values</w:t>
            </w:r>
          </w:p>
        </w:tc>
      </w:tr>
      <w:tr>
        <w:tc>
          <w:tcPr/>
          <w:p>
            <w:pPr>
              <w:pStyle w:val="Compact"/>
            </w:pPr>
            <w:r>
              <w:rPr>
                <w:rStyle w:val="VerbatimChar"/>
              </w:rPr>
              <w:t xml:space="preserve">mysterycall_safe_left_join()</w:t>
            </w:r>
          </w:p>
        </w:tc>
        <w:tc>
          <w:tcPr/>
          <w:p>
            <w:pPr>
              <w:pStyle w:val="Compact"/>
            </w:pPr>
            <w:r>
              <w:t xml:space="preserve">a row-count assertion after the fact</w:t>
            </w:r>
          </w:p>
        </w:tc>
      </w:tr>
      <w:tr>
        <w:tc>
          <w:tcPr/>
          <w:p>
            <w:pPr>
              <w:pStyle w:val="Compact"/>
            </w:pPr>
            <w:r>
              <w:rPr>
                <w:rStyle w:val="VerbatimChar"/>
              </w:rPr>
              <w:t xml:space="preserve">build_missingness_mcar_table()</w:t>
            </w:r>
          </w:p>
        </w:tc>
        <w:tc>
          <w:tcPr/>
          <w:p>
            <w:pPr>
              <w:pStyle w:val="Compact"/>
            </w:pPr>
            <w:r>
              <w:t xml:space="preserve">nothing — there was no missingness reporting (A15.6)</w:t>
            </w:r>
          </w:p>
        </w:tc>
      </w:tr>
      <w:tr>
        <w:tc>
          <w:tcPr/>
          <w:p>
            <w:pPr>
              <w:pStyle w:val="Compact"/>
            </w:pPr>
            <w:r>
              <w:rPr>
                <w:rStyle w:val="VerbatimChar"/>
              </w:rPr>
              <w:t xml:space="preserve">mysterycall_bootstrap_predictor_stability()</w:t>
            </w:r>
            <w:r>
              <w:t xml:space="preserve">,</w:t>
            </w:r>
            <w:r>
              <w:t xml:space="preserve"> </w:t>
            </w:r>
            <w:r>
              <w:rPr>
                <w:rStyle w:val="VerbatimChar"/>
              </w:rPr>
              <w:t xml:space="preserve">mysterycall_leave_one_out()</w:t>
            </w:r>
          </w:p>
        </w:tc>
        <w:tc>
          <w:tcPr/>
          <w:p>
            <w:pPr>
              <w:pStyle w:val="Compact"/>
            </w:pPr>
            <w:r>
              <w:t xml:space="preserve">nothing — there were no stability diagnostics (A15.5)</w:t>
            </w:r>
          </w:p>
        </w:tc>
      </w:tr>
      <w:tr>
        <w:tc>
          <w:tcPr/>
          <w:p>
            <w:pPr>
              <w:pStyle w:val="Compact"/>
            </w:pPr>
            <w:r>
              <w:rPr>
                <w:rStyle w:val="VerbatimChar"/>
              </w:rPr>
              <w:t xml:space="preserve">mysterycall_remove_near_zero()</w:t>
            </w:r>
          </w:p>
        </w:tc>
        <w:tc>
          <w:tcPr/>
          <w:p>
            <w:pPr>
              <w:pStyle w:val="Compact"/>
            </w:pPr>
            <w:r>
              <w:t xml:space="preserve">a judgement call about sparse terms, now a rule (A15.4)</w:t>
            </w:r>
          </w:p>
        </w:tc>
      </w:tr>
      <w:tr>
        <w:tc>
          <w:tcPr/>
          <w:p>
            <w:pPr>
              <w:pStyle w:val="Compact"/>
            </w:pPr>
            <w:r>
              <w:rPr>
                <w:rStyle w:val="VerbatimChar"/>
              </w:rPr>
              <w:t xml:space="preserve">mysterycall_session_snapshot()</w:t>
            </w:r>
          </w:p>
        </w:tc>
        <w:tc>
          <w:tcPr/>
          <w:p>
            <w:pPr>
              <w:pStyle w:val="Compact"/>
            </w:pPr>
            <w:r>
              <w:t xml:space="preserve">nothing — the environment was unrecorded</w:t>
            </w:r>
          </w:p>
        </w:tc>
      </w:tr>
    </w:tbl>
    <w:p>
      <w:pPr>
        <w:pStyle w:val="BodyText"/>
      </w:pPr>
      <w:r>
        <w:t xml:space="preserve">Assessed and</w:t>
      </w:r>
      <w:r>
        <w:t xml:space="preserve"> </w:t>
      </w:r>
      <w:r>
        <w:rPr>
          <w:b/>
          <w:bCs/>
        </w:rPr>
        <w:t xml:space="preserve">not</w:t>
      </w:r>
      <w:r>
        <w:t xml:space="preserve"> </w:t>
      </w:r>
      <w:r>
        <w:t xml:space="preserve">taken:</w:t>
      </w:r>
      <w:r>
        <w:t xml:space="preserve"> </w:t>
      </w:r>
      <w:r>
        <w:rPr>
          <w:rStyle w:val="VerbatimChar"/>
        </w:rPr>
        <w:t xml:space="preserve">model_metrics()</w:t>
      </w:r>
      <w:r>
        <w:t xml:space="preserve"> </w:t>
      </w:r>
      <w:r>
        <w:t xml:space="preserve">returns only MAE and RMSE;</w:t>
      </w:r>
      <w:r>
        <w:t xml:space="preserve"> </w:t>
      </w:r>
      <w:r>
        <w:rPr>
          <w:rStyle w:val="VerbatimChar"/>
        </w:rPr>
        <w:t xml:space="preserve">parse_physician_name()</w:t>
      </w:r>
      <w:r>
        <w:t xml:space="preserve"> </w:t>
      </w:r>
      <w:r>
        <w:t xml:space="preserve">is no better than</w:t>
      </w:r>
      <w:r>
        <w:t xml:space="preserve"> </w:t>
      </w:r>
      <w:r>
        <w:rPr>
          <w:rStyle w:val="VerbatimChar"/>
        </w:rPr>
        <w:t xml:space="preserve">normalize_author()</w:t>
      </w:r>
      <w:r>
        <w:t xml:space="preserve"> </w:t>
      </w:r>
      <w:r>
        <w:t xml:space="preserve">on these author</w:t>
      </w:r>
      <w:r>
        <w:t xml:space="preserve"> </w:t>
      </w:r>
      <w:r>
        <w:t xml:space="preserve">strings; the</w:t>
      </w:r>
      <w:r>
        <w:t xml:space="preserve"> </w:t>
      </w:r>
      <w:r>
        <w:rPr>
          <w:rStyle w:val="VerbatimChar"/>
        </w:rPr>
        <w:t xml:space="preserve">utils-logging</w:t>
      </w:r>
      <w:r>
        <w:t xml:space="preserve"> </w:t>
      </w:r>
      <w:r>
        <w:t xml:space="preserve">functions are not exported;</w:t>
      </w:r>
      <w:r>
        <w:t xml:space="preserve"> </w:t>
      </w:r>
      <w:r>
        <w:rPr>
          <w:rStyle w:val="VerbatimChar"/>
        </w:rPr>
        <w:t xml:space="preserve">verify_artifact()</w:t>
      </w:r>
      <w:r>
        <w:t xml:space="preserve"> </w:t>
      </w:r>
      <w:r>
        <w:t xml:space="preserve">requires the package’s own audit JSON;</w:t>
      </w:r>
      <w:r>
        <w:t xml:space="preserve"> </w:t>
      </w:r>
      <w:r>
        <w:rPr>
          <w:rStyle w:val="VerbatimChar"/>
        </w:rPr>
        <w:t xml:space="preserve">exclusion_summary()</w:t>
      </w:r>
      <w:r>
        <w:t xml:space="preserve"> </w:t>
      </w:r>
      <w:r>
        <w:t xml:space="preserve">and</w:t>
      </w:r>
      <w:r>
        <w:t xml:space="preserve"> </w:t>
      </w:r>
      <w:r>
        <w:rPr>
          <w:rStyle w:val="VerbatimChar"/>
        </w:rPr>
        <w:t xml:space="preserve">reconcile_inclusion()</w:t>
      </w:r>
      <w:r>
        <w:t xml:space="preserve"> </w:t>
      </w:r>
      <w:r>
        <w:t xml:space="preserve">are hard-wired to mystery-caller exclusion codes.</w:t>
      </w:r>
    </w:p>
    <w:p>
      <w:pPr>
        <w:pStyle w:val="BodyText"/>
      </w:pPr>
      <w:r>
        <w:t xml:space="preserve">One useful negative:</w:t>
      </w:r>
      <w:r>
        <w:t xml:space="preserve"> </w:t>
      </w:r>
      <w:r>
        <w:rPr>
          <w:rStyle w:val="VerbatimChar"/>
        </w:rPr>
        <w:t xml:space="preserve">mysterycall_flag_near_duplicate_keys()</w:t>
      </w:r>
      <w:r>
        <w:t xml:space="preserve"> </w:t>
      </w:r>
      <w:r>
        <w:t xml:space="preserve">over all 1,106</w:t>
      </w:r>
      <w:r>
        <w:t xml:space="preserve"> </w:t>
      </w:r>
      <w:r>
        <w:t xml:space="preserve">titles found</w:t>
      </w:r>
      <w:r>
        <w:t xml:space="preserve"> </w:t>
      </w:r>
      <w:r>
        <w:rPr>
          <w:b/>
          <w:bCs/>
        </w:rPr>
        <w:t xml:space="preserve">zero</w:t>
      </w:r>
      <w:r>
        <w:t xml:space="preserve"> </w:t>
      </w:r>
      <w:r>
        <w:t xml:space="preserve">near-duplicate pairs. The cohort holds no duplicate</w:t>
      </w:r>
      <w:r>
        <w:t xml:space="preserve"> </w:t>
      </w:r>
      <w:r>
        <w:t xml:space="preserve">submissions, and the two 2019</w:t>
      </w:r>
      <w:r>
        <w:t xml:space="preserve"> </w:t>
      </w:r>
      <w:r>
        <w:t xml:space="preserve">“Occult Uterine Malignancy”</w:t>
      </w:r>
      <w:r>
        <w:t xml:space="preserve"> </w:t>
      </w:r>
      <w:r>
        <w:t xml:space="preserve">abstracts that share a</w:t>
      </w:r>
      <w:r>
        <w:t xml:space="preserve"> </w:t>
      </w:r>
      <w:r>
        <w:t xml:space="preserve">publication are genuinely different abstracts rather than a duplication error.</w:t>
      </w:r>
    </w:p>
    <w:bookmarkEnd w:id="195"/>
    <w:bookmarkStart w:id="196" w:name="a15.9-what-was-deliberately-not-fixed"/>
    <w:p>
      <w:pPr>
        <w:pStyle w:val="Heading3"/>
      </w:pPr>
      <w:r>
        <w:t xml:space="preserve">A15.9 What was deliberately not fixed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why</w:t>
            </w:r>
          </w:p>
        </w:tc>
      </w:tr>
      <w:tr>
        <w:tc>
          <w:tcPr/>
          <w:p>
            <w:pPr>
              <w:pStyle w:val="Compact"/>
            </w:pPr>
            <w:r>
              <w:rPr>
                <w:b/>
                <w:bCs/>
              </w:rPr>
              <w:t xml:space="preserve">Cohort truncation (A14, F1)</w:t>
            </w:r>
          </w:p>
        </w:tc>
        <w:tc>
          <w:tcPr/>
          <w:p>
            <w:pPr>
              <w:pStyle w:val="Compact"/>
            </w:pPr>
            <w:r>
              <w:t xml:space="preserve">Re-ingesting the supplements would expand the cohort several-fold and require the entire search and human adjudication to be redone.</w:t>
            </w:r>
          </w:p>
        </w:tc>
      </w:tr>
      <w:tr>
        <w:tc>
          <w:tcPr/>
          <w:p>
            <w:pPr>
              <w:pStyle w:val="Compact"/>
            </w:pPr>
            <w:r>
              <w:rPr>
                <w:b/>
                <w:bCs/>
              </w:rPr>
              <w:t xml:space="preserve">The inert</w:t>
            </w:r>
            <w:r>
              <w:rPr>
                <w:b/>
                <w:bCs/>
              </w:rPr>
              <w:t xml:space="preserve"> </w:t>
            </w:r>
            <w:r>
              <w:rPr>
                <w:rStyle w:val="VerbatimChar"/>
                <w:b/>
                <w:bCs/>
              </w:rPr>
              <w:t xml:space="preserve">keyword_pts</w:t>
            </w:r>
            <w:r>
              <w:rPr>
                <w:b/>
                <w:bCs/>
              </w:rPr>
              <w:t xml:space="preserve"> </w:t>
            </w:r>
            <w:r>
              <w:rPr>
                <w:b/>
                <w:bCs/>
              </w:rPr>
              <w:t xml:space="preserve">component</w:t>
            </w:r>
          </w:p>
        </w:tc>
        <w:tc>
          <w:tcPr/>
          <w:p>
            <w:pPr>
              <w:pStyle w:val="Compact"/>
            </w:pPr>
            <w:r>
              <w:rPr>
                <w:rStyle w:val="VerbatimChar"/>
              </w:rPr>
              <w:t xml:space="preserve">keyword_pts</w:t>
            </w:r>
            <w:r>
              <w:t xml:space="preserve"> </w:t>
            </w:r>
            <w:r>
              <w:t xml:space="preserve">is 0 for all 1,106 abstracts, so the</w:t>
            </w:r>
            <w:r>
              <w:t xml:space="preserve"> </w:t>
            </w:r>
            <w:r>
              <w:t xml:space="preserve">“10-component”</w:t>
            </w:r>
            <w:r>
              <w:t xml:space="preserve"> </w:t>
            </w:r>
            <w:r>
              <w:t xml:space="preserve">score has nine live components. Fixing it changes every score and therefore every classification, invalidating the adjudication.</w:t>
            </w:r>
          </w:p>
        </w:tc>
      </w:tr>
      <w:tr>
        <w:tc>
          <w:tcPr/>
          <w:p>
            <w:pPr>
              <w:pStyle w:val="Compact"/>
            </w:pPr>
            <w:r>
              <w:rPr>
                <w:rStyle w:val="VerbatimChar"/>
                <w:b/>
                <w:bCs/>
              </w:rPr>
              <w:t xml:space="preserve">ArticleDate</w:t>
            </w:r>
            <w:r>
              <w:rPr>
                <w:b/>
                <w:bCs/>
              </w:rPr>
              <w:t xml:space="preserve"> </w:t>
            </w:r>
            <w:r>
              <w:rPr>
                <w:b/>
                <w:bCs/>
              </w:rPr>
              <w:t xml:space="preserve">for publication dating (F14)</w:t>
            </w:r>
          </w:p>
        </w:tc>
        <w:tc>
          <w:tcPr/>
          <w:p>
            <w:pPr>
              <w:pStyle w:val="Compact"/>
            </w:pPr>
            <w:r>
              <w:t xml:space="preserve">Same re-scoring consequence. Eleven pre-congress exclusions rest on year-only dates resolved to 1 January.</w:t>
            </w:r>
          </w:p>
        </w:tc>
      </w:tr>
      <w:tr>
        <w:tc>
          <w:tcPr/>
          <w:p>
            <w:pPr>
              <w:pStyle w:val="Compact"/>
            </w:pPr>
            <w:r>
              <w:rPr>
                <w:b/>
                <w:bCs/>
              </w:rPr>
              <w:t xml:space="preserve">Three PMIDs credited to two abstracts each (F17)</w:t>
            </w:r>
          </w:p>
        </w:tc>
        <w:tc>
          <w:tcPr/>
          <w:p>
            <w:pPr>
              <w:pStyle w:val="Compact"/>
            </w:pPr>
            <w:r>
              <w:t xml:space="preserve">Deciding which abstract owns each PMID is adjudication. Surfaced in</w:t>
            </w:r>
            <w:r>
              <w:t xml:space="preserve"> </w:t>
            </w:r>
            <w:r>
              <w:rPr>
                <w:rStyle w:val="VerbatimChar"/>
              </w:rPr>
              <w:t xml:space="preserve">final_pmid_shared</w:t>
            </w:r>
            <w:r>
              <w:t xml:space="preserve"> </w:t>
            </w:r>
            <w:r>
              <w:t xml:space="preserve">and</w:t>
            </w:r>
            <w:r>
              <w:t xml:space="preserve"> </w:t>
            </w:r>
            <w:r>
              <w:rPr>
                <w:rStyle w:val="VerbatimChar"/>
              </w:rPr>
              <w:t xml:space="preserve">output/shared_publication_matches.csv</w:t>
            </w:r>
            <w:r>
              <w:t xml:space="preserve">. One is counted published against an explicit reviewer</w:t>
            </w:r>
            <w:r>
              <w:t xml:space="preserve"> </w:t>
            </w:r>
            <w:r>
              <w:rPr>
                <w:rStyle w:val="VerbatimChar"/>
              </w:rPr>
              <w:t xml:space="preserve">no_match</w:t>
            </w:r>
            <w:r>
              <w:t xml:space="preserve">.</w:t>
            </w:r>
          </w:p>
        </w:tc>
      </w:tr>
      <w:tr>
        <w:tc>
          <w:tcPr/>
          <w:p>
            <w:pPr>
              <w:pStyle w:val="Compact"/>
            </w:pPr>
            <w:r>
              <w:rPr>
                <w:b/>
                <w:bCs/>
              </w:rPr>
              <w:t xml:space="preserve">The proportional-hazards violation (A15.4)</w:t>
            </w:r>
          </w:p>
        </w:tc>
        <w:tc>
          <w:tcPr/>
          <w:p>
            <w:pPr>
              <w:pStyle w:val="Compact"/>
            </w:pPr>
            <w:r>
              <w:t xml:space="preserve">A modelling decision.</w:t>
            </w:r>
          </w:p>
        </w:tc>
      </w:tr>
      <w:tr>
        <w:tc>
          <w:tcPr/>
          <w:p>
            <w:pPr>
              <w:pStyle w:val="Compact"/>
            </w:pPr>
            <w:r>
              <w:rPr>
                <w:rStyle w:val="VerbatimChar"/>
                <w:b/>
                <w:bCs/>
              </w:rPr>
              <w:t xml:space="preserve">search_strategy_efficacy.csv</w:t>
            </w:r>
          </w:p>
        </w:tc>
        <w:tc>
          <w:tcPr/>
          <w:p>
            <w:pPr>
              <w:pStyle w:val="Compact"/>
            </w:pPr>
            <w:r>
              <w:t xml:space="preserve">Regenerating it means re-running the whole search layer.</w:t>
            </w:r>
          </w:p>
        </w:tc>
      </w:tr>
      <w:tr>
        <w:tc>
          <w:tcPr/>
          <w:p>
            <w:pPr>
              <w:pStyle w:val="Compact"/>
            </w:pPr>
            <w:r>
              <w:rPr>
                <w:b/>
                <w:bCs/>
              </w:rPr>
              <w:t xml:space="preserve">The branch order in</w:t>
            </w:r>
            <w:r>
              <w:rPr>
                <w:b/>
                <w:bCs/>
              </w:rPr>
              <w:t xml:space="preserve"> </w:t>
            </w:r>
            <w:r>
              <w:rPr>
                <w:rStyle w:val="VerbatimChar"/>
                <w:b/>
                <w:bCs/>
              </w:rPr>
              <w:t xml:space="preserve">assign_final_published()</w:t>
            </w:r>
          </w:p>
        </w:tc>
        <w:tc>
          <w:tcPr/>
          <w:p>
            <w:pPr>
              <w:pStyle w:val="Compact"/>
            </w:pPr>
            <w:r>
              <w:rPr>
                <w:rStyle w:val="VerbatimChar"/>
              </w:rPr>
              <w:t xml:space="preserve">classification == "definite"</w:t>
            </w:r>
            <w:r>
              <w:t xml:space="preserve"> </w:t>
            </w:r>
            <w:r>
              <w:t xml:space="preserve">precedes every reviewer branch, so four reviewer</w:t>
            </w:r>
            <w:r>
              <w:t xml:space="preserve"> </w:t>
            </w:r>
            <w:r>
              <w:rPr>
                <w:rStyle w:val="VerbatimChar"/>
              </w:rPr>
              <w:t xml:space="preserve">no_match</w:t>
            </w:r>
            <w:r>
              <w:t xml:space="preserve"> </w:t>
            </w:r>
            <w:r>
              <w:t xml:space="preserve">and 44 reviewer</w:t>
            </w:r>
            <w:r>
              <w:t xml:space="preserve"> </w:t>
            </w:r>
            <w:r>
              <w:rPr>
                <w:rStyle w:val="VerbatimChar"/>
              </w:rPr>
              <w:t xml:space="preserve">skip</w:t>
            </w:r>
            <w:r>
              <w:t xml:space="preserve"> </w:t>
            </w:r>
            <w:r>
              <w:t xml:space="preserve">decisions are recorded as published. Reordering moves 48 abstracts.</w:t>
            </w:r>
          </w:p>
        </w:tc>
      </w:tr>
      <w:tr>
        <w:tc>
          <w:tcPr/>
          <w:p>
            <w:pPr>
              <w:pStyle w:val="Compact"/>
            </w:pPr>
            <w:r>
              <w:rPr>
                <w:b/>
                <w:bCs/>
              </w:rPr>
              <w:t xml:space="preserve">The live Shiny deployment</w:t>
            </w:r>
          </w:p>
        </w:tc>
        <w:tc>
          <w:tcPr/>
          <w:p>
            <w:pPr>
              <w:pStyle w:val="Compact"/>
            </w:pPr>
            <w:r>
              <w:t xml:space="preserve">An outward-facing publish to an application reviewers are using.</w:t>
            </w:r>
          </w:p>
        </w:tc>
      </w:tr>
    </w:tbl>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ufflyt/abstract_lifetime" TargetMode="External" /><Relationship Type="http://schemas.openxmlformats.org/officeDocument/2006/relationships/hyperlink" Id="rId160" Target="https://journals.lww.com/greenjournal/Pages/collectiondetails.aspx?TopicalCollectionId=128" TargetMode="External" /><Relationship Type="http://schemas.openxmlformats.org/officeDocument/2006/relationships/hyperlink" Id="rId144" Target="https://journals.lww.com/greenjournal/Pages/collectiondetails.aspx?TopicalCollectionId=129" TargetMode="External" /><Relationship Type="http://schemas.openxmlformats.org/officeDocument/2006/relationships/hyperlink" Id="rId158" Target="https://journals.lww.com/greenjournal/toc/2013/05001" TargetMode="External" /><Relationship Type="http://schemas.openxmlformats.org/officeDocument/2006/relationships/hyperlink" Id="rId157" Target="https://journals.lww.com/greenjournal/toc/2014/05001" TargetMode="External" /><Relationship Type="http://schemas.openxmlformats.org/officeDocument/2006/relationships/hyperlink" Id="rId156" Target="https://journals.lww.com/greenjournal/toc/2015/05001" TargetMode="External" /><Relationship Type="http://schemas.openxmlformats.org/officeDocument/2006/relationships/hyperlink" Id="rId143" Target="https://journals.lww.com/greenjournal/toc/2015/10001" TargetMode="External" /><Relationship Type="http://schemas.openxmlformats.org/officeDocument/2006/relationships/hyperlink" Id="rId155" Target="https://journals.lww.com/greenjournal/toc/2016/05001" TargetMode="External" /><Relationship Type="http://schemas.openxmlformats.org/officeDocument/2006/relationships/hyperlink" Id="rId142" Target="https://journals.lww.com/greenjournal/toc/2016/10001" TargetMode="External" /><Relationship Type="http://schemas.openxmlformats.org/officeDocument/2006/relationships/hyperlink" Id="rId154" Target="https://journals.lww.com/greenjournal/toc/2017/05001" TargetMode="External" /><Relationship Type="http://schemas.openxmlformats.org/officeDocument/2006/relationships/hyperlink" Id="rId141" Target="https://journals.lww.com/greenjournal/toc/2017/10001" TargetMode="External" /><Relationship Type="http://schemas.openxmlformats.org/officeDocument/2006/relationships/hyperlink" Id="rId153" Target="https://journals.lww.com/greenjournal/toc/2018/05001" TargetMode="External" /><Relationship Type="http://schemas.openxmlformats.org/officeDocument/2006/relationships/hyperlink" Id="rId140" Target="https://journals.lww.com/greenjournal/toc/2018/10001" TargetMode="External" /><Relationship Type="http://schemas.openxmlformats.org/officeDocument/2006/relationships/hyperlink" Id="rId152" Target="https://journals.lww.com/greenjournal/toc/2019/05001" TargetMode="External" /><Relationship Type="http://schemas.openxmlformats.org/officeDocument/2006/relationships/hyperlink" Id="rId139" Target="https://journals.lww.com/greenjournal/toc/2019/10001" TargetMode="External" /><Relationship Type="http://schemas.openxmlformats.org/officeDocument/2006/relationships/hyperlink" Id="rId151" Target="https://journals.lww.com/greenjournal/toc/2020/05001" TargetMode="External" /><Relationship Type="http://schemas.openxmlformats.org/officeDocument/2006/relationships/hyperlink" Id="rId138" Target="https://journals.lww.com/greenjournal/toc/2020/10001" TargetMode="External" /><Relationship Type="http://schemas.openxmlformats.org/officeDocument/2006/relationships/hyperlink" Id="rId150" Target="https://journals.lww.com/greenjournal/toc/2021/05001" TargetMode="External" /><Relationship Type="http://schemas.openxmlformats.org/officeDocument/2006/relationships/hyperlink" Id="rId137" Target="https://journals.lww.com/greenjournal/toc/2021/10001" TargetMode="External" /><Relationship Type="http://schemas.openxmlformats.org/officeDocument/2006/relationships/hyperlink" Id="rId149" Target="https://journals.lww.com/greenjournal/toc/2022/05001" TargetMode="External" /><Relationship Type="http://schemas.openxmlformats.org/officeDocument/2006/relationships/hyperlink" Id="rId136" Target="https://journals.lww.com/greenjournal/toc/2022/10001" TargetMode="External" /><Relationship Type="http://schemas.openxmlformats.org/officeDocument/2006/relationships/hyperlink" Id="rId148" Target="https://journals.lww.com/greenjournal/toc/2023/05001" TargetMode="External" /><Relationship Type="http://schemas.openxmlformats.org/officeDocument/2006/relationships/hyperlink" Id="rId135" Target="https://journals.lww.com/greenjournal/toc/2023/10001" TargetMode="External" /><Relationship Type="http://schemas.openxmlformats.org/officeDocument/2006/relationships/hyperlink" Id="rId31" Target="https://mufflyt.shinyapps.io/aagl-adjudication/" TargetMode="External" /><Relationship Type="http://schemas.openxmlformats.org/officeDocument/2006/relationships/hyperlink" Id="rId91" Target="https://publications.smfm.org/" TargetMode="External" /><Relationship Type="http://schemas.openxmlformats.org/officeDocument/2006/relationships/hyperlink" Id="rId159" Target="https://pubmed.ncbi.nlm.nih.gov/25756102/" TargetMode="External" /><Relationship Type="http://schemas.openxmlformats.org/officeDocument/2006/relationships/hyperlink" Id="rId102" Target="https://pubmed.ncbi.nlm.nih.gov/26141818/" TargetMode="External" /><Relationship Type="http://schemas.openxmlformats.org/officeDocument/2006/relationships/hyperlink" Id="rId101" Target="https://pubmed.ncbi.nlm.nih.gov/27477065/" TargetMode="External" /><Relationship Type="http://schemas.openxmlformats.org/officeDocument/2006/relationships/hyperlink" Id="rId100" Target="https://pubmed.ncbi.nlm.nih.gov/28757435/" TargetMode="External" /><Relationship Type="http://schemas.openxmlformats.org/officeDocument/2006/relationships/hyperlink" Id="rId99" Target="https://pubmed.ncbi.nlm.nih.gov/30031792/" TargetMode="External" /><Relationship Type="http://schemas.openxmlformats.org/officeDocument/2006/relationships/hyperlink" Id="rId98" Target="https://pubmed.ncbi.nlm.nih.gov/31348904/" TargetMode="External" /><Relationship Type="http://schemas.openxmlformats.org/officeDocument/2006/relationships/hyperlink" Id="rId97" Target="https://pubmed.ncbi.nlm.nih.gov/32707100/" TargetMode="External" /><Relationship Type="http://schemas.openxmlformats.org/officeDocument/2006/relationships/hyperlink" Id="rId96" Target="https://pubmed.ncbi.nlm.nih.gov/34289414/" TargetMode="External" /><Relationship Type="http://schemas.openxmlformats.org/officeDocument/2006/relationships/hyperlink" Id="rId95" Target="https://pubmed.ncbi.nlm.nih.gov/36403795/" TargetMode="External" /><Relationship Type="http://schemas.openxmlformats.org/officeDocument/2006/relationships/hyperlink" Id="rId94" Target="https://pubmed.ncbi.nlm.nih.gov/37821000/" TargetMode="External" /><Relationship Type="http://schemas.openxmlformats.org/officeDocument/2006/relationships/hyperlink" Id="rId126" Target="https://sasgog.org/2018-abstracts/" TargetMode="External" /><Relationship Type="http://schemas.openxmlformats.org/officeDocument/2006/relationships/hyperlink" Id="rId125" Target="https://sasgog.org/2019-abstracts/" TargetMode="External" /><Relationship Type="http://schemas.openxmlformats.org/officeDocument/2006/relationships/hyperlink" Id="rId124" Target="https://sasgog.org/2020-abstracts/" TargetMode="External" /><Relationship Type="http://schemas.openxmlformats.org/officeDocument/2006/relationships/hyperlink" Id="rId123" Target="https://sasgog.org/2021-abstracts/" TargetMode="External" /><Relationship Type="http://schemas.openxmlformats.org/officeDocument/2006/relationships/hyperlink" Id="rId122" Target="https://sasgog.org/2022-abstracts/" TargetMode="External" /><Relationship Type="http://schemas.openxmlformats.org/officeDocument/2006/relationships/hyperlink" Id="rId121" Target="https://sasgog.org/2023-abstracts/" TargetMode="External" /><Relationship Type="http://schemas.openxmlformats.org/officeDocument/2006/relationships/hyperlink" Id="rId128" Target="https://sasgog.org/about/" TargetMode="External" /><Relationship Type="http://schemas.openxmlformats.org/officeDocument/2006/relationships/hyperlink" Id="rId127" Target="https://sasgog.org/abstracts/" TargetMode="External" /><Relationship Type="http://schemas.openxmlformats.org/officeDocument/2006/relationships/hyperlink" Id="rId129" Target="https://sasgog.org/annual-meeting/" TargetMode="External" /><Relationship Type="http://schemas.openxmlformats.org/officeDocument/2006/relationships/hyperlink" Id="rId103" Target="https://societyfp.org/learning/annual-meeting/" TargetMode="External" /><Relationship Type="http://schemas.openxmlformats.org/officeDocument/2006/relationships/hyperlink" Id="rId134" Target="https://tools.apgo.org/abstract-catalog/" TargetMode="External" /><Relationship Type="http://schemas.openxmlformats.org/officeDocument/2006/relationships/hyperlink" Id="rId104" Target="https://www.contraceptionjournal.org/article/S0010-7824(18)30259-2/fulltext" TargetMode="External" /><Relationship Type="http://schemas.openxmlformats.org/officeDocument/2006/relationships/hyperlink" Id="rId118" Target="https://www.naspag.org/acrm-future-and-past" TargetMode="External" /><Relationship Type="http://schemas.openxmlformats.org/officeDocument/2006/relationships/hyperlink" Id="rId90" Target="https://www.sciencedirect.com/journal/american-journal-of-obstetrics-and-gynecology/vol/208/issue/1/suppl/S" TargetMode="External" /><Relationship Type="http://schemas.openxmlformats.org/officeDocument/2006/relationships/hyperlink" Id="rId89" Target="https://www.sciencedirect.com/journal/american-journal-of-obstetrics-and-gynecology/vol/210/issue/1/suppl/S" TargetMode="External" /><Relationship Type="http://schemas.openxmlformats.org/officeDocument/2006/relationships/hyperlink" Id="rId88" Target="https://www.sciencedirect.com/journal/american-journal-of-obstetrics-and-gynecology/vol/212/issue/1/suppl/S" TargetMode="External" /><Relationship Type="http://schemas.openxmlformats.org/officeDocument/2006/relationships/hyperlink" Id="rId87" Target="https://www.sciencedirect.com/journal/american-journal-of-obstetrics-and-gynecology/vol/214/issue/1/suppl/S" TargetMode="External" /><Relationship Type="http://schemas.openxmlformats.org/officeDocument/2006/relationships/hyperlink" Id="rId86" Target="https://www.sciencedirect.com/journal/american-journal-of-obstetrics-and-gynecology/vol/216/issue/1/suppl/S" TargetMode="External" /><Relationship Type="http://schemas.openxmlformats.org/officeDocument/2006/relationships/hyperlink" Id="rId85" Target="https://www.sciencedirect.com/journal/american-journal-of-obstetrics-and-gynecology/vol/218/issue/1/suppl/S" TargetMode="External" /><Relationship Type="http://schemas.openxmlformats.org/officeDocument/2006/relationships/hyperlink" Id="rId84" Target="https://www.sciencedirect.com/journal/american-journal-of-obstetrics-and-gynecology/vol/220/issue/1/suppl/S" TargetMode="External" /><Relationship Type="http://schemas.openxmlformats.org/officeDocument/2006/relationships/hyperlink" Id="rId83" Target="https://www.sciencedirect.com/journal/american-journal-of-obstetrics-and-gynecology/vol/222/issue/1/suppl/S" TargetMode="External" /><Relationship Type="http://schemas.openxmlformats.org/officeDocument/2006/relationships/hyperlink" Id="rId82" Target="https://www.sciencedirect.com/journal/american-journal-of-obstetrics-and-gynecology/vol/224/issue/2/suppl/S" TargetMode="External" /><Relationship Type="http://schemas.openxmlformats.org/officeDocument/2006/relationships/hyperlink" Id="rId81" Target="https://www.sciencedirect.com/journal/american-journal-of-obstetrics-and-gynecology/vol/226/issue/1/suppl/S" TargetMode="External" /><Relationship Type="http://schemas.openxmlformats.org/officeDocument/2006/relationships/hyperlink" Id="rId80" Target="https://www.sciencedirect.com/journal/american-journal-of-obstetrics-and-gynecology/vol/228/issue/1/suppl/S" TargetMode="External" /><Relationship Type="http://schemas.openxmlformats.org/officeDocument/2006/relationships/hyperlink" Id="rId117" Target="https://www.sciencedirect.com/journal/journal-of-pediatric-and-adolescent-gynecology" TargetMode="External" /><Relationship Type="http://schemas.openxmlformats.org/officeDocument/2006/relationships/hyperlink" Id="rId116" Target="https://www.sciencedirect.com/journal/journal-of-pediatric-and-adolescent-gynecology/vol/26/issue/2" TargetMode="External" /><Relationship Type="http://schemas.openxmlformats.org/officeDocument/2006/relationships/hyperlink" Id="rId115" Target="https://www.sciencedirect.com/journal/journal-of-pediatric-and-adolescent-gynecology/vol/27/issue/2" TargetMode="External" /><Relationship Type="http://schemas.openxmlformats.org/officeDocument/2006/relationships/hyperlink" Id="rId114" Target="https://www.sciencedirect.com/journal/journal-of-pediatric-and-adolescent-gynecology/vol/28/issue/2" TargetMode="External" /><Relationship Type="http://schemas.openxmlformats.org/officeDocument/2006/relationships/hyperlink" Id="rId113" Target="https://www.sciencedirect.com/journal/journal-of-pediatric-and-adolescent-gynecology/vol/29/issue/2" TargetMode="External" /><Relationship Type="http://schemas.openxmlformats.org/officeDocument/2006/relationships/hyperlink" Id="rId112" Target="https://www.sciencedirect.com/journal/journal-of-pediatric-and-adolescent-gynecology/vol/30/issue/2" TargetMode="External" /><Relationship Type="http://schemas.openxmlformats.org/officeDocument/2006/relationships/hyperlink" Id="rId111" Target="https://www.sciencedirect.com/journal/journal-of-pediatric-and-adolescent-gynecology/vol/31/issue/2" TargetMode="External" /><Relationship Type="http://schemas.openxmlformats.org/officeDocument/2006/relationships/hyperlink" Id="rId110" Target="https://www.sciencedirect.com/journal/journal-of-pediatric-and-adolescent-gynecology/vol/32/issue/2" TargetMode="External" /><Relationship Type="http://schemas.openxmlformats.org/officeDocument/2006/relationships/hyperlink" Id="rId109" Target="https://www.sciencedirect.com/journal/journal-of-pediatric-and-adolescent-gynecology/vol/33/issue/2" TargetMode="External" /><Relationship Type="http://schemas.openxmlformats.org/officeDocument/2006/relationships/hyperlink" Id="rId108" Target="https://www.sciencedirect.com/journal/journal-of-pediatric-and-adolescent-gynecology/vol/34/issue/2" TargetMode="External" /><Relationship Type="http://schemas.openxmlformats.org/officeDocument/2006/relationships/hyperlink" Id="rId107" Target="https://www.sciencedirect.com/journal/journal-of-pediatric-and-adolescent-gynecology/vol/35/issue/2" TargetMode="External" /><Relationship Type="http://schemas.openxmlformats.org/officeDocument/2006/relationships/hyperlink" Id="rId106" Target="https://www.sciencedirect.com/journal/journal-of-pediatric-and-adolescent-gynecology/vol/36/issue/2" TargetMode="External" /><Relationship Type="http://schemas.openxmlformats.org/officeDocument/2006/relationships/hyperlink" Id="rId145" Target="https://www.tandfonline.com/doi/full/10.1080/10401334.2015.11074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2026-09-04T02:53:31Z</dcterms:created>
  <dcterms:modified xsi:type="dcterms:W3CDTF">2026-09-04T02:53:31Z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03,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