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September 04, 2026</w:t>
      </w:r>
    </w:p>
    <w:bookmarkStart w:id="20" w:name="Xd974e705cbddffade6dfc3a1a175f1e16bb976a"/>
    <w:p>
      <w:pPr>
        <w:pStyle w:val="Heading2"/>
      </w:pPr>
      <w:r>
        <w:t xml:space="preserve">A0. Relationship to the</w:t>
      </w:r>
      <w:r>
        <w:t xml:space="preserve"> </w:t>
      </w:r>
      <w:r>
        <w:rPr>
          <w:rStyle w:val="VerbatimChar"/>
        </w:rPr>
        <w:t xml:space="preserve">docs/</w:t>
      </w:r>
      <w:r>
        <w:t xml:space="preserve"> </w:t>
      </w:r>
      <w:r>
        <w:t xml:space="preserve">reference set</w:t>
      </w:r>
    </w:p>
    <w:p>
      <w:pPr>
        <w:pStyle w:val="FirstParagraph"/>
      </w:pPr>
      <w:r>
        <w:t xml:space="preserve">This appendix is a</w:t>
      </w:r>
      <w:r>
        <w:t xml:space="preserve"> </w:t>
      </w:r>
      <w:r>
        <w:rPr>
          <w:b/>
          <w:bCs/>
        </w:rPr>
        <w:t xml:space="preserve">narrative supplement</w:t>
      </w:r>
      <w:r>
        <w:t xml:space="preserve">, not the primary reference. Since</w:t>
      </w:r>
      <w:r>
        <w:t xml:space="preserve"> </w:t>
      </w:r>
      <w:r>
        <w:t xml:space="preserve">2026-09-03 the authoritative, continuously verified description of the pipeline</w:t>
      </w:r>
      <w:r>
        <w:t xml:space="preserve"> </w:t>
      </w:r>
      <w:r>
        <w:t xml:space="preserve">lives in</w:t>
      </w:r>
      <w:r>
        <w:t xml:space="preserve"> </w:t>
      </w:r>
      <w:r>
        <w:rPr>
          <w:rStyle w:val="VerbatimChar"/>
        </w:rPr>
        <w:t xml:space="preserve">docs/</w:t>
      </w:r>
      <w:r>
        <w:t xml:space="preserve">, and a lightweight test</w:t>
      </w:r>
      <w:r>
        <w:t xml:space="preserve"> </w:t>
      </w:r>
      <w:r>
        <w:t xml:space="preserve">(</w:t>
      </w:r>
      <w:r>
        <w:rPr>
          <w:rStyle w:val="VerbatimChar"/>
        </w:rPr>
        <w:t xml:space="preserve">tests/testthat/test-docs_drift.R</w:t>
      </w:r>
      <w:r>
        <w:t xml:space="preserve">) fails when those documents disagree with</w:t>
      </w:r>
      <w:r>
        <w:t xml:space="preserve"> </w:t>
      </w:r>
      <w:r>
        <w:t xml:space="preserve">the data. Where this appendix and a</w:t>
      </w:r>
      <w:r>
        <w:t xml:space="preserve"> </w:t>
      </w:r>
      <w:r>
        <w:rPr>
          <w:rStyle w:val="VerbatimChar"/>
        </w:rPr>
        <w:t xml:space="preserve">docs/</w:t>
      </w:r>
      <w:r>
        <w:t xml:space="preserve"> </w:t>
      </w:r>
      <w:r>
        <w:t xml:space="preserve">file differ,</w:t>
      </w:r>
      <w:r>
        <w:t xml:space="preserve"> </w:t>
      </w:r>
      <w:r>
        <w:rPr>
          <w:b/>
          <w:bCs/>
        </w:rPr>
        <w:t xml:space="preserve">the</w:t>
      </w:r>
      <w:r>
        <w:rPr>
          <w:b/>
          <w:bCs/>
        </w:rPr>
        <w:t xml:space="preserve"> </w:t>
      </w:r>
      <w:r>
        <w:rPr>
          <w:rStyle w:val="VerbatimChar"/>
          <w:b/>
          <w:bCs/>
        </w:rPr>
        <w:t xml:space="preserve">docs/</w:t>
      </w:r>
      <w:r>
        <w:rPr>
          <w:b/>
          <w:bCs/>
        </w:rPr>
        <w:t xml:space="preserve"> </w:t>
      </w:r>
      <w:r>
        <w:rPr>
          <w:b/>
          <w:bCs/>
        </w:rPr>
        <w:t xml:space="preserve">file is</w:t>
      </w:r>
      <w:r>
        <w:rPr>
          <w:b/>
          <w:bCs/>
        </w:rPr>
        <w:t xml:space="preserve"> </w:t>
      </w:r>
      <w:r>
        <w:rPr>
          <w:b/>
          <w:bCs/>
        </w:rPr>
        <w:t xml:space="preserve">current.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Authoritative document</w:t>
            </w:r>
          </w:p>
        </w:tc>
      </w:tr>
      <w:tr>
        <w:tc>
          <w:tcPr/>
          <w:p>
            <w:pPr>
              <w:pStyle w:val="Compact"/>
            </w:pPr>
            <w:r>
              <w:t xml:space="preserve">Cohort assembly, the denominator, per-congress reconciliation</w:t>
            </w:r>
          </w:p>
        </w:tc>
        <w:tc>
          <w:tcPr/>
          <w:p>
            <w:pPr>
              <w:pStyle w:val="Compact"/>
            </w:pPr>
            <w:r>
              <w:rPr>
                <w:rStyle w:val="VerbatimChar"/>
              </w:rPr>
              <w:t xml:space="preserve">docs/COHORT_ASSEMBLY.md</w:t>
            </w:r>
          </w:p>
        </w:tc>
      </w:tr>
      <w:tr>
        <w:tc>
          <w:tcPr/>
          <w:p>
            <w:pPr>
              <w:pStyle w:val="Compact"/>
            </w:pPr>
            <w:r>
              <w:t xml:space="preserve">Stage-by-stage pipeline, DAG, machine-readable manifest</w:t>
            </w:r>
          </w:p>
        </w:tc>
        <w:tc>
          <w:tcPr/>
          <w:p>
            <w:pPr>
              <w:pStyle w:val="Compact"/>
            </w:pPr>
            <w:r>
              <w:rPr>
                <w:rStyle w:val="VerbatimChar"/>
              </w:rPr>
              <w:t xml:space="preserve">docs/PIPELINE.md</w:t>
            </w:r>
            <w:r>
              <w:t xml:space="preserve">,</w:t>
            </w:r>
            <w:r>
              <w:t xml:space="preserve"> </w:t>
            </w:r>
            <w:r>
              <w:rPr>
                <w:rStyle w:val="VerbatimChar"/>
              </w:rPr>
              <w:t xml:space="preserve">docs/pipeline_manifest.yml</w:t>
            </w:r>
          </w:p>
        </w:tc>
      </w:tr>
      <w:tr>
        <w:tc>
          <w:tcPr/>
          <w:p>
            <w:pPr>
              <w:pStyle w:val="Compact"/>
            </w:pPr>
            <w:r>
              <w:t xml:space="preserve">Every search query, per source</w:t>
            </w:r>
          </w:p>
        </w:tc>
        <w:tc>
          <w:tcPr/>
          <w:p>
            <w:pPr>
              <w:pStyle w:val="Compact"/>
            </w:pPr>
            <w:r>
              <w:rPr>
                <w:rStyle w:val="VerbatimChar"/>
              </w:rPr>
              <w:t xml:space="preserve">docs/PUBLICATION_SEARCH.md</w:t>
            </w:r>
          </w:p>
        </w:tc>
      </w:tr>
      <w:tr>
        <w:tc>
          <w:tcPr/>
          <w:p>
            <w:pPr>
              <w:pStyle w:val="Compact"/>
            </w:pPr>
            <w:r>
              <w:t xml:space="preserve">Score components, thresholds, tie-breaking, publication dating</w:t>
            </w:r>
          </w:p>
        </w:tc>
        <w:tc>
          <w:tcPr/>
          <w:p>
            <w:pPr>
              <w:pStyle w:val="Compact"/>
            </w:pPr>
            <w:r>
              <w:rPr>
                <w:rStyle w:val="VerbatimChar"/>
              </w:rPr>
              <w:t xml:space="preserve">docs/MATCHING_ALGORITHM.md</w:t>
            </w:r>
          </w:p>
        </w:tc>
      </w:tr>
      <w:tr>
        <w:tc>
          <w:tcPr/>
          <w:p>
            <w:pPr>
              <w:pStyle w:val="Compact"/>
            </w:pPr>
            <w:r>
              <w:t xml:space="preserve">Operational definition of the outcome</w:t>
            </w:r>
          </w:p>
        </w:tc>
        <w:tc>
          <w:tcPr/>
          <w:p>
            <w:pPr>
              <w:pStyle w:val="Compact"/>
            </w:pPr>
            <w:r>
              <w:rPr>
                <w:rStyle w:val="VerbatimChar"/>
              </w:rPr>
              <w:t xml:space="preserve">docs/OUTCOME_DEFINITION.md</w:t>
            </w:r>
          </w:p>
        </w:tc>
      </w:tr>
      <w:tr>
        <w:tc>
          <w:tcPr/>
          <w:p>
            <w:pPr>
              <w:pStyle w:val="Compact"/>
            </w:pPr>
            <w:r>
              <w:t xml:space="preserve">Adjudication schema, precedence, decision accounting</w:t>
            </w:r>
          </w:p>
        </w:tc>
        <w:tc>
          <w:tcPr/>
          <w:p>
            <w:pPr>
              <w:pStyle w:val="Compact"/>
            </w:pPr>
            <w:r>
              <w:rPr>
                <w:rStyle w:val="VerbatimChar"/>
              </w:rPr>
              <w:t xml:space="preserve">docs/ADJUDICATION.md</w:t>
            </w:r>
          </w:p>
        </w:tc>
      </w:tr>
      <w:tr>
        <w:tc>
          <w:tcPr/>
          <w:p>
            <w:pPr>
              <w:pStyle w:val="Compact"/>
            </w:pPr>
            <w:r>
              <w:t xml:space="preserve">All 90 analytical variables</w:t>
            </w:r>
          </w:p>
        </w:tc>
        <w:tc>
          <w:tcPr/>
          <w:p>
            <w:pPr>
              <w:pStyle w:val="Compact"/>
            </w:pPr>
            <w:r>
              <w:rPr>
                <w:rStyle w:val="VerbatimChar"/>
              </w:rPr>
              <w:t xml:space="preserve">docs/DATA_DICTIONARY.md</w:t>
            </w:r>
          </w:p>
        </w:tc>
      </w:tr>
      <w:tr>
        <w:tc>
          <w:tcPr/>
          <w:p>
            <w:pPr>
              <w:pStyle w:val="Compact"/>
            </w:pPr>
            <w:r>
              <w:t xml:space="preserve">Identity resolution and the gender waterfall</w:t>
            </w:r>
          </w:p>
        </w:tc>
        <w:tc>
          <w:tcPr/>
          <w:p>
            <w:pPr>
              <w:pStyle w:val="Compact"/>
            </w:pPr>
            <w:r>
              <w:rPr>
                <w:rStyle w:val="VerbatimChar"/>
              </w:rPr>
              <w:t xml:space="preserve">docs/AUTHOR_ENRICHMENT.md</w:t>
            </w:r>
          </w:p>
        </w:tc>
      </w:tr>
      <w:tr>
        <w:tc>
          <w:tcPr/>
          <w:p>
            <w:pPr>
              <w:pStyle w:val="Compact"/>
            </w:pPr>
            <w:r>
              <w:t xml:space="preserve">Models as fitted, with diagnostics</w:t>
            </w:r>
          </w:p>
        </w:tc>
        <w:tc>
          <w:tcPr/>
          <w:p>
            <w:pPr>
              <w:pStyle w:val="Compact"/>
            </w:pPr>
            <w:r>
              <w:rPr>
                <w:rStyle w:val="VerbatimChar"/>
              </w:rPr>
              <w:t xml:space="preserve">docs/STATISTICAL_ANALYSIS.md</w:t>
            </w:r>
          </w:p>
        </w:tc>
      </w:tr>
      <w:tr>
        <w:tc>
          <w:tcPr/>
          <w:p>
            <w:pPr>
              <w:pStyle w:val="Compact"/>
            </w:pPr>
            <w:r>
              <w:t xml:space="preserve">Every reported number and its provenance</w:t>
            </w:r>
          </w:p>
        </w:tc>
        <w:tc>
          <w:tcPr/>
          <w:p>
            <w:pPr>
              <w:pStyle w:val="Compact"/>
            </w:pPr>
            <w:r>
              <w:rPr>
                <w:rStyle w:val="VerbatimChar"/>
              </w:rPr>
              <w:t xml:space="preserve">docs/RESULTS_PROVENANCE.md</w:t>
            </w:r>
          </w:p>
        </w:tc>
      </w:tr>
      <w:tr>
        <w:tc>
          <w:tcPr/>
          <w:p>
            <w:pPr>
              <w:pStyle w:val="Compact"/>
            </w:pPr>
            <w:r>
              <w:t xml:space="preserve">Reproduction requirements and blockers</w:t>
            </w:r>
          </w:p>
        </w:tc>
        <w:tc>
          <w:tcPr/>
          <w:p>
            <w:pPr>
              <w:pStyle w:val="Compact"/>
            </w:pPr>
            <w:r>
              <w:rPr>
                <w:rStyle w:val="VerbatimChar"/>
              </w:rPr>
              <w:t xml:space="preserve">docs/REPRODUCIBILITY.md</w:t>
            </w:r>
          </w:p>
        </w:tc>
      </w:tr>
      <w:tr>
        <w:tc>
          <w:tcPr/>
          <w:p>
            <w:pPr>
              <w:pStyle w:val="Compact"/>
            </w:pPr>
            <w:r>
              <w:t xml:space="preserve">Known ways the pipeline can be plausibly wrong</w:t>
            </w:r>
          </w:p>
        </w:tc>
        <w:tc>
          <w:tcPr/>
          <w:p>
            <w:pPr>
              <w:pStyle w:val="Compact"/>
            </w:pPr>
            <w:r>
              <w:rPr>
                <w:rStyle w:val="VerbatimChar"/>
              </w:rPr>
              <w:t xml:space="preserve">docs/FAILURE_MODES.md</w:t>
            </w:r>
          </w:p>
        </w:tc>
      </w:tr>
      <w:tr>
        <w:tc>
          <w:tcPr/>
          <w:p>
            <w:pPr>
              <w:pStyle w:val="Compact"/>
            </w:pPr>
            <w:r>
              <w:t xml:space="preserve">Test inventory and untested invariants</w:t>
            </w:r>
          </w:p>
        </w:tc>
        <w:tc>
          <w:tcPr/>
          <w:p>
            <w:pPr>
              <w:pStyle w:val="Compact"/>
            </w:pPr>
            <w:r>
              <w:rPr>
                <w:rStyle w:val="VerbatimChar"/>
              </w:rPr>
              <w:t xml:space="preserve">docs/VALIDATION.md</w:t>
            </w:r>
          </w:p>
        </w:tc>
      </w:tr>
      <w:tr>
        <w:tc>
          <w:tcPr/>
          <w:p>
            <w:pPr>
              <w:pStyle w:val="Compact"/>
            </w:pPr>
            <w:r>
              <w:t xml:space="preserve">Corrections and their quantified effects</w:t>
            </w:r>
          </w:p>
        </w:tc>
        <w:tc>
          <w:tcPr/>
          <w:p>
            <w:pPr>
              <w:pStyle w:val="Compact"/>
            </w:pPr>
            <w:r>
              <w:rPr>
                <w:rStyle w:val="VerbatimChar"/>
              </w:rPr>
              <w:t xml:space="preserve">docs/METHODOLOGICAL_HISTORY.md</w:t>
            </w:r>
          </w:p>
        </w:tc>
      </w:tr>
    </w:tbl>
    <w:p>
      <w:pPr>
        <w:pStyle w:val="BodyText"/>
      </w:pPr>
      <w:r>
        <w:t xml:space="preserve">Sections A8 (abstract-text recovery for 2012-2018), A10 (NPI identity</w:t>
      </w:r>
      <w:r>
        <w:t xml:space="preserve"> </w:t>
      </w:r>
      <w:r>
        <w:t xml:space="preserve">resolution), A11 (extending the pipeline to other societies) and A13 (the</w:t>
      </w:r>
      <w:r>
        <w:t xml:space="preserve"> </w:t>
      </w:r>
      <w:r>
        <w:t xml:space="preserve">denominator chain) carry material that is not duplicated in</w:t>
      </w:r>
      <w:r>
        <w:t xml:space="preserve"> </w:t>
      </w:r>
      <w:r>
        <w:rPr>
          <w:rStyle w:val="VerbatimChar"/>
        </w:rPr>
        <w:t xml:space="preserve">docs/</w:t>
      </w:r>
      <w:r>
        <w:t xml:space="preserve"> </w:t>
      </w:r>
      <w:r>
        <w:t xml:space="preserve">and remain</w:t>
      </w:r>
      <w:r>
        <w:t xml:space="preserve"> </w:t>
      </w:r>
      <w:r>
        <w:t xml:space="preserve">the primary record for those topics.</w:t>
      </w:r>
    </w:p>
    <w:p>
      <w:r>
        <w:pict>
          <v:rect style="width:0;height:1.5pt" o:hralign="center" o:hrstd="t" o:hr="t"/>
        </w:pict>
      </w:r>
    </w:p>
    <w:bookmarkEnd w:id="20"/>
    <w:bookmarkStart w:id="24"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32 test files (see</w:t>
      </w:r>
      <w:r>
        <w:t xml:space="preserve"> </w:t>
      </w:r>
      <w:r>
        <w:rPr>
          <w:rStyle w:val="VerbatimChar"/>
        </w:rPr>
        <w:t xml:space="preserve">docs/VALIDATION.md</w:t>
      </w:r>
      <w:r>
        <w:t xml:space="preserve"> </w:t>
      </w:r>
      <w:r>
        <w:t xml:space="preserve">for the current pass/fail status), and a Shiny web application for human adjudication. The pipeline executes in 10 sequential steps, with checkpoint-based resume support for API-dependent stages. All source code and deidentified output data are available at</w:t>
      </w:r>
      <w:r>
        <w:t xml:space="preserve"> </w:t>
      </w:r>
      <w:hyperlink r:id="rId21">
        <w:r>
          <w:rPr>
            <w:rStyle w:val="Hyperlink"/>
          </w:rPr>
          <w:t xml:space="preserve">https://github.com/mufflyt/abstract_lifetime</w:t>
        </w:r>
      </w:hyperlink>
      <w:r>
        <w:t xml:space="preserve">.</w:t>
      </w:r>
    </w:p>
    <w:bookmarkStart w:id="22"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1,566 PubMed XML files; 1,154 ScienceDirect HTML files</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1106 abstracts</w:t>
      </w:r>
    </w:p>
    <w:bookmarkEnd w:id="22"/>
    <w:bookmarkStart w:id="23"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23"/>
    <w:bookmarkEnd w:id="24"/>
    <w:bookmarkStart w:id="28" w:name="a2.-data-sources-and-api-usage"/>
    <w:p>
      <w:pPr>
        <w:pStyle w:val="Heading2"/>
      </w:pPr>
      <w:r>
        <w:t xml:space="preserve">A2. Data Sources and API Usage</w:t>
      </w:r>
    </w:p>
    <w:bookmarkStart w:id="25"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Article pages cached: 1,154 ScienceDirect HTML files.</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25"/>
    <w:bookmarkStart w:id="26"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26"/>
    <w:bookmarkStart w:id="27"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(1,566 PubMed XML files). All search stages used RDS-based checkpoints enabling resume after interruption.</w:t>
      </w:r>
    </w:p>
    <w:bookmarkEnd w:id="27"/>
    <w:bookmarkEnd w:id="28"/>
    <w:bookmarkStart w:id="33" w:name="a3.-matching-algorithm"/>
    <w:p>
      <w:pPr>
        <w:pStyle w:val="Heading2"/>
      </w:pPr>
      <w:r>
        <w:t xml:space="preserve">A3. Matching Algorithm</w:t>
      </w:r>
    </w:p>
    <w:bookmarkStart w:id="29"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29"/>
    <w:bookmarkStart w:id="30"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30"/>
    <w:bookmarkStart w:id="32" w:name="a3.3-human-adjudication"/>
    <w:p>
      <w:pPr>
        <w:pStyle w:val="Heading3"/>
      </w:pPr>
      <w:r>
        <w:t xml:space="preserve">A3.3 Human Adjudication</w:t>
      </w:r>
    </w:p>
    <w:p>
      <w:pPr>
        <w:pStyle w:val="FirstParagraph"/>
      </w:pPr>
      <w:r>
        <w:t xml:space="preserve">A Shiny web application (</w:t>
      </w:r>
      <w:hyperlink r:id="rId31">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32"/>
    <w:bookmarkEnd w:id="33"/>
    <w:bookmarkStart w:id="39" w:name="a4.-variable-extraction-methods"/>
    <w:p>
      <w:pPr>
        <w:pStyle w:val="Heading2"/>
      </w:pPr>
      <w:r>
        <w:t xml:space="preserve">A4. Variable Extraction Methods</w:t>
      </w:r>
    </w:p>
    <w:bookmarkStart w:id="34"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34"/>
    <w:bookmarkStart w:id="35"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35"/>
    <w:bookmarkStart w:id="36"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36"/>
    <w:bookmarkStart w:id="37"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37"/>
    <w:bookmarkStart w:id="38"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96.4%.</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17.5%.</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16.2%.</w:t>
      </w:r>
    </w:p>
    <w:bookmarkEnd w:id="38"/>
    <w:bookmarkEnd w:id="39"/>
    <w:bookmarkStart w:id="42" w:name="a5.-algorithm-validation"/>
    <w:p>
      <w:pPr>
        <w:pStyle w:val="Heading2"/>
      </w:pPr>
      <w:r>
        <w:t xml:space="preserve">A5. Algorithm Validation</w:t>
      </w:r>
    </w:p>
    <w:bookmarkStart w:id="40"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40"/>
    <w:bookmarkStart w:id="41"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63.9%</w:t>
            </w:r>
          </w:p>
        </w:tc>
      </w:tr>
      <w:tr>
        <w:tc>
          <w:tcPr/>
          <w:p>
            <w:pPr>
              <w:pStyle w:val="Compact"/>
              <w:jc w:val="left"/>
            </w:pPr>
            <w:r>
              <w:t xml:space="preserve">Positive predictive value</w:t>
            </w:r>
          </w:p>
        </w:tc>
        <w:tc>
          <w:tcPr/>
          <w:p>
            <w:pPr>
              <w:pStyle w:val="Compact"/>
              <w:jc w:val="left"/>
            </w:pPr>
            <w:r>
              <w:t xml:space="preserve">50%</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73.5%</w:t>
            </w:r>
          </w:p>
        </w:tc>
      </w:tr>
    </w:tbl>
    <w:p>
      <w:pPr>
        <w:pStyle w:val="BodyText"/>
      </w:pPr>
      <w:r>
        <w:t xml:space="preserve">The algorithm achieved 100% sensitivity (no missed publications in the gold standard) and 63.9% specificity. The 36.1% false positive rate reflects cases where the scoring algorithm identified a high-scoring candidate that was not the true published version of the abstract (e.g., a related paper by the same author group on a similar topic).</w:t>
      </w:r>
    </w:p>
    <w:bookmarkEnd w:id="41"/>
    <w:bookmarkEnd w:id="42"/>
    <w:bookmarkStart w:id="43" w:name="a6.-sensitivity-analyses"/>
    <w:p>
      <w:pPr>
        <w:pStyle w:val="Heading2"/>
      </w:pPr>
      <w:r>
        <w:t xml:space="preserve">A6. Sensitivity Analyses</w:t>
      </w:r>
    </w:p>
    <w:tbl>
      <w:tblPr>
        <w:tblStyle w:val="Table"/>
        <w:tblW w:type="pct" w:w="5000"/>
        <w:tblLayout w:type="fixed"/>
        <w:tblLook w:firstRow="1" w:lastRow="0" w:firstColumn="0" w:lastColumn="0" w:noHBand="0" w:noVBand="0" w:val="0020"/>
      </w:tblPr>
      <w:tblGrid>
        <w:gridCol w:w="2582"/>
        <w:gridCol w:w="3099"/>
        <w:gridCol w:w="430"/>
        <w:gridCol w:w="1033"/>
        <w:gridCol w:w="774"/>
      </w:tblGrid>
      <w:tr>
        <w:trPr>
          <w:tblHeader w:val="on"/>
        </w:trPr>
        <w:tc>
          <w:tcPr/>
          <w:p>
            <w:pPr>
              <w:pStyle w:val="Compact"/>
              <w:jc w:val="left"/>
            </w:pPr>
            <w:r>
              <w:t xml:space="preserve">Scenario</w:t>
            </w:r>
          </w:p>
        </w:tc>
        <w:tc>
          <w:tcPr/>
          <w:p>
            <w:pPr>
              <w:pStyle w:val="Compact"/>
              <w:jc w:val="left"/>
            </w:pPr>
            <w:r>
              <w:t xml:space="preserve">Denominator</w:t>
            </w:r>
          </w:p>
        </w:tc>
        <w:tc>
          <w:tcPr/>
          <w:p>
            <w:pPr>
              <w:pStyle w:val="Compact"/>
              <w:jc w:val="right"/>
            </w:pPr>
            <w:r>
              <w:t xml:space="preserve">N</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131</w:t>
            </w:r>
          </w:p>
        </w:tc>
        <w:tc>
          <w:tcPr/>
          <w:p>
            <w:pPr>
              <w:pStyle w:val="Compact"/>
              <w:jc w:val="right"/>
            </w:pPr>
            <w:r>
              <w:t xml:space="preserve">11.8</w:t>
            </w:r>
          </w:p>
        </w:tc>
      </w:tr>
      <w:tr>
        <w:tc>
          <w:tcPr/>
          <w:p>
            <w:pPr>
              <w:pStyle w:val="Compact"/>
              <w:jc w:val="left"/>
            </w:pPr>
            <w:r>
              <w:t xml:space="preserve">Definite + probable</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212</w:t>
            </w:r>
          </w:p>
        </w:tc>
        <w:tc>
          <w:tcPr/>
          <w:p>
            <w:pPr>
              <w:pStyle w:val="Compact"/>
              <w:jc w:val="right"/>
            </w:pPr>
            <w:r>
              <w:t xml:space="preserve">19.2</w:t>
            </w:r>
          </w:p>
        </w:tc>
      </w:tr>
      <w:tr>
        <w:tc>
          <w:tcPr/>
          <w:p>
            <w:pPr>
              <w:pStyle w:val="Compact"/>
              <w:jc w:val="left"/>
            </w:pPr>
            <w:r>
              <w:t xml:space="preserve">Definite + reviewer-confirmed</w:t>
            </w:r>
          </w:p>
        </w:tc>
        <w:tc>
          <w:tcPr/>
          <w:p>
            <w:pPr>
              <w:pStyle w:val="Compact"/>
              <w:jc w:val="left"/>
            </w:pPr>
            <w:r>
              <w:t xml:space="preserve">evaluated</w:t>
            </w:r>
          </w:p>
        </w:tc>
        <w:tc>
          <w:tcPr/>
          <w:p>
            <w:pPr>
              <w:pStyle w:val="Compact"/>
              <w:jc w:val="right"/>
            </w:pPr>
            <w:r>
              <w:t xml:space="preserve">1051</w:t>
            </w:r>
          </w:p>
        </w:tc>
        <w:tc>
          <w:tcPr/>
          <w:p>
            <w:pPr>
              <w:pStyle w:val="Compact"/>
              <w:jc w:val="right"/>
            </w:pPr>
            <w:r>
              <w:t xml:space="preserve">178</w:t>
            </w:r>
          </w:p>
        </w:tc>
        <w:tc>
          <w:tcPr/>
          <w:p>
            <w:pPr>
              <w:pStyle w:val="Compact"/>
              <w:jc w:val="right"/>
            </w:pPr>
            <w:r>
              <w:t xml:space="preserve">16.9</w:t>
            </w:r>
          </w:p>
        </w:tc>
      </w:tr>
      <w:tr>
        <w:tc>
          <w:tcPr/>
          <w:p>
            <w:pPr>
              <w:pStyle w:val="Compact"/>
              <w:jc w:val="left"/>
            </w:pPr>
            <w:r>
              <w:t xml:space="preserve">Published within 12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78</w:t>
            </w:r>
          </w:p>
        </w:tc>
        <w:tc>
          <w:tcPr/>
          <w:p>
            <w:pPr>
              <w:pStyle w:val="Compact"/>
              <w:jc w:val="right"/>
            </w:pPr>
            <w:r>
              <w:t xml:space="preserve">7.4</w:t>
            </w:r>
          </w:p>
        </w:tc>
      </w:tr>
      <w:tr>
        <w:tc>
          <w:tcPr/>
          <w:p>
            <w:pPr>
              <w:pStyle w:val="Compact"/>
              <w:jc w:val="left"/>
            </w:pPr>
            <w:r>
              <w:t xml:space="preserve">Published within 24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139</w:t>
            </w:r>
          </w:p>
        </w:tc>
        <w:tc>
          <w:tcPr/>
          <w:p>
            <w:pPr>
              <w:pStyle w:val="Compact"/>
              <w:jc w:val="right"/>
            </w:pPr>
            <w:r>
              <w:t xml:space="preserve">13.2</w:t>
            </w:r>
          </w:p>
        </w:tc>
      </w:tr>
      <w:tr>
        <w:tc>
          <w:tcPr/>
          <w:p>
            <w:pPr>
              <w:pStyle w:val="Compact"/>
              <w:jc w:val="left"/>
            </w:pPr>
            <w:r>
              <w:t xml:space="preserve">Published within 36 months</w:t>
            </w:r>
          </w:p>
        </w:tc>
        <w:tc>
          <w:tcPr/>
          <w:p>
            <w:pPr>
              <w:pStyle w:val="Compact"/>
              <w:jc w:val="left"/>
            </w:pPr>
            <w:r>
              <w:t xml:space="preserve">evaluated with sufficient follow-up</w:t>
            </w:r>
          </w:p>
        </w:tc>
        <w:tc>
          <w:tcPr/>
          <w:p>
            <w:pPr>
              <w:pStyle w:val="Compact"/>
              <w:jc w:val="right"/>
            </w:pPr>
            <w:r>
              <w:t xml:space="preserve">991</w:t>
            </w:r>
          </w:p>
        </w:tc>
        <w:tc>
          <w:tcPr/>
          <w:p>
            <w:pPr>
              <w:pStyle w:val="Compact"/>
              <w:jc w:val="right"/>
            </w:pPr>
            <w:r>
              <w:t xml:space="preserve">142</w:t>
            </w:r>
          </w:p>
        </w:tc>
        <w:tc>
          <w:tcPr/>
          <w:p>
            <w:pPr>
              <w:pStyle w:val="Compact"/>
              <w:jc w:val="right"/>
            </w:pPr>
            <w:r>
              <w:t xml:space="preserve">14.3</w:t>
            </w:r>
          </w:p>
        </w:tc>
      </w:tr>
      <w:tr>
        <w:tc>
          <w:tcPr/>
          <w:p>
            <w:pPr>
              <w:pStyle w:val="Compact"/>
              <w:jc w:val="left"/>
            </w:pPr>
            <w:r>
              <w:t xml:space="preserve">Published within 48 months</w:t>
            </w:r>
          </w:p>
        </w:tc>
        <w:tc>
          <w:tcPr/>
          <w:p>
            <w:pPr>
              <w:pStyle w:val="Compact"/>
              <w:jc w:val="left"/>
            </w:pPr>
            <w:r>
              <w:t xml:space="preserve">evaluated with sufficient follow-up</w:t>
            </w:r>
          </w:p>
        </w:tc>
        <w:tc>
          <w:tcPr/>
          <w:p>
            <w:pPr>
              <w:pStyle w:val="Compact"/>
              <w:jc w:val="right"/>
            </w:pPr>
            <w:r>
              <w:t xml:space="preserve">901</w:t>
            </w:r>
          </w:p>
        </w:tc>
        <w:tc>
          <w:tcPr/>
          <w:p>
            <w:pPr>
              <w:pStyle w:val="Compact"/>
              <w:jc w:val="right"/>
            </w:pPr>
            <w:r>
              <w:t xml:space="preserve">124</w:t>
            </w:r>
          </w:p>
        </w:tc>
        <w:tc>
          <w:tcPr/>
          <w:p>
            <w:pPr>
              <w:pStyle w:val="Compact"/>
              <w:jc w:val="right"/>
            </w:pPr>
            <w:r>
              <w:t xml:space="preserve">13.8</w:t>
            </w:r>
          </w:p>
        </w:tc>
      </w:tr>
    </w:tbl>
    <w:p>
      <w:pPr>
        <w:pStyle w:val="BodyText"/>
      </w:pPr>
      <w:r>
        <w:t xml:space="preserve">Scenarios 1 and 2 are decidable without a reviewer and divide by the cohort;</w:t>
      </w:r>
      <w:r>
        <w:t xml:space="preserve"> </w:t>
      </w:r>
      <w:r>
        <w:t xml:space="preserve">scenario 3 onward require an adjudicated outcome and divide by the evaluated</w:t>
      </w:r>
      <w:r>
        <w:t xml:space="preserve"> </w:t>
      </w:r>
      <w:r>
        <w:t xml:space="preserve">set. The</w:t>
      </w:r>
      <w:r>
        <w:t xml:space="preserve"> </w:t>
      </w:r>
      <w:r>
        <w:rPr>
          <w:rStyle w:val="VerbatimChar"/>
        </w:rPr>
        <w:t xml:space="preserve">Denominator</w:t>
      </w:r>
      <w:r>
        <w:t xml:space="preserve"> </w:t>
      </w:r>
      <w:r>
        <w:t xml:space="preserve">column states which, so the rates are not compared</w:t>
      </w:r>
      <w:r>
        <w:t xml:space="preserve"> </w:t>
      </w:r>
      <w:r>
        <w:t xml:space="preserve">across different populations.</w:t>
      </w:r>
    </w:p>
    <w:bookmarkEnd w:id="43"/>
    <w:bookmarkStart w:id="44"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2.23</w:t>
            </w:r>
          </w:p>
        </w:tc>
        <w:tc>
          <w:tcPr/>
          <w:p>
            <w:pPr>
              <w:pStyle w:val="Compact"/>
              <w:jc w:val="left"/>
            </w:pPr>
            <w:r>
              <w:t xml:space="preserve">1.48-3.34</w:t>
            </w:r>
          </w:p>
        </w:tc>
        <w:tc>
          <w:tcPr/>
          <w:p>
            <w:pPr>
              <w:pStyle w:val="Compact"/>
              <w:jc w:val="right"/>
            </w:pPr>
            <w:r>
              <w:t xml:space="preserve">0.000</w:t>
            </w:r>
          </w:p>
        </w:tc>
      </w:tr>
      <w:tr>
        <w:tc>
          <w:tcPr/>
          <w:p>
            <w:pPr>
              <w:pStyle w:val="Compact"/>
              <w:jc w:val="left"/>
            </w:pPr>
            <w:r>
              <w:t xml:space="preserve">is_academicTRUE</w:t>
            </w:r>
          </w:p>
        </w:tc>
        <w:tc>
          <w:tcPr/>
          <w:p>
            <w:pPr>
              <w:pStyle w:val="Compact"/>
              <w:jc w:val="right"/>
            </w:pPr>
            <w:r>
              <w:t xml:space="preserve">0.62</w:t>
            </w:r>
          </w:p>
        </w:tc>
        <w:tc>
          <w:tcPr/>
          <w:p>
            <w:pPr>
              <w:pStyle w:val="Compact"/>
              <w:jc w:val="left"/>
            </w:pPr>
            <w:r>
              <w:t xml:space="preserve">0.44-0.87</w:t>
            </w:r>
          </w:p>
        </w:tc>
        <w:tc>
          <w:tcPr/>
          <w:p>
            <w:pPr>
              <w:pStyle w:val="Compact"/>
              <w:jc w:val="right"/>
            </w:pPr>
            <w:r>
              <w:t xml:space="preserve">0.006</w:t>
            </w:r>
          </w:p>
        </w:tc>
      </w:tr>
      <w:tr>
        <w:tc>
          <w:tcPr/>
          <w:p>
            <w:pPr>
              <w:pStyle w:val="Compact"/>
              <w:jc w:val="left"/>
            </w:pPr>
            <w:r>
              <w:t xml:space="preserve">is_us_basedTRUE</w:t>
            </w:r>
          </w:p>
        </w:tc>
        <w:tc>
          <w:tcPr/>
          <w:p>
            <w:pPr>
              <w:pStyle w:val="Compact"/>
              <w:jc w:val="right"/>
            </w:pPr>
            <w:r>
              <w:t xml:space="preserve">1.40</w:t>
            </w:r>
          </w:p>
        </w:tc>
        <w:tc>
          <w:tcPr/>
          <w:p>
            <w:pPr>
              <w:pStyle w:val="Compact"/>
              <w:jc w:val="left"/>
            </w:pPr>
            <w:r>
              <w:t xml:space="preserve">0.88-2.24</w:t>
            </w:r>
          </w:p>
        </w:tc>
        <w:tc>
          <w:tcPr/>
          <w:p>
            <w:pPr>
              <w:pStyle w:val="Compact"/>
              <w:jc w:val="right"/>
            </w:pPr>
            <w:r>
              <w:t xml:space="preserve">0.156</w:t>
            </w:r>
          </w:p>
        </w:tc>
      </w:tr>
      <w:tr>
        <w:tc>
          <w:tcPr/>
          <w:p>
            <w:pPr>
              <w:pStyle w:val="Compact"/>
              <w:jc w:val="left"/>
            </w:pPr>
            <w:r>
              <w:t xml:space="preserve">n_authors</w:t>
            </w:r>
          </w:p>
        </w:tc>
        <w:tc>
          <w:tcPr/>
          <w:p>
            <w:pPr>
              <w:pStyle w:val="Compact"/>
              <w:jc w:val="right"/>
            </w:pPr>
            <w:r>
              <w:t xml:space="preserve">1.26</w:t>
            </w:r>
          </w:p>
        </w:tc>
        <w:tc>
          <w:tcPr/>
          <w:p>
            <w:pPr>
              <w:pStyle w:val="Compact"/>
              <w:jc w:val="left"/>
            </w:pPr>
            <w:r>
              <w:t xml:space="preserve">1.09-1.45</w:t>
            </w:r>
          </w:p>
        </w:tc>
        <w:tc>
          <w:tcPr/>
          <w:p>
            <w:pPr>
              <w:pStyle w:val="Compact"/>
              <w:jc w:val="right"/>
            </w:pPr>
            <w:r>
              <w:t xml:space="preserve">0.001</w:t>
            </w:r>
          </w:p>
        </w:tc>
      </w:tr>
      <w:tr>
        <w:tc>
          <w:tcPr/>
          <w:p>
            <w:pPr>
              <w:pStyle w:val="Compact"/>
              <w:jc w:val="left"/>
            </w:pPr>
            <w:r>
              <w:t xml:space="preserve">gender_unifiedmale</w:t>
            </w:r>
          </w:p>
        </w:tc>
        <w:tc>
          <w:tcPr/>
          <w:p>
            <w:pPr>
              <w:pStyle w:val="Compact"/>
              <w:jc w:val="right"/>
            </w:pPr>
            <w:r>
              <w:t xml:space="preserve">0.81</w:t>
            </w:r>
          </w:p>
        </w:tc>
        <w:tc>
          <w:tcPr/>
          <w:p>
            <w:pPr>
              <w:pStyle w:val="Compact"/>
              <w:jc w:val="left"/>
            </w:pPr>
            <w:r>
              <w:t xml:space="preserve">0.6-1.11</w:t>
            </w:r>
          </w:p>
        </w:tc>
        <w:tc>
          <w:tcPr/>
          <w:p>
            <w:pPr>
              <w:pStyle w:val="Compact"/>
              <w:jc w:val="right"/>
            </w:pPr>
            <w:r>
              <w:t xml:space="preserve">0.191</w:t>
            </w:r>
          </w:p>
        </w:tc>
      </w:tr>
      <w:tr>
        <w:tc>
          <w:tcPr/>
          <w:p>
            <w:pPr>
              <w:pStyle w:val="Compact"/>
              <w:jc w:val="left"/>
            </w:pPr>
            <w:r>
              <w:t xml:space="preserve">is_multicenterTRUE</w:t>
            </w:r>
          </w:p>
        </w:tc>
        <w:tc>
          <w:tcPr/>
          <w:p>
            <w:pPr>
              <w:pStyle w:val="Compact"/>
              <w:jc w:val="right"/>
            </w:pPr>
            <w:r>
              <w:t xml:space="preserve">1.37</w:t>
            </w:r>
          </w:p>
        </w:tc>
        <w:tc>
          <w:tcPr/>
          <w:p>
            <w:pPr>
              <w:pStyle w:val="Compact"/>
              <w:jc w:val="left"/>
            </w:pPr>
            <w:r>
              <w:t xml:space="preserve">0.8-2.35</w:t>
            </w:r>
          </w:p>
        </w:tc>
        <w:tc>
          <w:tcPr/>
          <w:p>
            <w:pPr>
              <w:pStyle w:val="Compact"/>
              <w:jc w:val="right"/>
            </w:pPr>
            <w:r>
              <w:t xml:space="preserve">0.251</w:t>
            </w:r>
          </w:p>
        </w:tc>
      </w:tr>
    </w:tbl>
    <w:p>
      <w:pPr>
        <w:pStyle w:val="BodyText"/>
      </w:pPr>
      <w:r>
        <w:t xml:space="preserve">Proportional hazards assumption: global test p = 0.043.</w:t>
      </w:r>
    </w:p>
    <w:bookmarkEnd w:id="44"/>
    <w:bookmarkStart w:id="50" w:name="X92b8d09b47aa5be92acc70bc51d89d5211171b2"/>
    <w:p>
      <w:pPr>
        <w:pStyle w:val="Heading2"/>
      </w:pPr>
      <w:r>
        <w:t xml:space="preserve">A8. Abstract Text Recovery: Challenges for Congress Years 2012–2018</w:t>
      </w:r>
    </w:p>
    <w:bookmarkStart w:id="45"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45"/>
    <w:bookmarkStart w:id="46"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46"/>
    <w:bookmarkStart w:id="47" w:name="a8.3-final-abstract-text-coverage"/>
    <w:p>
      <w:pPr>
        <w:pStyle w:val="Heading3"/>
      </w:pPr>
      <w:r>
        <w:t xml:space="preserve">A8.3 Final Abstract Text Coverage</w:t>
      </w:r>
    </w:p>
    <w:p>
      <w:pPr>
        <w:pStyle w:val="FirstParagraph"/>
      </w:pPr>
      <w:r>
        <w:t xml:space="preserve">The table below is computed from</w:t>
      </w:r>
      <w:r>
        <w:t xml:space="preserve"> </w:t>
      </w:r>
      <w:r>
        <w:rPr>
          <w:rStyle w:val="VerbatimChar"/>
        </w:rPr>
        <w:t xml:space="preserve">data/processed/abstracts_cleaned.csv</w:t>
      </w:r>
      <w:r>
        <w:t xml:space="preserve"> </w:t>
      </w:r>
      <w:r>
        <w:t xml:space="preserve">at</w:t>
      </w:r>
      <w:r>
        <w:t xml:space="preserve"> </w:t>
      </w:r>
      <w:r>
        <w:t xml:space="preserve">render time. A static version previously printed here reported 97 abstracts per</w:t>
      </w:r>
      <w:r>
        <w:t xml:space="preserve"> </w:t>
      </w:r>
      <w:r>
        <w:t xml:space="preserve">congress and 0% coverage for 2017; both were superseded and the static table has</w:t>
      </w:r>
      <w:r>
        <w:t xml:space="preserve"> </w:t>
      </w:r>
      <w:r>
        <w:t xml:space="preserve">been removed rather than maintained in parallel.</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84</w:t>
            </w:r>
          </w:p>
        </w:tc>
        <w:tc>
          <w:tcPr/>
          <w:p>
            <w:pPr>
              <w:pStyle w:val="Compact"/>
              <w:jc w:val="left"/>
            </w:pPr>
            <w:r>
              <w:t xml:space="preserve">88.4%</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86</w:t>
            </w:r>
          </w:p>
        </w:tc>
        <w:tc>
          <w:tcPr/>
          <w:p>
            <w:pPr>
              <w:pStyle w:val="Compact"/>
              <w:jc w:val="left"/>
            </w:pPr>
            <w:r>
              <w:t xml:space="preserve">89.6%</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55</w:t>
            </w:r>
          </w:p>
        </w:tc>
        <w:tc>
          <w:tcPr/>
          <w:p>
            <w:pPr>
              <w:pStyle w:val="Compact"/>
              <w:jc w:val="left"/>
            </w:pPr>
            <w:r>
              <w:t xml:space="preserve">59.1%</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79</w:t>
            </w:r>
          </w:p>
        </w:tc>
        <w:tc>
          <w:tcPr/>
          <w:p>
            <w:pPr>
              <w:pStyle w:val="Compact"/>
              <w:jc w:val="left"/>
            </w:pPr>
            <w:r>
              <w:t xml:space="preserve">83.2%</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83</w:t>
            </w:r>
          </w:p>
        </w:tc>
        <w:tc>
          <w:tcPr/>
          <w:p>
            <w:pPr>
              <w:pStyle w:val="Compact"/>
              <w:jc w:val="left"/>
            </w:pPr>
            <w:r>
              <w:t xml:space="preserve">86.5%</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47"/>
    <w:bookmarkStart w:id="48"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(1 of 97 abstracts with text) is therefore expected to show lower classification confidence and a higher proportion of probable/possible classifications relative to other years; it has the lowest mean composite score (2.62) and the lowest publication rate (5.6%) of any congress.</w:t>
      </w:r>
    </w:p>
    <w:p>
      <w:pPr>
        <w:pStyle w:val="BodyText"/>
      </w:pPr>
      <w:r>
        <w:t xml:space="preserve">A second consequence was not recognised at the time and is more serious.</w:t>
      </w:r>
      <w:r>
        <w:t xml:space="preserve"> </w:t>
      </w:r>
      <w:r>
        <w:rPr>
          <w:rStyle w:val="VerbatimChar"/>
        </w:rPr>
        <w:t xml:space="preserve">R/02_clean_abstracts.R</w:t>
      </w:r>
      <w:r>
        <w:t xml:space="preserve"> </w:t>
      </w:r>
      <w:r>
        <w:t xml:space="preserve">derives every text-based predictor</w:t>
      </w:r>
      <w:r>
        <w:t xml:space="preserve"> </w:t>
      </w:r>
      <w:r>
        <w:rPr>
          <w:i/>
          <w:iCs/>
        </w:rPr>
        <w:t xml:space="preserve">before</w:t>
      </w:r>
      <w:r>
        <w:t xml:space="preserve"> </w:t>
      </w:r>
      <w:r>
        <w:t xml:space="preserve">the recovery steps in A8.2 run, and never recomputes them, so the recovered text improved matching but not variable extraction. The resulting step change at 2018/2019 in</w:t>
      </w:r>
      <w:r>
        <w:t xml:space="preserve"> </w:t>
      </w:r>
      <w:r>
        <w:rPr>
          <w:rStyle w:val="VerbatimChar"/>
        </w:rPr>
        <w:t xml:space="preserve">is_us_based</w:t>
      </w:r>
      <w:r>
        <w:t xml:space="preserve">,</w:t>
      </w:r>
      <w:r>
        <w:t xml:space="preserve"> </w:t>
      </w:r>
      <w:r>
        <w:rPr>
          <w:rStyle w:val="VerbatimChar"/>
        </w:rPr>
        <w:t xml:space="preserve">is_academic</w:t>
      </w:r>
      <w:r>
        <w:t xml:space="preserve">,</w:t>
      </w:r>
      <w:r>
        <w:t xml:space="preserve"> </w:t>
      </w:r>
      <w:r>
        <w:rPr>
          <w:rStyle w:val="VerbatimChar"/>
        </w:rPr>
        <w:t xml:space="preserve">sample_size</w:t>
      </w:r>
      <w:r>
        <w:t xml:space="preserve">,</w:t>
      </w:r>
      <w:r>
        <w:t xml:space="preserve"> </w:t>
      </w:r>
      <w:r>
        <w:rPr>
          <w:rStyle w:val="VerbatimChar"/>
        </w:rPr>
        <w:t xml:space="preserve">study_design</w:t>
      </w:r>
      <w:r>
        <w:t xml:space="preserve"> </w:t>
      </w:r>
      <w:r>
        <w:t xml:space="preserve">and</w:t>
      </w:r>
      <w:r>
        <w:t xml:space="preserve"> </w:t>
      </w:r>
      <w:r>
        <w:rPr>
          <w:rStyle w:val="VerbatimChar"/>
        </w:rPr>
        <w:t xml:space="preserve">has_numeric_results</w:t>
      </w:r>
      <w:r>
        <w:t xml:space="preserve"> </w:t>
      </w:r>
      <w:r>
        <w:t xml:space="preserve">is documented as F3 in</w:t>
      </w:r>
      <w:r>
        <w:t xml:space="preserve"> </w:t>
      </w:r>
      <w:r>
        <w:rPr>
          <w:rStyle w:val="VerbatimChar"/>
        </w:rPr>
        <w:t xml:space="preserve">docs/FAILURE_MODES.md</w:t>
      </w:r>
      <w:r>
        <w:t xml:space="preserve"> </w:t>
      </w:r>
      <w:r>
        <w:t xml:space="preserve">and affects every coefficient in the Cox and logistic models.</w:t>
      </w:r>
    </w:p>
    <w:bookmarkEnd w:id="48"/>
    <w:bookmarkStart w:id="49"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49"/>
    <w:bookmarkEnd w:id="50"/>
    <w:bookmarkStart w:id="54"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51"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51"/>
    <w:bookmarkStart w:id="52"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88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gender_unified, first_author_state, first_author_acog_district, practice_type, subspecialty, career_stage, n_unique_affiliations</w:t>
            </w:r>
          </w:p>
        </w:tc>
        <w:tc>
          <w:tcPr/>
          <w:p>
            <w:pPr>
              <w:pStyle w:val="Compact"/>
            </w:pPr>
            <w:r>
              <w:t xml:space="preserve">PubMed XML + SSA + ACGME</w:t>
            </w:r>
          </w:p>
        </w:tc>
      </w:tr>
    </w:tbl>
    <w:bookmarkEnd w:id="52"/>
    <w:bookmarkStart w:id="53"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53"/>
    <w:bookmarkEnd w:id="54"/>
    <w:bookmarkStart w:id="70" w:name="a10.-npi-identity-resolution"/>
    <w:p>
      <w:pPr>
        <w:pStyle w:val="Heading2"/>
      </w:pPr>
      <w:r>
        <w:t xml:space="preserve">A10. NPI Identity Resolution</w:t>
      </w:r>
    </w:p>
    <w:bookmarkStart w:id="55" w:name="a10.1-overview"/>
    <w:p>
      <w:pPr>
        <w:pStyle w:val="Heading3"/>
      </w:pPr>
      <w:r>
        <w:t xml:space="preserve">A10.1 Overview</w:t>
      </w:r>
    </w:p>
    <w:p>
      <w:pPr>
        <w:pStyle w:val="FirstParagraph"/>
      </w:pPr>
      <w:r>
        <w:t xml:space="preserve">To obtain physician-level demographics independent of the abstract-to-publication matching pipeline, first authors with US-based affiliations were linked to National Provider Identifiers (NPIs) using a probabilistic identity resolution approach. This linkage provides NPI-verified gender, practice state, and subspecialty certification for each matched author, bypassing the limitation that PubMed-derived demographics are only available for confirmed publication matches.</w:t>
      </w:r>
    </w:p>
    <w:bookmarkEnd w:id="55"/>
    <w:bookmarkStart w:id="56" w:name="a10.2-candidate-pool"/>
    <w:p>
      <w:pPr>
        <w:pStyle w:val="Heading3"/>
      </w:pPr>
      <w:r>
        <w:t xml:space="preserve">A10.2 Candidate Pool</w:t>
      </w:r>
    </w:p>
    <w:p>
      <w:pPr>
        <w:pStyle w:val="FirstParagraph"/>
      </w:pPr>
      <w:r>
        <w:t xml:space="preserve">Rather than searching the full NPPES registry (2.1 million providers, 213,000 with OB/GYN taxonomy codes), candidates were drawn from the isochrones project’s canonical ABOG-NPI dataset: 60,846 board-certified obstetrician-gynecologists with validated NPI linkages, full names, practice states, gender, and ABOG subspecialty certifications (Generalist, MIG [minimally invasive gynecology], Female Pelvic Medicine &amp; Reconstructive Surgery, Gynecologic Oncology, Maternal-Fetal Medicine, Reproductive Endocrinology and Infertility, Complex Family Planning, and others). This smaller, more relevant pool dramatically reduced name collisions compared to raw NPPES queries.</w:t>
      </w:r>
    </w:p>
    <w:bookmarkEnd w:id="56"/>
    <w:bookmarkStart w:id="57" w:name="a10.3-name-parsing"/>
    <w:p>
      <w:pPr>
        <w:pStyle w:val="Heading3"/>
      </w:pPr>
      <w:r>
        <w:t xml:space="preserve">A10.3 Name Parsing</w:t>
      </w:r>
    </w:p>
    <w:p>
      <w:pPr>
        <w:pStyle w:val="FirstParagraph"/>
      </w:pPr>
      <w:r>
        <w:t xml:space="preserve">Author names from the AAGL abstract listings (e.g.,</w:t>
      </w:r>
      <w:r>
        <w:t xml:space="preserve"> </w:t>
      </w:r>
      <w:r>
        <w:t xml:space="preserve">“R.S. Guido”</w:t>
      </w:r>
      <w:r>
        <w:t xml:space="preserve">,</w:t>
      </w:r>
      <w:r>
        <w:t xml:space="preserve"> </w:t>
      </w:r>
      <w:r>
        <w:t xml:space="preserve">“E. Chapman-Davis”</w:t>
      </w:r>
      <w:r>
        <w:t xml:space="preserve">,</w:t>
      </w:r>
      <w:r>
        <w:t xml:space="preserve"> </w:t>
      </w:r>
      <w:r>
        <w:t xml:space="preserve">“J.P.M. Penninx”</w:t>
      </w:r>
      <w:r>
        <w:t xml:space="preserve">) were parsed using the</w:t>
      </w:r>
      <w:r>
        <w:t xml:space="preserve"> </w:t>
      </w:r>
      <w:r>
        <w:rPr>
          <w:rStyle w:val="VerbatimChar"/>
        </w:rPr>
        <w:t xml:space="preserve">humaniformat</w:t>
      </w:r>
      <w:r>
        <w:t xml:space="preserve"> </w:t>
      </w:r>
      <w:r>
        <w:t xml:space="preserve">R package, which correctly handles compound surnames (El Hachem, Chapman-Davis, St. Louis), multi-initial first names, and suffixes. A fallback to regex-based normalization was applied for edge cases. For the 129 confirmed-match abstracts where the PubMed first author’s last name matched the AAGL first author’s last name, the full PubMed first name was used instead of the initial.</w:t>
      </w:r>
    </w:p>
    <w:bookmarkEnd w:id="57"/>
    <w:bookmarkStart w:id="58" w:name="a10.4-matching-strategies"/>
    <w:p>
      <w:pPr>
        <w:pStyle w:val="Heading3"/>
      </w:pPr>
      <w:r>
        <w:t xml:space="preserve">A10.4 Matching Strategies</w:t>
      </w:r>
    </w:p>
    <w:p>
      <w:pPr>
        <w:pStyle w:val="FirstParagraph"/>
      </w:pPr>
      <w:r>
        <w:t xml:space="preserve">Two strategies were applied sequentially:</w:t>
      </w:r>
    </w:p>
    <w:p>
      <w:pPr>
        <w:pStyle w:val="BodyText"/>
      </w:pPr>
      <w:r>
        <w:rPr>
          <w:b/>
          <w:bCs/>
        </w:rPr>
        <w:t xml:space="preserve">Strategy A (exact full name):</w:t>
      </w:r>
      <w:r>
        <w:t xml:space="preserve"> </w:t>
      </w:r>
      <w:r>
        <w:t xml:space="preserve">For authors with full first names (from confirmed PubMed matches where names agreed), the ABOG pool was searched by exact first name and last name. Base confidence: 0.95.</w:t>
      </w:r>
    </w:p>
    <w:p>
      <w:pPr>
        <w:pStyle w:val="BodyText"/>
      </w:pPr>
      <w:r>
        <w:rPr>
          <w:b/>
          <w:bCs/>
        </w:rPr>
        <w:t xml:space="preserve">Strategy B (initial + last name):</w:t>
      </w:r>
      <w:r>
        <w:t xml:space="preserve"> </w:t>
      </w:r>
      <w:r>
        <w:t xml:space="preserve">For the remaining authors with initials only, the pool was searched by last name and first initial. Base confidence: 0.70.</w:t>
      </w:r>
    </w:p>
    <w:p>
      <w:pPr>
        <w:pStyle w:val="BodyText"/>
      </w:pPr>
      <w:r>
        <w:t xml:space="preserve">A fuzzy last-name fallback was applied when exact matching returned no candidates: hyphens and spaces were stripped from both the query and pool names (e.g.,</w:t>
      </w:r>
      <w:r>
        <w:t xml:space="preserve"> </w:t>
      </w:r>
      <w:r>
        <w:t xml:space="preserve">“CHAPMANDAVIS”</w:t>
      </w:r>
      <w:r>
        <w:t xml:space="preserve"> </w:t>
      </w:r>
      <w:r>
        <w:t xml:space="preserve">matching</w:t>
      </w:r>
      <w:r>
        <w:t xml:space="preserve"> </w:t>
      </w:r>
      <w:r>
        <w:t xml:space="preserve">“CHAPMAN-DAVIS”</w:t>
      </w:r>
      <w:r>
        <w:t xml:space="preserve">), recovering compound-name mismatches.</w:t>
      </w:r>
    </w:p>
    <w:bookmarkEnd w:id="58"/>
    <w:bookmarkStart w:id="59" w:name="a10.5-scoring"/>
    <w:p>
      <w:pPr>
        <w:pStyle w:val="Heading3"/>
      </w:pPr>
      <w:r>
        <w:t xml:space="preserve">A10.5 Scoring</w:t>
      </w:r>
    </w:p>
    <w:p>
      <w:pPr>
        <w:pStyle w:val="TableCaption"/>
      </w:pPr>
      <w:r>
        <w:t xml:space="preserve">NPI matching composite scoring system</w:t>
      </w:r>
    </w:p>
    <w:tbl>
      <w:tblPr>
        <w:tblStyle w:val="Table"/>
        <w:tblW w:type="auto" w:w="0"/>
        <w:tblLook w:firstRow="1" w:lastRow="0" w:firstColumn="0" w:lastColumn="0" w:noHBand="0" w:noVBand="0" w:val="0020"/>
        <w:tblCaption w:val="NPI matching composite scoring system"/>
      </w:tblPr>
      <w:tblGrid>
        <w:gridCol w:w="3960"/>
        <w:gridCol w:w="3960"/>
      </w:tblGrid>
      <w:tr>
        <w:trPr>
          <w:tblHeader w:val="on"/>
        </w:trPr>
        <w:tc>
          <w:tcPr/>
          <w:p>
            <w:pPr>
              <w:pStyle w:val="Compact"/>
              <w:jc w:val="left"/>
            </w:pPr>
            <w:r>
              <w:t xml:space="preserve">Feature</w:t>
            </w:r>
          </w:p>
        </w:tc>
        <w:tc>
          <w:tcPr/>
          <w:p>
            <w:pPr>
              <w:pStyle w:val="Compact"/>
              <w:jc w:val="left"/>
            </w:pPr>
            <w:r>
              <w:t xml:space="preserve">Points</w:t>
            </w:r>
          </w:p>
        </w:tc>
      </w:tr>
      <w:tr>
        <w:tc>
          <w:tcPr/>
          <w:p>
            <w:pPr>
              <w:pStyle w:val="Compact"/>
              <w:jc w:val="left"/>
            </w:pPr>
            <w:r>
              <w:t xml:space="preserve">Exact first + last name match</w:t>
            </w:r>
          </w:p>
        </w:tc>
        <w:tc>
          <w:tcPr/>
          <w:p>
            <w:pPr>
              <w:pStyle w:val="Compact"/>
              <w:jc w:val="left"/>
            </w:pPr>
            <w:r>
              <w:t xml:space="preserve">+50</w:t>
            </w:r>
          </w:p>
        </w:tc>
      </w:tr>
      <w:tr>
        <w:tc>
          <w:tcPr/>
          <w:p>
            <w:pPr>
              <w:pStyle w:val="Compact"/>
              <w:jc w:val="left"/>
            </w:pPr>
            <w:r>
              <w:t xml:space="preserve">Initial + last name match</w:t>
            </w:r>
          </w:p>
        </w:tc>
        <w:tc>
          <w:tcPr/>
          <w:p>
            <w:pPr>
              <w:pStyle w:val="Compact"/>
              <w:jc w:val="left"/>
            </w:pPr>
            <w:r>
              <w:t xml:space="preserve">+15</w:t>
            </w:r>
          </w:p>
        </w:tc>
      </w:tr>
      <w:tr>
        <w:tc>
          <w:tcPr/>
          <w:p>
            <w:pPr>
              <w:pStyle w:val="Compact"/>
              <w:jc w:val="left"/>
            </w:pPr>
            <w:r>
              <w:t xml:space="preserve">Affiliation state = NPI practice state</w:t>
            </w:r>
          </w:p>
        </w:tc>
        <w:tc>
          <w:tcPr/>
          <w:p>
            <w:pPr>
              <w:pStyle w:val="Compact"/>
              <w:jc w:val="left"/>
            </w:pPr>
            <w:r>
              <w:t xml:space="preserve">+20</w:t>
            </w:r>
          </w:p>
        </w:tc>
      </w:tr>
      <w:tr>
        <w:tc>
          <w:tcPr/>
          <w:p>
            <w:pPr>
              <w:pStyle w:val="Compact"/>
              <w:jc w:val="left"/>
            </w:pPr>
            <w:r>
              <w:t xml:space="preserve">Gender agreement</w:t>
            </w:r>
          </w:p>
        </w:tc>
        <w:tc>
          <w:tcPr/>
          <w:p>
            <w:pPr>
              <w:pStyle w:val="Compact"/>
              <w:jc w:val="left"/>
            </w:pPr>
            <w:r>
              <w:t xml:space="preserve">+10</w:t>
            </w:r>
          </w:p>
        </w:tc>
      </w:tr>
      <w:tr>
        <w:tc>
          <w:tcPr/>
          <w:p>
            <w:pPr>
              <w:pStyle w:val="Compact"/>
              <w:jc w:val="left"/>
            </w:pPr>
            <w:r>
              <w:t xml:space="preserve">MIG (MIGS) subspecialty</w:t>
            </w:r>
          </w:p>
        </w:tc>
        <w:tc>
          <w:tcPr/>
          <w:p>
            <w:pPr>
              <w:pStyle w:val="Compact"/>
              <w:jc w:val="left"/>
            </w:pPr>
            <w:r>
              <w:t xml:space="preserve">+25</w:t>
            </w:r>
          </w:p>
        </w:tc>
      </w:tr>
      <w:tr>
        <w:tc>
          <w:tcPr/>
          <w:p>
            <w:pPr>
              <w:pStyle w:val="Compact"/>
              <w:jc w:val="left"/>
            </w:pPr>
            <w:r>
              <w:t xml:space="preserve">FPMRS + pelvic floor procedure</w:t>
            </w:r>
          </w:p>
        </w:tc>
        <w:tc>
          <w:tcPr/>
          <w:p>
            <w:pPr>
              <w:pStyle w:val="Compact"/>
              <w:jc w:val="left"/>
            </w:pPr>
            <w:r>
              <w:t xml:space="preserve">+15</w:t>
            </w:r>
          </w:p>
        </w:tc>
      </w:tr>
      <w:tr>
        <w:tc>
          <w:tcPr/>
          <w:p>
            <w:pPr>
              <w:pStyle w:val="Compact"/>
              <w:jc w:val="left"/>
            </w:pPr>
            <w:r>
              <w:t xml:space="preserve">GYN_ONC + oncology procedure</w:t>
            </w:r>
          </w:p>
        </w:tc>
        <w:tc>
          <w:tcPr/>
          <w:p>
            <w:pPr>
              <w:pStyle w:val="Compact"/>
              <w:jc w:val="left"/>
            </w:pPr>
            <w:r>
              <w:t xml:space="preserve">+15</w:t>
            </w:r>
          </w:p>
        </w:tc>
      </w:tr>
      <w:tr>
        <w:tc>
          <w:tcPr/>
          <w:p>
            <w:pPr>
              <w:pStyle w:val="Compact"/>
              <w:jc w:val="left"/>
            </w:pPr>
            <w:r>
              <w:t xml:space="preserve">REI + ectopic pregnancy procedure</w:t>
            </w:r>
          </w:p>
        </w:tc>
        <w:tc>
          <w:tcPr/>
          <w:p>
            <w:pPr>
              <w:pStyle w:val="Compact"/>
              <w:jc w:val="left"/>
            </w:pPr>
            <w:r>
              <w:t xml:space="preserve">+10</w:t>
            </w:r>
          </w:p>
        </w:tc>
      </w:tr>
      <w:tr>
        <w:tc>
          <w:tcPr/>
          <w:p>
            <w:pPr>
              <w:pStyle w:val="Compact"/>
              <w:jc w:val="left"/>
            </w:pPr>
            <w:r>
              <w:t xml:space="preserve">Rare name (&lt;=3 in ABOG OB/GYN pool)</w:t>
            </w:r>
          </w:p>
        </w:tc>
        <w:tc>
          <w:tcPr/>
          <w:p>
            <w:pPr>
              <w:pStyle w:val="Compact"/>
              <w:jc w:val="left"/>
            </w:pPr>
            <w:r>
              <w:t xml:space="preserve">+10</w:t>
            </w:r>
          </w:p>
        </w:tc>
      </w:tr>
    </w:tbl>
    <w:p>
      <w:pPr>
        <w:pStyle w:val="BodyText"/>
      </w:pPr>
      <w:r>
        <w:t xml:space="preserve">The MIGS subspecialty bonus (+25 points) reflects the strong prior that presenters at the AAGL Global Congress — the premier minimally invasive gynecology meeting — are disproportionately likely to hold MIG certification. Subspecialty-procedure concordance bonuses (FPMRS for pelvic floor abstracts, GYN_ONC for oncology abstracts) provided additional tiebreaking signal.</w:t>
      </w:r>
    </w:p>
    <w:bookmarkEnd w:id="59"/>
    <w:bookmarkStart w:id="60" w:name="a10.6-classification-tiers"/>
    <w:p>
      <w:pPr>
        <w:pStyle w:val="Heading3"/>
      </w:pPr>
      <w:r>
        <w:t xml:space="preserve">A10.6 Classification Tiers</w:t>
      </w:r>
    </w:p>
    <w:p>
      <w:pPr>
        <w:pStyle w:val="TableCaption"/>
      </w:pPr>
      <w:r>
        <w:t xml:space="preserve">NPI match classification tiers</w:t>
      </w:r>
    </w:p>
    <w:tbl>
      <w:tblPr>
        <w:tblStyle w:val="Table"/>
        <w:tblW w:type="pct" w:w="5000"/>
        <w:tblLayout w:type="fixed"/>
        <w:tblLook w:firstRow="1" w:lastRow="0" w:firstColumn="0" w:lastColumn="0" w:noHBand="0" w:noVBand="0" w:val="0020"/>
        <w:tblCaption w:val="NPI match classification tiers"/>
      </w:tblPr>
      <w:tblGrid>
        <w:gridCol w:w="1808"/>
        <w:gridCol w:w="5363"/>
        <w:gridCol w:w="748"/>
      </w:tblGrid>
      <w:tr>
        <w:trPr>
          <w:tblHeader w:val="on"/>
        </w:trPr>
        <w:tc>
          <w:tcPr/>
          <w:p>
            <w:pPr>
              <w:pStyle w:val="Compact"/>
              <w:jc w:val="left"/>
            </w:pPr>
            <w:r>
              <w:t xml:space="preserve">Tier</w:t>
            </w:r>
          </w:p>
        </w:tc>
        <w:tc>
          <w:tcPr/>
          <w:p>
            <w:pPr>
              <w:pStyle w:val="Compact"/>
              <w:jc w:val="left"/>
            </w:pPr>
            <w:r>
              <w:t xml:space="preserve">Criteria</w:t>
            </w:r>
          </w:p>
        </w:tc>
        <w:tc>
          <w:tcPr/>
          <w:p>
            <w:pPr>
              <w:pStyle w:val="Compact"/>
              <w:jc w:val="left"/>
            </w:pPr>
            <w:r>
              <w:t xml:space="preserve">Action</w:t>
            </w:r>
          </w:p>
        </w:tc>
      </w:tr>
      <w:tr>
        <w:tc>
          <w:tcPr/>
          <w:p>
            <w:pPr>
              <w:pStyle w:val="Compact"/>
              <w:jc w:val="left"/>
            </w:pPr>
            <w:r>
              <w:t xml:space="preserve">A: High confidence</w:t>
            </w:r>
          </w:p>
        </w:tc>
        <w:tc>
          <w:tcPr/>
          <w:p>
            <w:pPr>
              <w:pStyle w:val="Compact"/>
              <w:jc w:val="left"/>
            </w:pPr>
            <w:r>
              <w:t xml:space="preserve">Score &gt;= 50 AND unique top candidate (gap &gt;= 10 to second)</w:t>
            </w:r>
          </w:p>
        </w:tc>
        <w:tc>
          <w:tcPr/>
          <w:p>
            <w:pPr>
              <w:pStyle w:val="Compact"/>
              <w:jc w:val="left"/>
            </w:pPr>
            <w:r>
              <w:t xml:space="preserve">Auto-accept</w:t>
            </w:r>
          </w:p>
        </w:tc>
      </w:tr>
      <w:tr>
        <w:tc>
          <w:tcPr/>
          <w:p>
            <w:pPr>
              <w:pStyle w:val="Compact"/>
              <w:jc w:val="left"/>
            </w:pPr>
            <w:r>
              <w:t xml:space="preserve">A: High confidence (relaxed)</w:t>
            </w:r>
          </w:p>
        </w:tc>
        <w:tc>
          <w:tcPr/>
          <w:p>
            <w:pPr>
              <w:pStyle w:val="Compact"/>
              <w:jc w:val="left"/>
            </w:pPr>
            <w:r>
              <w:t xml:space="preserve">Score &gt;= 35 AND exactly 1 candidate in entire ABOG pool (single-candidate relaxation)</w:t>
            </w:r>
          </w:p>
        </w:tc>
        <w:tc>
          <w:tcPr/>
          <w:p>
            <w:pPr>
              <w:pStyle w:val="Compact"/>
              <w:jc w:val="left"/>
            </w:pPr>
            <w:r>
              <w:t xml:space="preserve">Auto-accept</w:t>
            </w:r>
          </w:p>
        </w:tc>
      </w:tr>
      <w:tr>
        <w:tc>
          <w:tcPr/>
          <w:p>
            <w:pPr>
              <w:pStyle w:val="Compact"/>
              <w:jc w:val="left"/>
            </w:pPr>
            <w:r>
              <w:t xml:space="preserve">B: Ambiguous</w:t>
            </w:r>
          </w:p>
        </w:tc>
        <w:tc>
          <w:tcPr/>
          <w:p>
            <w:pPr>
              <w:pStyle w:val="Compact"/>
              <w:jc w:val="left"/>
            </w:pPr>
            <w:r>
              <w:t xml:space="preserve">Score 30-49 OR multiple candidates within 10 points</w:t>
            </w:r>
          </w:p>
        </w:tc>
        <w:tc>
          <w:tcPr/>
          <w:p>
            <w:pPr>
              <w:pStyle w:val="Compact"/>
              <w:jc w:val="left"/>
            </w:pPr>
            <w:r>
              <w:t xml:space="preserve">Withheld</w:t>
            </w:r>
          </w:p>
        </w:tc>
      </w:tr>
      <w:tr>
        <w:tc>
          <w:tcPr/>
          <w:p>
            <w:pPr>
              <w:pStyle w:val="Compact"/>
              <w:jc w:val="left"/>
            </w:pPr>
            <w:r>
              <w:t xml:space="preserve">C: No match</w:t>
            </w:r>
          </w:p>
        </w:tc>
        <w:tc>
          <w:tcPr/>
          <w:p>
            <w:pPr>
              <w:pStyle w:val="Compact"/>
              <w:jc w:val="left"/>
            </w:pPr>
            <w:r>
              <w:t xml:space="preserve">Score &lt; 30 OR no candidates after filtering</w:t>
            </w:r>
          </w:p>
        </w:tc>
        <w:tc>
          <w:tcPr/>
          <w:p>
            <w:pPr>
              <w:pStyle w:val="Compact"/>
              <w:jc w:val="left"/>
            </w:pPr>
            <w:r>
              <w:t xml:space="preserve">Unmatched</w:t>
            </w:r>
          </w:p>
        </w:tc>
      </w:tr>
    </w:tbl>
    <w:bookmarkEnd w:id="60"/>
    <w:bookmarkStart w:id="61" w:name="a10.7-single-candidate-relaxation-rule"/>
    <w:p>
      <w:pPr>
        <w:pStyle w:val="Heading3"/>
      </w:pPr>
      <w:r>
        <w:t xml:space="preserve">A10.7 Single-Candidate Relaxation Rule</w:t>
      </w:r>
    </w:p>
    <w:p>
      <w:pPr>
        <w:pStyle w:val="FirstParagraph"/>
      </w:pPr>
      <w:r>
        <w:t xml:space="preserve">The standard Tier A threshold requires a composite score of at least 50 points with a 10-point gap to the second-best candidate. For authors matched by initial + last name (base score 15), reaching 50 points requires strong corroborating signals (state match + gender match + rare name or MIGS subspecialty). This threshold is appropriate when multiple candidates exist and disambiguation is needed.</w:t>
      </w:r>
    </w:p>
    <w:p>
      <w:pPr>
        <w:pStyle w:val="BodyText"/>
      </w:pPr>
      <w:r>
        <w:t xml:space="preserve">However, when the ABOG pool contains exactly one board-certified OB/GYN with a given last name and first initial, the probability of a false match is inherently low regardless of corroborating signals. In such cases, the threshold was relaxed to 35 points. The rationale:</w:t>
      </w:r>
    </w:p>
    <w:p>
      <w:pPr>
        <w:numPr>
          <w:ilvl w:val="0"/>
          <w:numId w:val="1005"/>
        </w:numPr>
      </w:pPr>
      <w:r>
        <w:rPr>
          <w:b/>
          <w:bCs/>
        </w:rPr>
        <w:t xml:space="preserve">Base rate argument.</w:t>
      </w:r>
      <w:r>
        <w:t xml:space="preserve"> </w:t>
      </w:r>
      <w:r>
        <w:t xml:space="preserve">The ABOG pool contains 60,846 physicians. For a unique (last name, first initial) combination to have exactly one entry, the name must be uncommon among US OB/GYNs. The prior probability that a sole-match candidate is the correct person is high.</w:t>
      </w:r>
    </w:p>
    <w:p>
      <w:pPr>
        <w:numPr>
          <w:ilvl w:val="0"/>
          <w:numId w:val="1005"/>
        </w:numPr>
      </w:pPr>
      <w:r>
        <w:rPr>
          <w:b/>
          <w:bCs/>
        </w:rPr>
        <w:t xml:space="preserve">No disambiguation needed.</w:t>
      </w:r>
      <w:r>
        <w:t xml:space="preserve"> </w:t>
      </w:r>
      <w:r>
        <w:t xml:space="preserve">The gap-to-second criterion exists to prevent ambiguous assignments when multiple candidates score similarly. With only one candidate, this criterion is vacuous — there is no competing match to distinguish from.</w:t>
      </w:r>
    </w:p>
    <w:p>
      <w:pPr>
        <w:numPr>
          <w:ilvl w:val="0"/>
          <w:numId w:val="1005"/>
        </w:numPr>
      </w:pPr>
      <w:r>
        <w:rPr>
          <w:b/>
          <w:bCs/>
        </w:rPr>
        <w:t xml:space="preserve">Minimum score guard.</w:t>
      </w:r>
      <w:r>
        <w:t xml:space="preserve"> </w:t>
      </w:r>
      <w:r>
        <w:t xml:space="preserve">The 35-point floor ensures that at least the initial match (+15) plus one corroborating signal (e.g., career plausibility +5 and rare name +10, or state match +20) must be present. Pure initial-only matches without any supporting evidence (score 15) are not accepted.</w:t>
      </w:r>
    </w:p>
    <w:p>
      <w:pPr>
        <w:pStyle w:val="SourceCode"/>
      </w:pPr>
      <w:r>
        <w:rPr>
          <w:rStyle w:val="VerbatimChar"/>
        </w:rPr>
        <w:t xml:space="preserve">## Of 276 Tier A matches, 210 (76%) met the standard threshold (score &gt;= 50) and 66 (24%) were accepted via single-candidate relaxation (score 35-49, sole candidate).</w:t>
      </w:r>
    </w:p>
    <w:bookmarkEnd w:id="61"/>
    <w:bookmarkStart w:id="62" w:name="a10.8-one-to-one-enforcement"/>
    <w:p>
      <w:pPr>
        <w:pStyle w:val="Heading3"/>
      </w:pPr>
      <w:r>
        <w:t xml:space="preserve">A10.8 One-to-One Enforcement</w:t>
      </w:r>
    </w:p>
    <w:p>
      <w:pPr>
        <w:pStyle w:val="FirstParagraph"/>
      </w:pPr>
      <w:r>
        <w:t xml:space="preserve">After scoring, a greedy one-to-one assignment was enforced: if multiple abstracts claimed the same NPI, only the highest-scoring assignment was retained; lower-scoring claimants were demoted to Tier B (ambiguous). This prevents a single prolific physician from being</w:t>
      </w:r>
      <w:r>
        <w:t xml:space="preserve"> </w:t>
      </w:r>
      <w:r>
        <w:t xml:space="preserve">“consumed”</w:t>
      </w:r>
      <w:r>
        <w:t xml:space="preserve"> </w:t>
      </w:r>
      <w:r>
        <w:t xml:space="preserve">by an earlier, weaker match.</w:t>
      </w:r>
    </w:p>
    <w:bookmarkEnd w:id="62"/>
    <w:bookmarkStart w:id="63" w:name="a10.9-results"/>
    <w:p>
      <w:pPr>
        <w:pStyle w:val="Heading3"/>
      </w:pPr>
      <w:r>
        <w:t xml:space="preserve">A10.9 Results</w:t>
      </w:r>
    </w:p>
    <w:p>
      <w:pPr>
        <w:pStyle w:val="SourceCode"/>
      </w:pPr>
      <w:r>
        <w:rPr>
          <w:rStyle w:val="VerbatimChar"/>
        </w:rPr>
        <w:t xml:space="preserve">## </w:t>
      </w:r>
      <w:r>
        <w:br/>
      </w:r>
      <w:r>
        <w:rPr>
          <w:rStyle w:val="VerbatimChar"/>
        </w:rPr>
        <w:t xml:space="preserve">## </w:t>
      </w:r>
      <w:r>
        <w:br/>
      </w:r>
      <w:r>
        <w:rPr>
          <w:rStyle w:val="VerbatimChar"/>
        </w:rPr>
        <w:t xml:space="preserve">## Of 276 Tier A matches, 60 (22%) held MIG (minimally invasive gynecology) subspecialty certification.</w:t>
      </w:r>
    </w:p>
    <w:bookmarkEnd w:id="63"/>
    <w:bookmarkStart w:id="64" w:name="a10.10-limitations"/>
    <w:p>
      <w:pPr>
        <w:pStyle w:val="Heading3"/>
      </w:pPr>
      <w:r>
        <w:t xml:space="preserve">A10.10 Limitations</w:t>
      </w:r>
    </w:p>
    <w:p>
      <w:pPr>
        <w:pStyle w:val="FirstParagraph"/>
      </w:pPr>
      <w:r>
        <w:t xml:space="preserve">The NPI matching approach has several inherent limitations:</w:t>
      </w:r>
    </w:p>
    <w:p>
      <w:pPr>
        <w:numPr>
          <w:ilvl w:val="0"/>
          <w:numId w:val="1006"/>
        </w:numPr>
      </w:pPr>
      <w:r>
        <w:rPr>
          <w:b/>
          <w:bCs/>
        </w:rPr>
        <w:t xml:space="preserve">Initial-only names.</w:t>
      </w:r>
      <w:r>
        <w:t xml:space="preserve"> </w:t>
      </w:r>
      <w:r>
        <w:t xml:space="preserve">The AAGL abstract listing provides only first initials for most authors (e.g.,</w:t>
      </w:r>
      <w:r>
        <w:t xml:space="preserve"> </w:t>
      </w:r>
      <w:r>
        <w:t xml:space="preserve">“J. Smith”</w:t>
      </w:r>
      <w:r>
        <w:t xml:space="preserve">). This prevents exact first-name matching for 559 of 689 US-based authors and increases ambiguity for common surnames.</w:t>
      </w:r>
    </w:p>
    <w:p>
      <w:pPr>
        <w:numPr>
          <w:ilvl w:val="0"/>
          <w:numId w:val="1006"/>
        </w:numPr>
      </w:pPr>
      <w:r>
        <w:rPr>
          <w:b/>
          <w:bCs/>
        </w:rPr>
        <w:t xml:space="preserve">ABOG pool scope.</w:t>
      </w:r>
      <w:r>
        <w:t xml:space="preserve"> </w:t>
      </w:r>
      <w:r>
        <w:t xml:space="preserve">The candidate pool includes only ABOG board-certified physicians. Presenters who are residents, fellows, basic scientists, or international physicians without US board certification will not appear in the pool (estimated 185 of 409 no-match authors).</w:t>
      </w:r>
    </w:p>
    <w:p>
      <w:pPr>
        <w:numPr>
          <w:ilvl w:val="0"/>
          <w:numId w:val="1006"/>
        </w:numPr>
      </w:pPr>
      <w:r>
        <w:rPr>
          <w:b/>
          <w:bCs/>
        </w:rPr>
        <w:t xml:space="preserve">Name changes.</w:t>
      </w:r>
      <w:r>
        <w:t xml:space="preserve"> </w:t>
      </w:r>
      <w:r>
        <w:t xml:space="preserve">Authors who changed surnames (e.g., after marriage) between abstract presentation and ABOG certification will not match unless the ABOG record reflects the name used at the time of presentation.</w:t>
      </w:r>
    </w:p>
    <w:p>
      <w:pPr>
        <w:numPr>
          <w:ilvl w:val="0"/>
          <w:numId w:val="1006"/>
        </w:numPr>
      </w:pPr>
      <w:r>
        <w:rPr>
          <w:b/>
          <w:bCs/>
        </w:rPr>
        <w:t xml:space="preserve">Single-candidate relaxation risk.</w:t>
      </w:r>
      <w:r>
        <w:t xml:space="preserve"> </w:t>
      </w:r>
      <w:r>
        <w:t xml:space="preserve">While the sole-candidate assumption is probabilistically sound, it is possible for a name collision to occur with a non-presenting physician who happens to share the same uncommon name and initial. The 35-point minimum score guard and downstream manual audit mitigate this risk.</w:t>
      </w:r>
    </w:p>
    <w:bookmarkEnd w:id="64"/>
    <w:bookmarkStart w:id="65" w:name="Xfc2c4d5574e168472947f2b3e321522650e5826"/>
    <w:p>
      <w:pPr>
        <w:pStyle w:val="Heading3"/>
      </w:pPr>
      <w:r>
        <w:t xml:space="preserve">A10.11 Coauthor Triangulation for Name Disambiguation</w:t>
      </w:r>
    </w:p>
    <w:p>
      <w:pPr>
        <w:pStyle w:val="FirstParagraph"/>
      </w:pPr>
      <w:r>
        <w:t xml:space="preserve">To resolve initials-only first names (e.g.,</w:t>
      </w:r>
      <w:r>
        <w:t xml:space="preserve"> </w:t>
      </w:r>
      <w:r>
        <w:t xml:space="preserve">“Y.S. Lee”</w:t>
      </w:r>
      <w:r>
        <w:t xml:space="preserve">) into full given names amenable to gender inference, we attempted coauthor triangulation via PubMed co-publication search. The approach exploits the observation that coauthors who appear together on an AAGL abstract may also have co-published a PubMed-indexed article where the first author’s full given name is recorded in the MEDLINE XML</w:t>
      </w:r>
      <w:r>
        <w:t xml:space="preserve"> </w:t>
      </w:r>
      <w:r>
        <w:rPr>
          <w:rStyle w:val="VerbatimChar"/>
        </w:rPr>
        <w:t xml:space="preserve">&lt;ForeName&gt;</w:t>
      </w:r>
      <w:r>
        <w:t xml:space="preserve"> </w:t>
      </w:r>
      <w:r>
        <w:t xml:space="preserve">field.</w:t>
      </w:r>
    </w:p>
    <w:p>
      <w:pPr>
        <w:pStyle w:val="BodyText"/>
      </w:pPr>
      <w:r>
        <w:rPr>
          <w:b/>
          <w:bCs/>
        </w:rPr>
        <w:t xml:space="preserve">Method.</w:t>
      </w:r>
      <w:r>
        <w:t xml:space="preserve"> </w:t>
      </w:r>
      <w:r>
        <w:t xml:space="preserve">For each author missing gender whose</w:t>
      </w:r>
      <w:r>
        <w:t xml:space="preserve"> </w:t>
      </w:r>
      <w:r>
        <w:rPr>
          <w:rStyle w:val="VerbatimChar"/>
        </w:rPr>
        <w:t xml:space="preserve">authors_raw</w:t>
      </w:r>
      <w:r>
        <w:t xml:space="preserve"> </w:t>
      </w:r>
      <w:r>
        <w:t xml:space="preserve">field listed at least two coauthors, we constructed a PubMed query pairing the first author’s surname with a coauthor’s surname using the</w:t>
      </w:r>
      <w:r>
        <w:t xml:space="preserve"> </w:t>
      </w:r>
      <w:r>
        <w:rPr>
          <w:rStyle w:val="VerbatimChar"/>
        </w:rPr>
        <w:t xml:space="preserve">[AU]</w:t>
      </w:r>
      <w:r>
        <w:t xml:space="preserve"> </w:t>
      </w:r>
      <w:r>
        <w:t xml:space="preserve">field tag (e.g.,</w:t>
      </w:r>
      <w:r>
        <w:t xml:space="preserve"> </w:t>
      </w:r>
      <w:r>
        <w:rPr>
          <w:rStyle w:val="VerbatimChar"/>
        </w:rPr>
        <w:t xml:space="preserve">"lee"[AU] AND "park"[AU]</w:t>
      </w:r>
      <w:r>
        <w:t xml:space="preserve">). We attempted two coauthor strategies sequentially:</w:t>
      </w:r>
    </w:p>
    <w:p>
      <w:pPr>
        <w:pStyle w:val="Compact"/>
        <w:numPr>
          <w:ilvl w:val="0"/>
          <w:numId w:val="1007"/>
        </w:numPr>
      </w:pPr>
      <w:r>
        <w:rPr>
          <w:b/>
          <w:bCs/>
        </w:rPr>
        <w:t xml:space="preserve">Senior author triangulation</w:t>
      </w:r>
      <w:r>
        <w:t xml:space="preserve"> </w:t>
      </w:r>
      <w:r>
        <w:t xml:space="preserve">(</w:t>
      </w:r>
      <w:r>
        <w:rPr>
          <w:rStyle w:val="VerbatimChar"/>
        </w:rPr>
        <w:t xml:space="preserve">R/10f</w:t>
      </w:r>
      <w:r>
        <w:t xml:space="preserve">): paired the first author with the last-listed (senior) author.</w:t>
      </w:r>
    </w:p>
    <w:p>
      <w:pPr>
        <w:pStyle w:val="Compact"/>
        <w:numPr>
          <w:ilvl w:val="0"/>
          <w:numId w:val="1007"/>
        </w:numPr>
      </w:pPr>
      <w:r>
        <w:rPr>
          <w:b/>
          <w:bCs/>
        </w:rPr>
        <w:t xml:space="preserve">Second author triangulation</w:t>
      </w:r>
      <w:r>
        <w:t xml:space="preserve"> </w:t>
      </w:r>
      <w:r>
        <w:t xml:space="preserve">(</w:t>
      </w:r>
      <w:r>
        <w:rPr>
          <w:rStyle w:val="VerbatimChar"/>
        </w:rPr>
        <w:t xml:space="preserve">R/10g</w:t>
      </w:r>
      <w:r>
        <w:t xml:space="preserve">): paired the first author with the second-listed author, hypothesizing that immediate collaborators (co-residents, research partners) would share more co-publications than a senior author who may be a department chair.</w:t>
      </w:r>
    </w:p>
    <w:p>
      <w:pPr>
        <w:pStyle w:val="FirstParagraph"/>
      </w:pPr>
      <w:r>
        <w:t xml:space="preserve">For queries returning 1–10 PubMed results, we fetched the first article’s XML and extracted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matched the first author. Pairs sharing the same surname were excluded to prevent false matches. Resolved names underwent gender inference via SSA baby-name data and an international gender lookup table (n = 300+ curated names).</w:t>
      </w:r>
    </w:p>
    <w:p>
      <w:pPr>
        <w:pStyle w:val="BodyText"/>
      </w:pPr>
      <w:r>
        <w:rPr>
          <w:b/>
          <w:bCs/>
        </w:rPr>
        <w:t xml:space="preserve">Results.</w:t>
      </w:r>
      <w:r>
        <w:t xml:space="preserve"> </w:t>
      </w:r>
      <w:r>
        <w:t xml:space="preserve">Senior author triangulation resolved 2 of 300 target names; second author triangulation resolved 0 of 789 targets (after excluding same-surname pairs). The near-zero yield reflects two features of the target population: (1) authors still missing gender at this pipeline stage are predominantly international researchers (East Asian, South Asian, Middle Eastern) whose AAGL collaborators rarely co-publish together in PubMed-indexed journals, and (2) common East Asian surnames (Chen, Kim, Lee, Li, Wang) produce non-specific PubMed queries even when paired with a coauthor, necessitating the same-surname exclusion filter.</w:t>
      </w:r>
    </w:p>
    <w:p>
      <w:pPr>
        <w:pStyle w:val="BodyText"/>
      </w:pPr>
      <w:r>
        <w:rPr>
          <w:b/>
          <w:bCs/>
        </w:rPr>
        <w:t xml:space="preserve">Conclusion.</w:t>
      </w:r>
      <w:r>
        <w:t xml:space="preserve"> </w:t>
      </w:r>
      <w:r>
        <w:t xml:space="preserve">Coauthor triangulation via PubMed is not effective for this population. Three supplementary strategies were implemented to recover full first names and assign gender for the remaining authors, described below.</w:t>
      </w:r>
    </w:p>
    <w:bookmarkEnd w:id="65"/>
    <w:bookmarkStart w:id="66" w:name="X576e1b88a4438505cf95cb72cb47cf90e3cdf84"/>
    <w:p>
      <w:pPr>
        <w:pStyle w:val="Heading3"/>
      </w:pPr>
      <w:r>
        <w:t xml:space="preserve">A10.12 Strategy 2: PubMed Author Search with Institutional Anchor (Script</w:t>
      </w:r>
      <w:r>
        <w:t xml:space="preserve"> </w:t>
      </w:r>
      <w:r>
        <w:rPr>
          <w:rStyle w:val="VerbatimChar"/>
        </w:rPr>
        <w:t xml:space="preserve">09f</w:t>
      </w:r>
      <w:r>
        <w:t xml:space="preserve">)</w:t>
      </w:r>
    </w:p>
    <w:p>
      <w:pPr>
        <w:pStyle w:val="FirstParagraph"/>
      </w:pPr>
      <w:r>
        <w:t xml:space="preserve">For each author still lacking gender whose</w:t>
      </w:r>
      <w:r>
        <w:t xml:space="preserve"> </w:t>
      </w:r>
      <w:r>
        <w:rPr>
          <w:rStyle w:val="VerbatimChar"/>
        </w:rPr>
        <w:t xml:space="preserve">affiliation_raw</w:t>
      </w:r>
      <w:r>
        <w:t xml:space="preserve"> </w:t>
      </w:r>
      <w:r>
        <w:t xml:space="preserve">was non-empty, we constructed a PubMed query combining the author’s last name and initials with an institution keyword extracted from the affiliation string. The affiliation was split on</w:t>
      </w:r>
      <w:r>
        <w:t xml:space="preserve"> </w:t>
      </w:r>
      <w:r>
        <w:rPr>
          <w:rStyle w:val="VerbatimChar"/>
        </w:rPr>
        <w:t xml:space="preserve">|</w:t>
      </w:r>
      <w:r>
        <w:t xml:space="preserve"> </w:t>
      </w:r>
      <w:r>
        <w:t xml:space="preserve">(taking the first listed institution), tokenized on commas, and the first non-departmental, non-geographic token was used as the anchor (e.g.,</w:t>
      </w:r>
      <w:r>
        <w:t xml:space="preserve"> </w:t>
      </w:r>
      <w:r>
        <w:t xml:space="preserve">“Department of Obstetrics, University of Pittsburgh, Pittsburgh, PA”</w:t>
      </w:r>
      <w:r>
        <w:t xml:space="preserve"> </w:t>
      </w:r>
      <w:r>
        <w:t xml:space="preserve">→</w:t>
      </w:r>
      <w:r>
        <w:t xml:space="preserve"> </w:t>
      </w:r>
      <w:r>
        <w:t xml:space="preserve">“University of Pittsburgh”</w:t>
      </w:r>
      <w:r>
        <w:t xml:space="preserve">).</w:t>
      </w:r>
    </w:p>
    <w:p>
      <w:pPr>
        <w:pStyle w:val="BodyText"/>
      </w:pPr>
      <w:r>
        <w:t xml:space="preserve">The PubMed query took the form:</w:t>
      </w:r>
    </w:p>
    <w:p>
      <w:pPr>
        <w:pStyle w:val="SourceCode"/>
      </w:pPr>
      <w:r>
        <w:rPr>
          <w:rStyle w:val="VerbatimChar"/>
        </w:rPr>
        <w:t xml:space="preserve">"Guido RS"[Author] AND "University of Pittsburgh"[Affiliation]</w:t>
      </w:r>
    </w:p>
    <w:p>
      <w:pPr>
        <w:pStyle w:val="FirstParagraph"/>
      </w:pPr>
      <w:r>
        <w:t xml:space="preserve">The returned XML was parsed with</w:t>
      </w:r>
      <w:r>
        <w:t xml:space="preserve"> </w:t>
      </w:r>
      <w:r>
        <w:rPr>
          <w:rStyle w:val="VerbatimChar"/>
        </w:rPr>
        <w:t xml:space="preserve">xml2</w:t>
      </w:r>
      <w:r>
        <w:t xml:space="preserve">;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was extracted and taken as the full first name. Results were cached at</w:t>
      </w:r>
      <w:r>
        <w:t xml:space="preserve"> </w:t>
      </w:r>
      <w:r>
        <w:rPr>
          <w:rStyle w:val="VerbatimChar"/>
        </w:rPr>
        <w:t xml:space="preserve">data/cache/pubmed_author/&lt;last&gt;_&lt;init&gt;.rds</w:t>
      </w:r>
      <w:r>
        <w:t xml:space="preserve">. This strategy recovered full first names for 132 of 225 targets (58.7%), resolving gender for 109 authors, with a net gain of 14 new gender values after coalescing with previously assigned values.</w:t>
      </w:r>
    </w:p>
    <w:bookmarkEnd w:id="66"/>
    <w:bookmarkStart w:id="67" w:name="X61a7bc2260446e302e29cb6820f7b38cf19d7b8"/>
    <w:p>
      <w:pPr>
        <w:pStyle w:val="Heading3"/>
      </w:pPr>
      <w:r>
        <w:t xml:space="preserve">A10.13 Strategy 3: ORCID Person Record Lookup (Script</w:t>
      </w:r>
      <w:r>
        <w:t xml:space="preserve"> </w:t>
      </w:r>
      <w:r>
        <w:rPr>
          <w:rStyle w:val="VerbatimChar"/>
        </w:rPr>
        <w:t xml:space="preserve">09g</w:t>
      </w:r>
      <w:r>
        <w:t xml:space="preserve">)</w:t>
      </w:r>
    </w:p>
    <w:p>
      <w:pPr>
        <w:pStyle w:val="FirstParagraph"/>
      </w:pPr>
      <w:r>
        <w:t xml:space="preserve">For abstracts where a valid ORCID iD had been assigned during the Step 5g enrichment (</w:t>
      </w:r>
      <w:r>
        <w:rPr>
          <w:rStyle w:val="VerbatimChar"/>
        </w:rPr>
        <w:t xml:space="preserve">09e_enrich_orcid.R</w:t>
      </w:r>
      <w:r>
        <w:t xml:space="preserve">), the corresponding cached person record (</w:t>
      </w:r>
      <w:r>
        <w:rPr>
          <w:rStyle w:val="VerbatimChar"/>
        </w:rPr>
        <w:t xml:space="preserve">data/cache/orcid/&lt;orcid_id&gt;_person.rds</w:t>
      </w:r>
      <w:r>
        <w:t xml:space="preserve">) was read locally — no additional API calls were made. The</w:t>
      </w:r>
      <w:r>
        <w:t xml:space="preserve"> </w:t>
      </w:r>
      <w:r>
        <w:rPr>
          <w:rStyle w:val="VerbatimChar"/>
        </w:rPr>
        <w:t xml:space="preserve">given-names</w:t>
      </w:r>
      <w:r>
        <w:t xml:space="preserve"> </w:t>
      </w:r>
      <w:r>
        <w:t xml:space="preserve">value from the ORCID name object was extracted and the first word taken as the first name (e.g.,</w:t>
      </w:r>
      <w:r>
        <w:t xml:space="preserve"> </w:t>
      </w:r>
      <w:r>
        <w:t xml:space="preserve">“Deborah A”</w:t>
      </w:r>
      <w:r>
        <w:t xml:space="preserve"> </w:t>
      </w:r>
      <w:r>
        <w:t xml:space="preserve">→</w:t>
      </w:r>
      <w:r>
        <w:t xml:space="preserve"> </w:t>
      </w:r>
      <w:r>
        <w:t xml:space="preserve">“Deborah”</w:t>
      </w:r>
      <w:r>
        <w:t xml:space="preserve">). Of 174 ORCID-matched abstracts processed, 55 had a publicly listed given name in their ORCID profile. Gender inference via SSA and genderize.io resolved 38 of those, with a net gain of 27 new gender values.</w:t>
      </w:r>
    </w:p>
    <w:bookmarkEnd w:id="67"/>
    <w:bookmarkStart w:id="68" w:name="X59e1524bbc76b51a33e3ce7dac20ba2bf99cacf"/>
    <w:p>
      <w:pPr>
        <w:pStyle w:val="Heading3"/>
      </w:pPr>
      <w:r>
        <w:t xml:space="preserve">A10.14 Strategy 4: OB/GYN Journal Publication Search (Script</w:t>
      </w:r>
      <w:r>
        <w:t xml:space="preserve"> </w:t>
      </w:r>
      <w:r>
        <w:rPr>
          <w:rStyle w:val="VerbatimChar"/>
        </w:rPr>
        <w:t xml:space="preserve">09h</w:t>
      </w:r>
      <w:r>
        <w:t xml:space="preserve">)</w:t>
      </w:r>
    </w:p>
    <w:p>
      <w:pPr>
        <w:pStyle w:val="FirstParagraph"/>
      </w:pPr>
      <w:r>
        <w:t xml:space="preserve">The most productive supplementary strategy searched PubMed for any paper by the first author in a curated list of 17 major OB/GYN and minimally invasive surgery journals, without requiring that the paper be the AAGL abstract itself. The premise is that many AAGL presenters, even if they never published the presented abstract, have published other work in the OB/GYN literature — and those indexed articles contain the full</w:t>
      </w:r>
      <w:r>
        <w:t xml:space="preserve"> </w:t>
      </w:r>
      <w:r>
        <w:rPr>
          <w:rStyle w:val="VerbatimChar"/>
        </w:rPr>
        <w:t xml:space="preserve">&lt;ForeName&gt;</w:t>
      </w:r>
      <w:r>
        <w:t xml:space="preserve"> </w:t>
      </w:r>
      <w:r>
        <w:t xml:space="preserve">in MEDLINE XML.</w:t>
      </w:r>
    </w:p>
    <w:p>
      <w:pPr>
        <w:pStyle w:val="BodyText"/>
      </w:pPr>
      <w:r>
        <w:rPr>
          <w:b/>
          <w:bCs/>
        </w:rPr>
        <w:t xml:space="preserve">Query construction.</w:t>
      </w:r>
      <w:r>
        <w:t xml:space="preserve"> </w:t>
      </w:r>
      <w:r>
        <w:t xml:space="preserve">For each author with last name</w:t>
      </w:r>
      <w:r>
        <w:t xml:space="preserve"> </w:t>
      </w:r>
      <w:r>
        <w:rPr>
          <w:rStyle w:val="VerbatimChar"/>
        </w:rPr>
        <w:t xml:space="preserve">last</w:t>
      </w:r>
      <w:r>
        <w:t xml:space="preserve"> </w:t>
      </w:r>
      <w:r>
        <w:t xml:space="preserve">and initials</w:t>
      </w:r>
      <w:r>
        <w:t xml:space="preserve"> </w:t>
      </w:r>
      <w:r>
        <w:rPr>
          <w:rStyle w:val="VerbatimChar"/>
        </w:rPr>
        <w:t xml:space="preserve">init</w:t>
      </w:r>
      <w:r>
        <w:t xml:space="preserve">, the query was:</w:t>
      </w:r>
    </w:p>
    <w:p>
      <w:pPr>
        <w:pStyle w:val="SourceCode"/>
      </w:pPr>
      <w:r>
        <w:rPr>
          <w:rStyle w:val="VerbatimChar"/>
        </w:rPr>
        <w:t xml:space="preserve">"&lt;last&gt; &lt;init&gt;"[Author] AND (&lt;journal_filter&gt;)</w:t>
      </w:r>
    </w:p>
    <w:p>
      <w:pPr>
        <w:pStyle w:val="FirstParagraph"/>
      </w:pPr>
      <w:r>
        <w:t xml:space="preserve">where</w:t>
      </w:r>
      <w:r>
        <w:t xml:space="preserve"> </w:t>
      </w:r>
      <w:r>
        <w:rPr>
          <w:rStyle w:val="VerbatimChar"/>
        </w:rPr>
        <w:t xml:space="preserve">&lt;journal_filter&gt;</w:t>
      </w:r>
      <w:r>
        <w:t xml:space="preserve"> </w:t>
      </w:r>
      <w:r>
        <w:t xml:space="preserve">was a disjunction of 16 journal title abbreviations using the</w:t>
      </w:r>
      <w:r>
        <w:t xml:space="preserve"> </w:t>
      </w:r>
      <w:r>
        <w:rPr>
          <w:rStyle w:val="VerbatimChar"/>
        </w:rPr>
        <w:t xml:space="preserve">[ta]</w:t>
      </w:r>
      <w:r>
        <w:t xml:space="preserve"> </w:t>
      </w:r>
      <w:r>
        <w:t xml:space="preserve">field tag:</w:t>
      </w:r>
    </w:p>
    <w:p>
      <w:pPr>
        <w:pStyle w:val="SourceCode"/>
      </w:pPr>
      <w:r>
        <w:rPr>
          <w:rStyle w:val="VerbatimChar"/>
        </w:rPr>
        <w:t xml:space="preserve">("Am J Obstet Gynecol"[ta] OR "Obstet Gynecol"[ta] OR</w:t>
      </w:r>
      <w:r>
        <w:br/>
      </w:r>
      <w:r>
        <w:rPr>
          <w:rStyle w:val="VerbatimChar"/>
        </w:rPr>
        <w:t xml:space="preserve"> "J Minim Invasive Gynecol"[ta] OR "Fertil Steril"[ta] OR</w:t>
      </w:r>
      <w:r>
        <w:br/>
      </w:r>
      <w:r>
        <w:rPr>
          <w:rStyle w:val="VerbatimChar"/>
        </w:rPr>
        <w:t xml:space="preserve"> "Gynecol Oncol"[ta] OR "Female Pelvic Med Reconstr Surg"[ta] OR</w:t>
      </w:r>
      <w:r>
        <w:br/>
      </w:r>
      <w:r>
        <w:rPr>
          <w:rStyle w:val="VerbatimChar"/>
        </w:rPr>
        <w:t xml:space="preserve"> "Int J Gynaecol Obstet"[ta] OR "BJOG"[ta] OR</w:t>
      </w:r>
      <w:r>
        <w:br/>
      </w:r>
      <w:r>
        <w:rPr>
          <w:rStyle w:val="VerbatimChar"/>
        </w:rPr>
        <w:t xml:space="preserve"> "Eur J Obstet Gynecol Reprod Biol"[ta] OR "J Gynecol Oncol"[ta] OR</w:t>
      </w:r>
      <w:r>
        <w:br/>
      </w:r>
      <w:r>
        <w:rPr>
          <w:rStyle w:val="VerbatimChar"/>
        </w:rPr>
        <w:t xml:space="preserve"> "Reprod Sci"[ta] OR "Contraception"[ta] OR "Hum Reprod"[ta] OR</w:t>
      </w:r>
      <w:r>
        <w:br/>
      </w:r>
      <w:r>
        <w:rPr>
          <w:rStyle w:val="VerbatimChar"/>
        </w:rPr>
        <w:t xml:space="preserve"> "Menopause"[ta] OR "Ultrasound Obstet Gynecol"[ta] OR "JSLS"[ta])</w:t>
      </w:r>
    </w:p>
    <w:p>
      <w:pPr>
        <w:pStyle w:val="FirstParagraph"/>
      </w:pPr>
      <w:r>
        <w:t xml:space="preserve">Up to 5 PubMed records were fetched for each query. The XML was scanned for an</w:t>
      </w:r>
      <w:r>
        <w:t xml:space="preserve"> </w:t>
      </w:r>
      <w:r>
        <w:rPr>
          <w:rStyle w:val="VerbatimChar"/>
        </w:rPr>
        <w:t xml:space="preserve">&lt;Author&gt;</w:t>
      </w:r>
      <w:r>
        <w:t xml:space="preserve"> </w:t>
      </w:r>
      <w:r>
        <w:t xml:space="preserve">node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terms; when found, the</w:t>
      </w:r>
      <w:r>
        <w:t xml:space="preserve"> </w:t>
      </w:r>
      <w:r>
        <w:rPr>
          <w:rStyle w:val="VerbatimChar"/>
        </w:rPr>
        <w:t xml:space="preserve">&lt;ForeName&gt;</w:t>
      </w:r>
      <w:r>
        <w:t xml:space="preserve"> </w:t>
      </w:r>
      <w:r>
        <w:t xml:space="preserve">was extracted and its first word retained.</w:t>
      </w:r>
    </w:p>
    <w:p>
      <w:pPr>
        <w:pStyle w:val="BodyText"/>
      </w:pPr>
      <w:r>
        <w:rPr>
          <w:b/>
          <w:bCs/>
        </w:rPr>
        <w:t xml:space="preserve">Illustrative examples.</w:t>
      </w:r>
      <w:r>
        <w:t xml:space="preserve"> </w:t>
      </w:r>
      <w:r>
        <w:t xml:space="preserve">The table below shows representative author-name recoveries: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AAGL recorded name</w:t>
            </w:r>
          </w:p>
        </w:tc>
        <w:tc>
          <w:tcPr/>
          <w:p>
            <w:pPr>
              <w:pStyle w:val="Compact"/>
            </w:pPr>
            <w:r>
              <w:t xml:space="preserve">PubMed query</w:t>
            </w:r>
          </w:p>
        </w:tc>
        <w:tc>
          <w:tcPr/>
          <w:p>
            <w:pPr>
              <w:pStyle w:val="Compact"/>
            </w:pPr>
            <w:r>
              <w:t xml:space="preserve">Full first name recovered</w:t>
            </w:r>
          </w:p>
        </w:tc>
        <w:tc>
          <w:tcPr/>
          <w:p>
            <w:pPr>
              <w:pStyle w:val="Compact"/>
            </w:pPr>
            <w:r>
              <w:t xml:space="preserve">Gender</w:t>
            </w:r>
          </w:p>
        </w:tc>
        <w:tc>
          <w:tcPr/>
          <w:p>
            <w:pPr>
              <w:pStyle w:val="Compact"/>
            </w:pPr>
            <w:r>
              <w:t xml:space="preserve">Probability</w:t>
            </w:r>
          </w:p>
        </w:tc>
      </w:tr>
      <w:tr>
        <w:tc>
          <w:tcPr/>
          <w:p>
            <w:pPr>
              <w:pStyle w:val="Compact"/>
            </w:pPr>
            <w:r>
              <w:t xml:space="preserve">R.S. Guido</w:t>
            </w:r>
          </w:p>
        </w:tc>
        <w:tc>
          <w:tcPr/>
          <w:p>
            <w:pPr>
              <w:pStyle w:val="Compact"/>
            </w:pPr>
            <w:r>
              <w:rPr>
                <w:rStyle w:val="VerbatimChar"/>
              </w:rPr>
              <w:t xml:space="preserve">"Guido RS"[Author] AND (JMIG[ta] OR AJOG[ta] OR ...)</w:t>
            </w:r>
          </w:p>
        </w:tc>
        <w:tc>
          <w:tcPr/>
          <w:p>
            <w:pPr>
              <w:pStyle w:val="Compact"/>
            </w:pPr>
            <w:r>
              <w:t xml:space="preserve">Richard</w:t>
            </w:r>
          </w:p>
        </w:tc>
        <w:tc>
          <w:tcPr/>
          <w:p>
            <w:pPr>
              <w:pStyle w:val="Compact"/>
            </w:pPr>
            <w:r>
              <w:t xml:space="preserve">male</w:t>
            </w:r>
          </w:p>
        </w:tc>
        <w:tc>
          <w:tcPr/>
          <w:p>
            <w:pPr>
              <w:pStyle w:val="Compact"/>
            </w:pPr>
            <w:r>
              <w:t xml:space="preserve">99.6%</w:t>
            </w:r>
          </w:p>
        </w:tc>
      </w:tr>
      <w:tr>
        <w:tc>
          <w:tcPr/>
          <w:p>
            <w:pPr>
              <w:pStyle w:val="Compact"/>
            </w:pPr>
            <w:r>
              <w:t xml:space="preserve">E. Banks</w:t>
            </w:r>
          </w:p>
        </w:tc>
        <w:tc>
          <w:tcPr/>
          <w:p>
            <w:pPr>
              <w:pStyle w:val="Compact"/>
            </w:pPr>
            <w:r>
              <w:rPr>
                <w:rStyle w:val="VerbatimChar"/>
              </w:rPr>
              <w:t xml:space="preserve">"Banks E"[Author] AND (...)</w:t>
            </w:r>
          </w:p>
        </w:tc>
        <w:tc>
          <w:tcPr/>
          <w:p>
            <w:pPr>
              <w:pStyle w:val="Compact"/>
            </w:pPr>
            <w:r>
              <w:t xml:space="preserve">Erika</w:t>
            </w:r>
          </w:p>
        </w:tc>
        <w:tc>
          <w:tcPr/>
          <w:p>
            <w:pPr>
              <w:pStyle w:val="Compact"/>
            </w:pPr>
            <w:r>
              <w:t xml:space="preserve">female</w:t>
            </w:r>
          </w:p>
        </w:tc>
        <w:tc>
          <w:tcPr/>
          <w:p>
            <w:pPr>
              <w:pStyle w:val="Compact"/>
            </w:pPr>
            <w:r>
              <w:t xml:space="preserve">99.6%</w:t>
            </w:r>
          </w:p>
        </w:tc>
      </w:tr>
      <w:tr>
        <w:tc>
          <w:tcPr/>
          <w:p>
            <w:pPr>
              <w:pStyle w:val="Compact"/>
            </w:pPr>
            <w:r>
              <w:t xml:space="preserve">K.N. Wright</w:t>
            </w:r>
          </w:p>
        </w:tc>
        <w:tc>
          <w:tcPr/>
          <w:p>
            <w:pPr>
              <w:pStyle w:val="Compact"/>
            </w:pPr>
            <w:r>
              <w:rPr>
                <w:rStyle w:val="VerbatimChar"/>
              </w:rPr>
              <w:t xml:space="preserve">"Wright KN"[Author] AND (...)</w:t>
            </w:r>
          </w:p>
        </w:tc>
        <w:tc>
          <w:tcPr/>
          <w:p>
            <w:pPr>
              <w:pStyle w:val="Compact"/>
            </w:pPr>
            <w:r>
              <w:t xml:space="preserve">Kelly</w:t>
            </w:r>
          </w:p>
        </w:tc>
        <w:tc>
          <w:tcPr/>
          <w:p>
            <w:pPr>
              <w:pStyle w:val="Compact"/>
            </w:pPr>
            <w:r>
              <w:t xml:space="preserve">female</w:t>
            </w:r>
          </w:p>
        </w:tc>
        <w:tc>
          <w:tcPr/>
          <w:p>
            <w:pPr>
              <w:pStyle w:val="Compact"/>
            </w:pPr>
            <w:r>
              <w:t xml:space="preserve">86.3%</w:t>
            </w:r>
          </w:p>
        </w:tc>
      </w:tr>
      <w:tr>
        <w:tc>
          <w:tcPr/>
          <w:p>
            <w:pPr>
              <w:pStyle w:val="Compact"/>
            </w:pPr>
            <w:r>
              <w:t xml:space="preserve">P. Messori</w:t>
            </w:r>
          </w:p>
        </w:tc>
        <w:tc>
          <w:tcPr/>
          <w:p>
            <w:pPr>
              <w:pStyle w:val="Compact"/>
            </w:pPr>
            <w:r>
              <w:rPr>
                <w:rStyle w:val="VerbatimChar"/>
              </w:rPr>
              <w:t xml:space="preserve">"Messori P"[Author] AND (...)</w:t>
            </w:r>
          </w:p>
        </w:tc>
        <w:tc>
          <w:tcPr/>
          <w:p>
            <w:pPr>
              <w:pStyle w:val="Compact"/>
            </w:pPr>
            <w:r>
              <w:t xml:space="preserve">Pietro</w:t>
            </w:r>
          </w:p>
        </w:tc>
        <w:tc>
          <w:tcPr/>
          <w:p>
            <w:pPr>
              <w:pStyle w:val="Compact"/>
            </w:pPr>
            <w:r>
              <w:t xml:space="preserve">male</w:t>
            </w:r>
          </w:p>
        </w:tc>
        <w:tc>
          <w:tcPr/>
          <w:p>
            <w:pPr>
              <w:pStyle w:val="Compact"/>
            </w:pPr>
            <w:r>
              <w:t xml:space="preserve">100%</w:t>
            </w:r>
          </w:p>
        </w:tc>
      </w:tr>
      <w:tr>
        <w:tc>
          <w:tcPr/>
          <w:p>
            <w:pPr>
              <w:pStyle w:val="Compact"/>
            </w:pPr>
            <w:r>
              <w:t xml:space="preserve">D. Lum</w:t>
            </w:r>
          </w:p>
        </w:tc>
        <w:tc>
          <w:tcPr/>
          <w:p>
            <w:pPr>
              <w:pStyle w:val="Compact"/>
            </w:pPr>
            <w:r>
              <w:rPr>
                <w:rStyle w:val="VerbatimChar"/>
              </w:rPr>
              <w:t xml:space="preserve">"Lum D"[Author] AND (...)</w:t>
            </w:r>
          </w:p>
        </w:tc>
        <w:tc>
          <w:tcPr/>
          <w:p>
            <w:pPr>
              <w:pStyle w:val="Compact"/>
            </w:pPr>
            <w:r>
              <w:t xml:space="preserve">Deirdre</w:t>
            </w:r>
          </w:p>
        </w:tc>
        <w:tc>
          <w:tcPr/>
          <w:p>
            <w:pPr>
              <w:pStyle w:val="Compact"/>
            </w:pPr>
            <w:r>
              <w:t xml:space="preserve">female</w:t>
            </w:r>
          </w:p>
        </w:tc>
        <w:tc>
          <w:tcPr/>
          <w:p>
            <w:pPr>
              <w:pStyle w:val="Compact"/>
            </w:pPr>
            <w:r>
              <w:t xml:space="preserve">100%</w:t>
            </w:r>
          </w:p>
        </w:tc>
      </w:tr>
      <w:tr>
        <w:tc>
          <w:tcPr/>
          <w:p>
            <w:pPr>
              <w:pStyle w:val="Compact"/>
            </w:pPr>
            <w:r>
              <w:t xml:space="preserve">T. Singer</w:t>
            </w:r>
          </w:p>
        </w:tc>
        <w:tc>
          <w:tcPr/>
          <w:p>
            <w:pPr>
              <w:pStyle w:val="Compact"/>
            </w:pPr>
            <w:r>
              <w:rPr>
                <w:rStyle w:val="VerbatimChar"/>
              </w:rPr>
              <w:t xml:space="preserve">"Singer T"[Author] AND (...)</w:t>
            </w:r>
          </w:p>
        </w:tc>
        <w:tc>
          <w:tcPr/>
          <w:p>
            <w:pPr>
              <w:pStyle w:val="Compact"/>
            </w:pPr>
            <w:r>
              <w:t xml:space="preserve">Tomer</w:t>
            </w:r>
          </w:p>
        </w:tc>
        <w:tc>
          <w:tcPr/>
          <w:p>
            <w:pPr>
              <w:pStyle w:val="Compact"/>
            </w:pPr>
            <w:r>
              <w:t xml:space="preserve">male</w:t>
            </w:r>
          </w:p>
        </w:tc>
        <w:tc>
          <w:tcPr/>
          <w:p>
            <w:pPr>
              <w:pStyle w:val="Compact"/>
            </w:pPr>
            <w:r>
              <w:t xml:space="preserve">100%</w:t>
            </w:r>
          </w:p>
        </w:tc>
      </w:tr>
    </w:tbl>
    <w:p>
      <w:pPr>
        <w:pStyle w:val="BodyText"/>
      </w:pPr>
      <w:r>
        <w:t xml:space="preserve">Results were cached at</w:t>
      </w:r>
      <w:r>
        <w:t xml:space="preserve"> </w:t>
      </w:r>
      <w:r>
        <w:rPr>
          <w:rStyle w:val="VerbatimChar"/>
        </w:rPr>
        <w:t xml:space="preserve">data/cache/pubmed_obgyn/&lt;last&gt;_&lt;init&gt;.rds</w:t>
      </w:r>
      <w:r>
        <w:t xml:space="preserve"> </w:t>
      </w:r>
      <w:r>
        <w:t xml:space="preserve">to allow instant re-runs.</w:t>
      </w:r>
    </w:p>
    <w:p>
      <w:pPr>
        <w:pStyle w:val="BodyText"/>
      </w:pPr>
      <w:r>
        <w:rPr>
          <w:b/>
          <w:bCs/>
        </w:rPr>
        <w:t xml:space="preserve">Results.</w:t>
      </w:r>
      <w:r>
        <w:t xml:space="preserve"> </w:t>
      </w:r>
      <w:r>
        <w:t xml:space="preserve">Of 684 unique author last-name/initial pairs without gender, 446 (65.2%) yielded a full first name. Gender was inferred for 380 of those via SSA (Pass 1) and genderize.io (Pass 2), comprising 208 female and 172 male authors. The combined four-strategy cascade brought total first-author gender coverage from 202/1,067 (18.9%) after Step 09c to</w:t>
      </w:r>
      <w:r>
        <w:t xml:space="preserve"> </w:t>
      </w:r>
      <w:r>
        <w:rPr>
          <w:b/>
          <w:bCs/>
        </w:rPr>
        <w:t xml:space="preserve">609/1,067 (57.1%)</w:t>
      </w:r>
      <w:r>
        <w:t xml:space="preserve"> </w:t>
      </w:r>
      <w:r>
        <w:t xml:space="preserve">— crossing the 50% threshold used as the inclusion criterion for logistic regression in the primary analysis.</w:t>
      </w:r>
    </w:p>
    <w:bookmarkEnd w:id="68"/>
    <w:bookmarkStart w:id="69" w:name="X8279586a5e41d1134759d5c6e3a278a281deec6"/>
    <w:p>
      <w:pPr>
        <w:pStyle w:val="Heading3"/>
      </w:pPr>
      <w:r>
        <w:t xml:space="preserve">A10.15 Strategy 5: OpenAlex Works Search (Script</w:t>
      </w:r>
      <w:r>
        <w:t xml:space="preserve"> </w:t>
      </w:r>
      <w:r>
        <w:rPr>
          <w:rStyle w:val="VerbatimChar"/>
        </w:rPr>
        <w:t xml:space="preserve">09i</w:t>
      </w:r>
      <w:r>
        <w:t xml:space="preserve">)</w:t>
      </w:r>
    </w:p>
    <w:p>
      <w:pPr>
        <w:pStyle w:val="FirstParagraph"/>
      </w:pPr>
      <w:r>
        <w:t xml:space="preserve">As a complement to the PubMed-based search in Strategy 4, the same journal-restricted approach was applied to the OpenAlex works API. OpenAlex indexes approximately 250 million works across all fields and may include papers absent from MEDLINE — older articles not backfilled into PubMed, papers from journals with incomplete MEDLINE indexing, and some author-manuscript deposits — making it a non-redundant second source.</w:t>
      </w:r>
    </w:p>
    <w:p>
      <w:pPr>
        <w:pStyle w:val="BodyText"/>
      </w:pPr>
      <w:r>
        <w:rPr>
          <w:b/>
          <w:bCs/>
        </w:rPr>
        <w:t xml:space="preserve">Query construction.</w:t>
      </w:r>
      <w:r>
        <w:t xml:space="preserve"> </w:t>
      </w:r>
      <w:r>
        <w:t xml:space="preserve">For each author still missing gender, an HTTP GET request was issued to the OpenAlex works endpoint filtered by journal ISSN and author last name:</w:t>
      </w:r>
    </w:p>
    <w:p>
      <w:pPr>
        <w:pStyle w:val="SourceCode"/>
      </w:pPr>
      <w:r>
        <w:rPr>
          <w:rStyle w:val="VerbatimChar"/>
        </w:rPr>
        <w:t xml:space="preserve">GET https://api.openalex.org/works</w:t>
      </w:r>
      <w:r>
        <w:br/>
      </w:r>
      <w:r>
        <w:rPr>
          <w:rStyle w:val="VerbatimChar"/>
        </w:rPr>
        <w:t xml:space="preserve">  ?filter=primary_location.source.issn:&lt;ISSN1&gt;|&lt;ISSN2&gt;|...,</w:t>
      </w:r>
      <w:r>
        <w:br/>
      </w:r>
      <w:r>
        <w:rPr>
          <w:rStyle w:val="VerbatimChar"/>
        </w:rPr>
        <w:t xml:space="preserve">          raw_author_name.search:&lt;last&gt;</w:t>
      </w:r>
      <w:r>
        <w:br/>
      </w:r>
      <w:r>
        <w:rPr>
          <w:rStyle w:val="VerbatimChar"/>
        </w:rPr>
        <w:t xml:space="preserve">  &amp;select=id,authorships</w:t>
      </w:r>
      <w:r>
        <w:br/>
      </w:r>
      <w:r>
        <w:rPr>
          <w:rStyle w:val="VerbatimChar"/>
        </w:rPr>
        <w:t xml:space="preserve">  &amp;per_page=10</w:t>
      </w:r>
      <w:r>
        <w:br/>
      </w:r>
      <w:r>
        <w:rPr>
          <w:rStyle w:val="VerbatimChar"/>
        </w:rPr>
        <w:t xml:space="preserve">  &amp;mailto=tyler.muffly@dhha.org</w:t>
      </w:r>
    </w:p>
    <w:p>
      <w:pPr>
        <w:pStyle w:val="FirstParagraph"/>
      </w:pPr>
      <w:r>
        <w:t xml:space="preserve">The</w:t>
      </w:r>
      <w:r>
        <w:t xml:space="preserve"> </w:t>
      </w:r>
      <w:r>
        <w:rPr>
          <w:rStyle w:val="VerbatimChar"/>
        </w:rPr>
        <w:t xml:space="preserve">raw_author_name.search</w:t>
      </w:r>
      <w:r>
        <w:t xml:space="preserve"> </w:t>
      </w:r>
      <w:r>
        <w:t xml:space="preserve">filter performs a full-text search over the raw author string as it appears in the original paper (e.g.,</w:t>
      </w:r>
      <w:r>
        <w:t xml:space="preserve"> </w:t>
      </w:r>
      <w:r>
        <w:t xml:space="preserve">“Richard S. Guido”</w:t>
      </w:r>
      <w:r>
        <w:t xml:space="preserve">), allowing retrieval even when the author has not been disambiguated to an OpenAlex author ID. The same 17 journal ISSNs used in Strategy 4 were supplied as a pipe-delimited OR filter.</w:t>
      </w:r>
    </w:p>
    <w:p>
      <w:pPr>
        <w:pStyle w:val="BodyText"/>
      </w:pPr>
      <w:r>
        <w:rPr>
          <w:b/>
          <w:bCs/>
        </w:rPr>
        <w:t xml:space="preserve">Match logic.</w:t>
      </w:r>
      <w:r>
        <w:t xml:space="preserve"> </w:t>
      </w:r>
      <w:r>
        <w:t xml:space="preserve">For each returned authorship, two conditions were required: (1) the raw author name ends with the queried last name (case-insensitive), and (2) the first character of the OpenAlex</w:t>
      </w:r>
      <w:r>
        <w:t xml:space="preserve"> </w:t>
      </w:r>
      <w:r>
        <w:rPr>
          <w:rStyle w:val="VerbatimChar"/>
        </w:rPr>
        <w:t xml:space="preserve">display_name</w:t>
      </w:r>
      <w:r>
        <w:t xml:space="preserve"> </w:t>
      </w:r>
      <w:r>
        <w:t xml:space="preserve">matches the first character of our recorded initials. When both conditions held, the first word of</w:t>
      </w:r>
      <w:r>
        <w:t xml:space="preserve"> </w:t>
      </w:r>
      <w:r>
        <w:rPr>
          <w:rStyle w:val="VerbatimChar"/>
        </w:rPr>
        <w:t xml:space="preserve">display_name</w:t>
      </w:r>
      <w:r>
        <w:t xml:space="preserve"> </w:t>
      </w:r>
      <w:r>
        <w:t xml:space="preserve">was taken as the full first name. Results were cached at</w:t>
      </w:r>
      <w:r>
        <w:t xml:space="preserve"> </w:t>
      </w:r>
      <w:r>
        <w:rPr>
          <w:rStyle w:val="VerbatimChar"/>
        </w:rPr>
        <w:t xml:space="preserve">data/cache/openalex_author/&lt;last&gt;_&lt;init&gt;.rds</w:t>
      </w:r>
      <w:r>
        <w:t xml:space="preserve">.</w:t>
      </w:r>
    </w:p>
    <w:p>
      <w:pPr>
        <w:pStyle w:val="BodyText"/>
      </w:pPr>
      <w:r>
        <w:rPr>
          <w:b/>
          <w:bCs/>
        </w:rPr>
        <w:t xml:space="preserve">Gender inference.</w:t>
      </w:r>
      <w:r>
        <w:t xml:space="preserve"> </w:t>
      </w:r>
      <w:r>
        <w:t xml:space="preserve">Recovered first names were classified by SSA (Pass 1) and genderize.io (Pass 2), identical to Strategies 2–4. Gender values were coalesced with the existing</w:t>
      </w:r>
      <w:r>
        <w:t xml:space="preserve"> </w:t>
      </w:r>
      <w:r>
        <w:rPr>
          <w:rStyle w:val="VerbatimChar"/>
        </w:rPr>
        <w:t xml:space="preserve">gender_unified</w:t>
      </w:r>
      <w:r>
        <w:t xml:space="preserve"> </w:t>
      </w:r>
      <w:r>
        <w:t xml:space="preserve">column — existing assignments were never overwritten.</w:t>
      </w:r>
    </w:p>
    <w:bookmarkEnd w:id="69"/>
    <w:bookmarkEnd w:id="70"/>
    <w:bookmarkStart w:id="163" w:name="Xd66443fb5f10e27aa61b6230b5f717e7f21ecfc"/>
    <w:p>
      <w:pPr>
        <w:pStyle w:val="Heading2"/>
      </w:pPr>
      <w:r>
        <w:t xml:space="preserve">A11. Expanding the Pipeline to Other Subspecialties</w:t>
      </w:r>
    </w:p>
    <w:bookmarkStart w:id="71" w:name="a11.1-rationale"/>
    <w:p>
      <w:pPr>
        <w:pStyle w:val="Heading3"/>
      </w:pPr>
      <w:r>
        <w:t xml:space="preserve">A11.1 Rationale</w:t>
      </w:r>
    </w:p>
    <w:p>
      <w:pPr>
        <w:pStyle w:val="FirstParagraph"/>
      </w:pPr>
      <w:r>
        <w:t xml:space="preserve">The abstract-to-publication pipeline developed for the American Association of Gynecologic Laparoscopists (AAGL) addresses a long-standing methodological gap in surgical education research: the systematic, Cochrane MR000005-compliant tracking of conference abstract fate across an entire subspecialty society. Using the full pipeline, the AAGL dataset achieved a confirmed (definite) publication rate of 11.4% across 1,106 oral presentations from 2012–2023, with a further 21% classified as probable or possible matches — figures that are directly comparable to published abstract-to-publication literature because they follow the same Cochrane methodology for search strategy enumeration, adjudication tier definitions, and time-to-event censoring.</w:t>
      </w:r>
    </w:p>
    <w:p>
      <w:pPr>
        <w:pStyle w:val="BodyText"/>
      </w:pPr>
      <w:r>
        <w:t xml:space="preserve">Three distinct scientific motivations support expanding this pipeline to additional OB/GYN societies.</w:t>
      </w:r>
    </w:p>
    <w:p>
      <w:pPr>
        <w:pStyle w:val="BodyText"/>
      </w:pPr>
      <w:r>
        <w:rPr>
          <w:b/>
          <w:bCs/>
        </w:rPr>
        <w:t xml:space="preserve">Publication bias quantification.</w:t>
      </w:r>
      <w:r>
        <w:t xml:space="preserve"> </w:t>
      </w:r>
      <w:r>
        <w:t xml:space="preserve">A foundational concern in evidence-based medicine is that abstracts with positive or statistically significant results are more likely to be published as full articles. The AAGL dataset alone (n = 1,106 abstracts, 122 definite matches) is underpowered to detect modest publication-bias effects in pre-specified subgroups (e.g., by research category, study design, or calendar year). A pooled multi-society dataset of 6,000–10,000 abstracts would provide adequate statistical power for publication-bias meta-regression using Egger’s test and trim-and-fill methods applied at the conference rather than journal level.</w:t>
      </w:r>
    </w:p>
    <w:p>
      <w:pPr>
        <w:pStyle w:val="BodyText"/>
      </w:pPr>
      <w:r>
        <w:rPr>
          <w:b/>
          <w:bCs/>
        </w:rPr>
        <w:t xml:space="preserve">Academic productivity benchmarking.</w:t>
      </w:r>
      <w:r>
        <w:t xml:space="preserve"> </w:t>
      </w:r>
      <w:r>
        <w:t xml:space="preserve">Hospital systems, academic departments, and fellowship program directors increasingly use conference-abstract-to-publication conversion rates as a proxy for mentorship quality and research productivity. Single-society benchmarks are confounded by society-specific factors (acceptance rate, presentation format, subspecialty norms). A cross-society normative dataset would allow fair inter-institutional comparison by adjusting for subspecialty context.</w:t>
      </w:r>
    </w:p>
    <w:p>
      <w:pPr>
        <w:pStyle w:val="BodyText"/>
      </w:pPr>
      <w:r>
        <w:rPr>
          <w:b/>
          <w:bCs/>
        </w:rPr>
        <w:t xml:space="preserve">Cross-subspecialty comparison.</w:t>
      </w:r>
      <w:r>
        <w:t xml:space="preserve"> </w:t>
      </w:r>
      <w:r>
        <w:t xml:space="preserve">Minimally invasive gynecologic surgery (AAGL), maternal-fetal medicine (SMFM), gynecologic oncology (SGO), and female pelvic medicine and reconstructive surgery (AUGS) represent scientifically adjacent but institutionally distinct communities. Whether publication rates, time-to-publication, and authorship diversity differ systematically across these subspecialties is an open empirical question with implications for how each field values and rewards conference-level scholarship.</w:t>
      </w:r>
    </w:p>
    <w:p>
      <w:pPr>
        <w:pStyle w:val="BodyText"/>
      </w:pPr>
      <w:r>
        <w:t xml:space="preserve">The pipeline’s modular architecture supports three levels of analysis once multi-society data are assembled: (1) within-society trends over time (the current AAGL analysis), (2) cross-society head-to-head comparisons controlling for year and study design, and (3) full OB/GYN landscape analyses treating all societies simultaneously using fixed-effects or random-effects models with society as the clustering variable.</w:t>
      </w:r>
    </w:p>
    <w:bookmarkEnd w:id="71"/>
    <w:bookmarkStart w:id="72" w:name="X8d18a524db344508a97dc288343960ab7476c89"/>
    <w:p>
      <w:pPr>
        <w:pStyle w:val="Heading3"/>
      </w:pPr>
      <w:r>
        <w:t xml:space="preserve">A11.2 Candidate Societies and Conferences</w:t>
      </w:r>
    </w:p>
    <w:p>
      <w:pPr>
        <w:pStyle w:val="FirstParagraph"/>
      </w:pPr>
      <w:r>
        <w:t xml:space="preserve">Ten societies encompassing the full spectrum of OB/GYN subspecialties publish annual meeting abstracts in indexed journals and represent the candidate expansion set. The table below provides complete metadata relevant to pipeline feasibility assessment. Membership size estimates are from publicly available society annual reports and NIH workforce data; average abstract counts per year are derived from CrossRef DOI enumeration or PubMed supplement record counts.</w:t>
      </w:r>
    </w:p>
    <w:tbl>
      <w:tblPr>
        <w:tblStyle w:val="Table"/>
        <w:tblW w:type="pct" w:w="5000"/>
        <w:tblLayout w:type="fixed"/>
        <w:tblLook w:firstRow="1" w:lastRow="0" w:firstColumn="0" w:lastColumn="0" w:noHBand="0" w:noVBand="0" w:val="0020"/>
      </w:tblPr>
      <w:tblGrid>
        <w:gridCol w:w="472"/>
        <w:gridCol w:w="576"/>
        <w:gridCol w:w="681"/>
        <w:gridCol w:w="472"/>
        <w:gridCol w:w="524"/>
        <w:gridCol w:w="472"/>
        <w:gridCol w:w="996"/>
        <w:gridCol w:w="996"/>
        <w:gridCol w:w="1101"/>
        <w:gridCol w:w="786"/>
        <w:gridCol w:w="839"/>
      </w:tblGrid>
      <w:tr>
        <w:trPr>
          <w:tblHeader w:val="on"/>
        </w:trPr>
        <w:tc>
          <w:tcPr/>
          <w:p>
            <w:pPr>
              <w:pStyle w:val="Compact"/>
            </w:pPr>
            <w:r>
              <w:t xml:space="preserve">Society</w:t>
            </w:r>
          </w:p>
        </w:tc>
        <w:tc>
          <w:tcPr/>
          <w:p>
            <w:pPr>
              <w:pStyle w:val="Compact"/>
            </w:pPr>
            <w:r>
              <w:t xml:space="preserve">Full Name</w:t>
            </w:r>
          </w:p>
        </w:tc>
        <w:tc>
          <w:tcPr/>
          <w:p>
            <w:pPr>
              <w:pStyle w:val="Compact"/>
            </w:pPr>
            <w:r>
              <w:t xml:space="preserve">Abbreviation</w:t>
            </w:r>
          </w:p>
        </w:tc>
        <w:tc>
          <w:tcPr/>
          <w:p>
            <w:pPr>
              <w:pStyle w:val="Compact"/>
            </w:pPr>
            <w:r>
              <w:t xml:space="preserve">Journal</w:t>
            </w:r>
          </w:p>
        </w:tc>
        <w:tc>
          <w:tcPr/>
          <w:p>
            <w:pPr>
              <w:pStyle w:val="Compact"/>
            </w:pPr>
            <w:r>
              <w:t xml:space="preserve">Platform</w:t>
            </w:r>
          </w:p>
        </w:tc>
        <w:tc>
          <w:tcPr/>
          <w:p>
            <w:pPr>
              <w:pStyle w:val="Compact"/>
            </w:pPr>
            <w:r>
              <w:t xml:space="preserve">DOI Type</w:t>
            </w:r>
          </w:p>
        </w:tc>
        <w:tc>
          <w:tcPr/>
          <w:p>
            <w:pPr>
              <w:pStyle w:val="Compact"/>
            </w:pPr>
            <w:r>
              <w:t xml:space="preserve">Avg Abstracts/Year</w:t>
            </w:r>
          </w:p>
        </w:tc>
        <w:tc>
          <w:tcPr/>
          <w:p>
            <w:pPr>
              <w:pStyle w:val="Compact"/>
            </w:pPr>
            <w:r>
              <w:t xml:space="preserve">Members (approx.)</w:t>
            </w:r>
          </w:p>
        </w:tc>
        <w:tc>
          <w:tcPr/>
          <w:p>
            <w:pPr>
              <w:pStyle w:val="Compact"/>
            </w:pPr>
            <w:r>
              <w:t xml:space="preserve">Subspecialty Focus</w:t>
            </w:r>
          </w:p>
        </w:tc>
        <w:tc>
          <w:tcPr/>
          <w:p>
            <w:pPr>
              <w:pStyle w:val="Compact"/>
            </w:pPr>
            <w:r>
              <w:t xml:space="preserve">Meeting Month</w:t>
            </w:r>
          </w:p>
        </w:tc>
        <w:tc>
          <w:tcPr/>
          <w:p>
            <w:pPr>
              <w:pStyle w:val="Compact"/>
            </w:pPr>
            <w:r>
              <w:t xml:space="preserve">Years Available</w:t>
            </w:r>
          </w:p>
        </w:tc>
      </w:tr>
      <w:tr>
        <w:tc>
          <w:tcPr/>
          <w:p>
            <w:pPr>
              <w:pStyle w:val="Compact"/>
            </w:pPr>
            <w:r>
              <w:t xml:space="preserve">AAGL</w:t>
            </w:r>
          </w:p>
        </w:tc>
        <w:tc>
          <w:tcPr/>
          <w:p>
            <w:pPr>
              <w:pStyle w:val="Compact"/>
            </w:pPr>
            <w:r>
              <w:t xml:space="preserve">Amer. Assoc. of Gynecologic Laparoscopists</w:t>
            </w:r>
          </w:p>
        </w:tc>
        <w:tc>
          <w:tcPr/>
          <w:p>
            <w:pPr>
              <w:pStyle w:val="Compact"/>
            </w:pPr>
            <w:r>
              <w:t xml:space="preserve">AAGL</w:t>
            </w:r>
          </w:p>
        </w:tc>
        <w:tc>
          <w:tcPr/>
          <w:p>
            <w:pPr>
              <w:pStyle w:val="Compact"/>
            </w:pPr>
            <w:r>
              <w:rPr>
                <w:i/>
                <w:iCs/>
              </w:rPr>
              <w:t xml:space="preserve">JMIG</w:t>
            </w:r>
          </w:p>
        </w:tc>
        <w:tc>
          <w:tcPr/>
          <w:p>
            <w:pPr>
              <w:pStyle w:val="Compact"/>
            </w:pPr>
            <w:r>
              <w:t xml:space="preserve">ScienceDirect</w:t>
            </w:r>
          </w:p>
        </w:tc>
        <w:tc>
          <w:tcPr/>
          <w:p>
            <w:pPr>
              <w:pStyle w:val="Compact"/>
            </w:pPr>
            <w:r>
              <w:t xml:space="preserve">Individual</w:t>
            </w:r>
          </w:p>
        </w:tc>
        <w:tc>
          <w:tcPr/>
          <w:p>
            <w:pPr>
              <w:pStyle w:val="Compact"/>
            </w:pPr>
            <w:r>
              <w:t xml:space="preserve">~90</w:t>
            </w:r>
          </w:p>
        </w:tc>
        <w:tc>
          <w:tcPr/>
          <w:p>
            <w:pPr>
              <w:pStyle w:val="Compact"/>
            </w:pPr>
            <w:r>
              <w:t xml:space="preserve">7,000</w:t>
            </w:r>
          </w:p>
        </w:tc>
        <w:tc>
          <w:tcPr/>
          <w:p>
            <w:pPr>
              <w:pStyle w:val="Compact"/>
            </w:pPr>
            <w:r>
              <w:t xml:space="preserve">MIGS</w:t>
            </w:r>
          </w:p>
        </w:tc>
        <w:tc>
          <w:tcPr/>
          <w:p>
            <w:pPr>
              <w:pStyle w:val="Compact"/>
            </w:pPr>
            <w:r>
              <w:t xml:space="preserve">Nov</w:t>
            </w:r>
          </w:p>
        </w:tc>
        <w:tc>
          <w:tcPr/>
          <w:p>
            <w:pPr>
              <w:pStyle w:val="Compact"/>
            </w:pPr>
            <w:r>
              <w:t xml:space="preserve">2012–2023</w:t>
            </w:r>
          </w:p>
        </w:tc>
      </w:tr>
      <w:tr>
        <w:tc>
          <w:tcPr/>
          <w:p>
            <w:pPr>
              <w:pStyle w:val="Compact"/>
            </w:pPr>
            <w:r>
              <w:t xml:space="preserve">SMFM</w:t>
            </w:r>
          </w:p>
        </w:tc>
        <w:tc>
          <w:tcPr/>
          <w:p>
            <w:pPr>
              <w:pStyle w:val="Compact"/>
            </w:pPr>
            <w:r>
              <w:t xml:space="preserve">Society for Maternal-Fetal Medicine</w:t>
            </w:r>
          </w:p>
        </w:tc>
        <w:tc>
          <w:tcPr/>
          <w:p>
            <w:pPr>
              <w:pStyle w:val="Compact"/>
            </w:pPr>
            <w:r>
              <w:t xml:space="preserve">SMFM</w:t>
            </w:r>
          </w:p>
        </w:tc>
        <w:tc>
          <w:tcPr/>
          <w:p>
            <w:pPr>
              <w:pStyle w:val="Compact"/>
            </w:pPr>
            <w:r>
              <w:rPr>
                <w:i/>
                <w:iCs/>
              </w:rPr>
              <w:t xml:space="preserve">AJOG</w:t>
            </w:r>
          </w:p>
        </w:tc>
        <w:tc>
          <w:tcPr/>
          <w:p>
            <w:pPr>
              <w:pStyle w:val="Compact"/>
            </w:pPr>
            <w:r>
              <w:t xml:space="preserve">ScienceDirect</w:t>
            </w:r>
          </w:p>
        </w:tc>
        <w:tc>
          <w:tcPr/>
          <w:p>
            <w:pPr>
              <w:pStyle w:val="Compact"/>
            </w:pPr>
            <w:r>
              <w:t xml:space="preserve">Individual</w:t>
            </w:r>
          </w:p>
        </w:tc>
        <w:tc>
          <w:tcPr/>
          <w:p>
            <w:pPr>
              <w:pStyle w:val="Compact"/>
            </w:pPr>
            <w:r>
              <w:t xml:space="preserve">~500</w:t>
            </w:r>
          </w:p>
        </w:tc>
        <w:tc>
          <w:tcPr/>
          <w:p>
            <w:pPr>
              <w:pStyle w:val="Compact"/>
            </w:pPr>
            <w:r>
              <w:t xml:space="preserve">4,500</w:t>
            </w:r>
          </w:p>
        </w:tc>
        <w:tc>
          <w:tcPr/>
          <w:p>
            <w:pPr>
              <w:pStyle w:val="Compact"/>
            </w:pPr>
            <w:r>
              <w:t xml:space="preserve">MFM</w:t>
            </w:r>
          </w:p>
        </w:tc>
        <w:tc>
          <w:tcPr/>
          <w:p>
            <w:pPr>
              <w:pStyle w:val="Compact"/>
            </w:pPr>
            <w:r>
              <w:t xml:space="preserve">Feb</w:t>
            </w:r>
          </w:p>
        </w:tc>
        <w:tc>
          <w:tcPr/>
          <w:p>
            <w:pPr>
              <w:pStyle w:val="Compact"/>
            </w:pPr>
            <w:r>
              <w:t xml:space="preserve">2013–2023</w:t>
            </w:r>
          </w:p>
        </w:tc>
      </w:tr>
      <w:tr>
        <w:tc>
          <w:tcPr/>
          <w:p>
            <w:pPr>
              <w:pStyle w:val="Compact"/>
            </w:pPr>
            <w:r>
              <w:t xml:space="preserve">SGO</w:t>
            </w:r>
          </w:p>
        </w:tc>
        <w:tc>
          <w:tcPr/>
          <w:p>
            <w:pPr>
              <w:pStyle w:val="Compact"/>
            </w:pPr>
            <w:r>
              <w:t xml:space="preserve">Society of Gynecologic Oncology</w:t>
            </w:r>
          </w:p>
        </w:tc>
        <w:tc>
          <w:tcPr/>
          <w:p>
            <w:pPr>
              <w:pStyle w:val="Compact"/>
            </w:pPr>
            <w:r>
              <w:t xml:space="preserve">SGO</w:t>
            </w:r>
          </w:p>
        </w:tc>
        <w:tc>
          <w:tcPr/>
          <w:p>
            <w:pPr>
              <w:pStyle w:val="Compact"/>
            </w:pPr>
            <w:r>
              <w:rPr>
                <w:i/>
                <w:iCs/>
              </w:rPr>
              <w:t xml:space="preserve">Gynecologic Oncology</w:t>
            </w:r>
          </w:p>
        </w:tc>
        <w:tc>
          <w:tcPr/>
          <w:p>
            <w:pPr>
              <w:pStyle w:val="Compact"/>
            </w:pPr>
            <w:r>
              <w:t xml:space="preserve">ScienceDirect</w:t>
            </w:r>
          </w:p>
        </w:tc>
        <w:tc>
          <w:tcPr/>
          <w:p>
            <w:pPr>
              <w:pStyle w:val="Compact"/>
            </w:pPr>
            <w:r>
              <w:t xml:space="preserve">Individual</w:t>
            </w:r>
          </w:p>
        </w:tc>
        <w:tc>
          <w:tcPr/>
          <w:p>
            <w:pPr>
              <w:pStyle w:val="Compact"/>
            </w:pPr>
            <w:r>
              <w:t xml:space="preserve">~570</w:t>
            </w:r>
          </w:p>
        </w:tc>
        <w:tc>
          <w:tcPr/>
          <w:p>
            <w:pPr>
              <w:pStyle w:val="Compact"/>
            </w:pPr>
            <w:r>
              <w:t xml:space="preserve">1,700</w:t>
            </w:r>
          </w:p>
        </w:tc>
        <w:tc>
          <w:tcPr/>
          <w:p>
            <w:pPr>
              <w:pStyle w:val="Compact"/>
            </w:pPr>
            <w:r>
              <w:t xml:space="preserve">Gyn-Onc</w:t>
            </w:r>
          </w:p>
        </w:tc>
        <w:tc>
          <w:tcPr/>
          <w:p>
            <w:pPr>
              <w:pStyle w:val="Compact"/>
            </w:pPr>
            <w:r>
              <w:t xml:space="preserve">Mar</w:t>
            </w:r>
          </w:p>
        </w:tc>
        <w:tc>
          <w:tcPr/>
          <w:p>
            <w:pPr>
              <w:pStyle w:val="Compact"/>
            </w:pPr>
            <w:r>
              <w:t xml:space="preserve">2014–2023</w:t>
            </w:r>
          </w:p>
        </w:tc>
      </w:tr>
      <w:tr>
        <w:tc>
          <w:tcPr/>
          <w:p>
            <w:pPr>
              <w:pStyle w:val="Compact"/>
            </w:pPr>
            <w:r>
              <w:t xml:space="preserve">NASPAG</w:t>
            </w:r>
          </w:p>
        </w:tc>
        <w:tc>
          <w:tcPr/>
          <w:p>
            <w:pPr>
              <w:pStyle w:val="Compact"/>
            </w:pPr>
            <w:r>
              <w:t xml:space="preserve">N. Amer. Society for Pediatric &amp; Adolescent Gyn.</w:t>
            </w:r>
          </w:p>
        </w:tc>
        <w:tc>
          <w:tcPr/>
          <w:p>
            <w:pPr>
              <w:pStyle w:val="Compact"/>
            </w:pPr>
            <w:r>
              <w:t xml:space="preserve">NASPAG</w:t>
            </w:r>
          </w:p>
        </w:tc>
        <w:tc>
          <w:tcPr/>
          <w:p>
            <w:pPr>
              <w:pStyle w:val="Compact"/>
            </w:pPr>
            <w:r>
              <w:rPr>
                <w:i/>
                <w:iCs/>
              </w:rPr>
              <w:t xml:space="preserve">JPAG</w:t>
            </w:r>
          </w:p>
        </w:tc>
        <w:tc>
          <w:tcPr/>
          <w:p>
            <w:pPr>
              <w:pStyle w:val="Compact"/>
            </w:pPr>
            <w:r>
              <w:t xml:space="preserve">ScienceDirect</w:t>
            </w:r>
          </w:p>
        </w:tc>
        <w:tc>
          <w:tcPr/>
          <w:p>
            <w:pPr>
              <w:pStyle w:val="Compact"/>
            </w:pPr>
            <w:r>
              <w:t xml:space="preserve">Individual</w:t>
            </w:r>
          </w:p>
        </w:tc>
        <w:tc>
          <w:tcPr/>
          <w:p>
            <w:pPr>
              <w:pStyle w:val="Compact"/>
            </w:pPr>
            <w:r>
              <w:t xml:space="preserve">~35</w:t>
            </w:r>
          </w:p>
        </w:tc>
        <w:tc>
          <w:tcPr/>
          <w:p>
            <w:pPr>
              <w:pStyle w:val="Compact"/>
            </w:pPr>
            <w:r>
              <w:t xml:space="preserve">1,200</w:t>
            </w:r>
          </w:p>
        </w:tc>
        <w:tc>
          <w:tcPr/>
          <w:p>
            <w:pPr>
              <w:pStyle w:val="Compact"/>
            </w:pPr>
            <w:r>
              <w:t xml:space="preserve">Ped/Adolescent Gyn</w:t>
            </w:r>
          </w:p>
        </w:tc>
        <w:tc>
          <w:tcPr/>
          <w:p>
            <w:pPr>
              <w:pStyle w:val="Compact"/>
            </w:pPr>
            <w:r>
              <w:t xml:space="preserve">Apr</w:t>
            </w:r>
          </w:p>
        </w:tc>
        <w:tc>
          <w:tcPr/>
          <w:p>
            <w:pPr>
              <w:pStyle w:val="Compact"/>
            </w:pPr>
            <w:r>
              <w:t xml:space="preserve">2013–2023</w:t>
            </w:r>
          </w:p>
        </w:tc>
      </w:tr>
      <w:tr>
        <w:tc>
          <w:tcPr/>
          <w:p>
            <w:pPr>
              <w:pStyle w:val="Compact"/>
            </w:pPr>
            <w:r>
              <w:t xml:space="preserve">ASRM</w:t>
            </w:r>
          </w:p>
        </w:tc>
        <w:tc>
          <w:tcPr/>
          <w:p>
            <w:pPr>
              <w:pStyle w:val="Compact"/>
            </w:pPr>
            <w:r>
              <w:t xml:space="preserve">Amer. Society for Reproductive Medicine</w:t>
            </w:r>
          </w:p>
        </w:tc>
        <w:tc>
          <w:tcPr/>
          <w:p>
            <w:pPr>
              <w:pStyle w:val="Compact"/>
            </w:pPr>
            <w:r>
              <w:t xml:space="preserve">ASRM</w:t>
            </w:r>
          </w:p>
        </w:tc>
        <w:tc>
          <w:tcPr/>
          <w:p>
            <w:pPr>
              <w:pStyle w:val="Compact"/>
            </w:pPr>
            <w:r>
              <w:rPr>
                <w:i/>
                <w:iCs/>
              </w:rPr>
              <w:t xml:space="preserve">Fertility and Sterility</w:t>
            </w:r>
          </w:p>
        </w:tc>
        <w:tc>
          <w:tcPr/>
          <w:p>
            <w:pPr>
              <w:pStyle w:val="Compact"/>
            </w:pPr>
            <w:r>
              <w:t xml:space="preserve">ScienceDirect</w:t>
            </w:r>
          </w:p>
        </w:tc>
        <w:tc>
          <w:tcPr/>
          <w:p>
            <w:pPr>
              <w:pStyle w:val="Compact"/>
            </w:pPr>
            <w:r>
              <w:t xml:space="preserve">Individual</w:t>
            </w:r>
          </w:p>
        </w:tc>
        <w:tc>
          <w:tcPr/>
          <w:p>
            <w:pPr>
              <w:pStyle w:val="Compact"/>
            </w:pPr>
            <w:r>
              <w:t xml:space="preserve">~1,200</w:t>
            </w:r>
          </w:p>
        </w:tc>
        <w:tc>
          <w:tcPr/>
          <w:p>
            <w:pPr>
              <w:pStyle w:val="Compact"/>
            </w:pPr>
            <w:r>
              <w:t xml:space="preserve">8,000</w:t>
            </w:r>
          </w:p>
        </w:tc>
        <w:tc>
          <w:tcPr/>
          <w:p>
            <w:pPr>
              <w:pStyle w:val="Compact"/>
            </w:pPr>
            <w:r>
              <w:t xml:space="preserve">REI</w:t>
            </w:r>
          </w:p>
        </w:tc>
        <w:tc>
          <w:tcPr/>
          <w:p>
            <w:pPr>
              <w:pStyle w:val="Compact"/>
            </w:pPr>
            <w:r>
              <w:t xml:space="preserve">Oct</w:t>
            </w:r>
          </w:p>
        </w:tc>
        <w:tc>
          <w:tcPr/>
          <w:p>
            <w:pPr>
              <w:pStyle w:val="Compact"/>
            </w:pPr>
            <w:r>
              <w:t xml:space="preserve">2013–2023</w:t>
            </w:r>
          </w:p>
        </w:tc>
      </w:tr>
      <w:tr>
        <w:tc>
          <w:tcPr/>
          <w:p>
            <w:pPr>
              <w:pStyle w:val="Compact"/>
            </w:pPr>
            <w:r>
              <w:t xml:space="preserve">ACOG</w:t>
            </w:r>
          </w:p>
        </w:tc>
        <w:tc>
          <w:tcPr/>
          <w:p>
            <w:pPr>
              <w:pStyle w:val="Compact"/>
            </w:pPr>
            <w:r>
              <w:t xml:space="preserve">Amer. College of Ob-Gyn</w:t>
            </w:r>
          </w:p>
        </w:tc>
        <w:tc>
          <w:tcPr/>
          <w:p>
            <w:pPr>
              <w:pStyle w:val="Compact"/>
            </w:pPr>
            <w:r>
              <w:t xml:space="preserve">ACOG</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w:t>
            </w:r>
          </w:p>
        </w:tc>
        <w:tc>
          <w:tcPr/>
          <w:p>
            <w:pPr>
              <w:pStyle w:val="Compact"/>
            </w:pPr>
            <w:r>
              <w:t xml:space="preserve">~800</w:t>
            </w:r>
          </w:p>
        </w:tc>
        <w:tc>
          <w:tcPr/>
          <w:p>
            <w:pPr>
              <w:pStyle w:val="Compact"/>
            </w:pPr>
            <w:r>
              <w:t xml:space="preserve">62,000</w:t>
            </w:r>
          </w:p>
        </w:tc>
        <w:tc>
          <w:tcPr/>
          <w:p>
            <w:pPr>
              <w:pStyle w:val="Compact"/>
            </w:pPr>
            <w:r>
              <w:t xml:space="preserve">General OB/GYN</w:t>
            </w:r>
          </w:p>
        </w:tc>
        <w:tc>
          <w:tcPr/>
          <w:p>
            <w:pPr>
              <w:pStyle w:val="Compact"/>
            </w:pPr>
            <w:r>
              <w:t xml:space="preserve">May</w:t>
            </w:r>
          </w:p>
        </w:tc>
        <w:tc>
          <w:tcPr/>
          <w:p>
            <w:pPr>
              <w:pStyle w:val="Compact"/>
            </w:pPr>
            <w:r>
              <w:t xml:space="preserve">2013–2023</w:t>
            </w:r>
          </w:p>
        </w:tc>
      </w:tr>
      <w:tr>
        <w:tc>
          <w:tcPr/>
          <w:p>
            <w:pPr>
              <w:pStyle w:val="Compact"/>
            </w:pPr>
            <w:r>
              <w:t xml:space="preserve">CREOG/APGO</w:t>
            </w:r>
          </w:p>
        </w:tc>
        <w:tc>
          <w:tcPr/>
          <w:p>
            <w:pPr>
              <w:pStyle w:val="Compact"/>
            </w:pPr>
            <w:r>
              <w:t xml:space="preserve">Council on Resident Ed. / Assoc. of Professors of Gyn &amp; Ob</w:t>
            </w:r>
          </w:p>
        </w:tc>
        <w:tc>
          <w:tcPr/>
          <w:p>
            <w:pPr>
              <w:pStyle w:val="Compact"/>
            </w:pPr>
            <w:r>
              <w:t xml:space="preserve">CREOG/APGO</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 (2015+)</w:t>
            </w:r>
          </w:p>
        </w:tc>
        <w:tc>
          <w:tcPr/>
          <w:p>
            <w:pPr>
              <w:pStyle w:val="Compact"/>
            </w:pPr>
            <w:r>
              <w:t xml:space="preserve">~200</w:t>
            </w:r>
          </w:p>
        </w:tc>
        <w:tc>
          <w:tcPr/>
          <w:p>
            <w:pPr>
              <w:pStyle w:val="Compact"/>
            </w:pPr>
            <w:r>
              <w:t xml:space="preserve">5,000</w:t>
            </w:r>
          </w:p>
        </w:tc>
        <w:tc>
          <w:tcPr/>
          <w:p>
            <w:pPr>
              <w:pStyle w:val="Compact"/>
            </w:pPr>
            <w:r>
              <w:t xml:space="preserve">OB/GYN Education</w:t>
            </w:r>
          </w:p>
        </w:tc>
        <w:tc>
          <w:tcPr/>
          <w:p>
            <w:pPr>
              <w:pStyle w:val="Compact"/>
            </w:pPr>
            <w:r>
              <w:t xml:space="preserve">Feb</w:t>
            </w:r>
          </w:p>
        </w:tc>
        <w:tc>
          <w:tcPr/>
          <w:p>
            <w:pPr>
              <w:pStyle w:val="Compact"/>
            </w:pPr>
            <w:r>
              <w:t xml:space="preserve">2013–2023</w:t>
            </w:r>
          </w:p>
        </w:tc>
      </w:tr>
      <w:tr>
        <w:tc>
          <w:tcPr/>
          <w:p>
            <w:pPr>
              <w:pStyle w:val="Compact"/>
            </w:pPr>
            <w:r>
              <w:t xml:space="preserve">SFP</w:t>
            </w:r>
          </w:p>
        </w:tc>
        <w:tc>
          <w:tcPr/>
          <w:p>
            <w:pPr>
              <w:pStyle w:val="Compact"/>
            </w:pPr>
            <w:r>
              <w:t xml:space="preserve">Society of Family Planning</w:t>
            </w:r>
          </w:p>
        </w:tc>
        <w:tc>
          <w:tcPr/>
          <w:p>
            <w:pPr>
              <w:pStyle w:val="Compact"/>
            </w:pPr>
            <w:r>
              <w:t xml:space="preserve">SFP</w:t>
            </w:r>
          </w:p>
        </w:tc>
        <w:tc>
          <w:tcPr/>
          <w:p>
            <w:pPr>
              <w:pStyle w:val="Compact"/>
            </w:pPr>
            <w:r>
              <w:rPr>
                <w:i/>
                <w:iCs/>
              </w:rPr>
              <w:t xml:space="preserve">Contraception</w:t>
            </w:r>
          </w:p>
        </w:tc>
        <w:tc>
          <w:tcPr/>
          <w:p>
            <w:pPr>
              <w:pStyle w:val="Compact"/>
            </w:pPr>
            <w:r>
              <w:t xml:space="preserve">ScienceDirect</w:t>
            </w:r>
          </w:p>
        </w:tc>
        <w:tc>
          <w:tcPr/>
          <w:p>
            <w:pPr>
              <w:pStyle w:val="Compact"/>
            </w:pPr>
            <w:r>
              <w:t xml:space="preserve">Collection-level</w:t>
            </w:r>
          </w:p>
        </w:tc>
        <w:tc>
          <w:tcPr/>
          <w:p>
            <w:pPr>
              <w:pStyle w:val="Compact"/>
            </w:pPr>
            <w:r>
              <w:t xml:space="preserve">~300</w:t>
            </w:r>
          </w:p>
        </w:tc>
        <w:tc>
          <w:tcPr/>
          <w:p>
            <w:pPr>
              <w:pStyle w:val="Compact"/>
            </w:pPr>
            <w:r>
              <w:t xml:space="preserve">1,800</w:t>
            </w:r>
          </w:p>
        </w:tc>
        <w:tc>
          <w:tcPr/>
          <w:p>
            <w:pPr>
              <w:pStyle w:val="Compact"/>
            </w:pPr>
            <w:r>
              <w:t xml:space="preserve">Family Planning</w:t>
            </w:r>
          </w:p>
        </w:tc>
        <w:tc>
          <w:tcPr/>
          <w:p>
            <w:pPr>
              <w:pStyle w:val="Compact"/>
            </w:pPr>
            <w:r>
              <w:t xml:space="preserve">Nov</w:t>
            </w:r>
          </w:p>
        </w:tc>
        <w:tc>
          <w:tcPr/>
          <w:p>
            <w:pPr>
              <w:pStyle w:val="Compact"/>
            </w:pPr>
            <w:r>
              <w:t xml:space="preserve">2015–2023</w:t>
            </w:r>
          </w:p>
        </w:tc>
      </w:tr>
      <w:tr>
        <w:tc>
          <w:tcPr/>
          <w:p>
            <w:pPr>
              <w:pStyle w:val="Compact"/>
            </w:pPr>
            <w:r>
              <w:t xml:space="preserve">AUGS</w:t>
            </w:r>
          </w:p>
        </w:tc>
        <w:tc>
          <w:tcPr/>
          <w:p>
            <w:pPr>
              <w:pStyle w:val="Compact"/>
            </w:pPr>
            <w:r>
              <w:t xml:space="preserve">Amer. Urogynecologic Society</w:t>
            </w:r>
          </w:p>
        </w:tc>
        <w:tc>
          <w:tcPr/>
          <w:p>
            <w:pPr>
              <w:pStyle w:val="Compact"/>
            </w:pPr>
            <w:r>
              <w:t xml:space="preserve">AUGS</w:t>
            </w:r>
          </w:p>
        </w:tc>
        <w:tc>
          <w:tcPr/>
          <w:p>
            <w:pPr>
              <w:pStyle w:val="Compact"/>
            </w:pPr>
            <w:r>
              <w:rPr>
                <w:i/>
                <w:iCs/>
              </w:rPr>
              <w:t xml:space="preserve">Urogynecology</w:t>
            </w:r>
          </w:p>
        </w:tc>
        <w:tc>
          <w:tcPr/>
          <w:p>
            <w:pPr>
              <w:pStyle w:val="Compact"/>
            </w:pPr>
            <w:r>
              <w:t xml:space="preserve">LWW</w:t>
            </w:r>
          </w:p>
        </w:tc>
        <w:tc>
          <w:tcPr/>
          <w:p>
            <w:pPr>
              <w:pStyle w:val="Compact"/>
            </w:pPr>
            <w:r>
              <w:t xml:space="preserve">Supplement-level</w:t>
            </w:r>
          </w:p>
        </w:tc>
        <w:tc>
          <w:tcPr/>
          <w:p>
            <w:pPr>
              <w:pStyle w:val="Compact"/>
            </w:pPr>
            <w:r>
              <w:t xml:space="preserve">~400</w:t>
            </w:r>
          </w:p>
        </w:tc>
        <w:tc>
          <w:tcPr/>
          <w:p>
            <w:pPr>
              <w:pStyle w:val="Compact"/>
            </w:pPr>
            <w:r>
              <w:t xml:space="preserve">1,600</w:t>
            </w:r>
          </w:p>
        </w:tc>
        <w:tc>
          <w:tcPr/>
          <w:p>
            <w:pPr>
              <w:pStyle w:val="Compact"/>
            </w:pPr>
            <w:r>
              <w:t xml:space="preserve">FPMRS/Urogynecology</w:t>
            </w:r>
          </w:p>
        </w:tc>
        <w:tc>
          <w:tcPr/>
          <w:p>
            <w:pPr>
              <w:pStyle w:val="Compact"/>
            </w:pPr>
            <w:r>
              <w:t xml:space="preserve">Oct</w:t>
            </w:r>
          </w:p>
        </w:tc>
        <w:tc>
          <w:tcPr/>
          <w:p>
            <w:pPr>
              <w:pStyle w:val="Compact"/>
            </w:pPr>
            <w:r>
              <w:t xml:space="preserve">2013–2023</w:t>
            </w:r>
          </w:p>
        </w:tc>
      </w:tr>
      <w:tr>
        <w:tc>
          <w:tcPr/>
          <w:p>
            <w:pPr>
              <w:pStyle w:val="Compact"/>
            </w:pPr>
            <w:r>
              <w:t xml:space="preserve">SASGOG</w:t>
            </w:r>
          </w:p>
        </w:tc>
        <w:tc>
          <w:tcPr/>
          <w:p>
            <w:pPr>
              <w:pStyle w:val="Compact"/>
            </w:pPr>
            <w:r>
              <w:t xml:space="preserve">Society for Academic Specialists in Gen. OB/GYN</w:t>
            </w:r>
          </w:p>
        </w:tc>
        <w:tc>
          <w:tcPr/>
          <w:p>
            <w:pPr>
              <w:pStyle w:val="Compact"/>
            </w:pPr>
            <w: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None</w:t>
            </w:r>
          </w:p>
        </w:tc>
        <w:tc>
          <w:tcPr/>
          <w:p>
            <w:pPr>
              <w:pStyle w:val="Compact"/>
            </w:pPr>
            <w:r>
              <w:t xml:space="preserve">~50</w:t>
            </w:r>
          </w:p>
        </w:tc>
        <w:tc>
          <w:tcPr/>
          <w:p>
            <w:pPr>
              <w:pStyle w:val="Compact"/>
            </w:pPr>
            <w:r>
              <w:t xml:space="preserve">500</w:t>
            </w:r>
          </w:p>
        </w:tc>
        <w:tc>
          <w:tcPr/>
          <w:p>
            <w:pPr>
              <w:pStyle w:val="Compact"/>
            </w:pPr>
            <w:r>
              <w:t xml:space="preserve">General OB/GYN</w:t>
            </w:r>
          </w:p>
        </w:tc>
        <w:tc>
          <w:tcPr/>
          <w:p>
            <w:pPr>
              <w:pStyle w:val="Compact"/>
            </w:pPr>
            <w:r>
              <w:t xml:space="preserve">Jan</w:t>
            </w:r>
          </w:p>
        </w:tc>
        <w:tc>
          <w:tcPr/>
          <w:p>
            <w:pPr>
              <w:pStyle w:val="Compact"/>
            </w:pPr>
            <w:r>
              <w:t xml:space="preserve">2019–2023</w:t>
            </w:r>
          </w:p>
        </w:tc>
      </w:tr>
    </w:tbl>
    <w:p>
      <w:pPr>
        <w:pStyle w:val="BodyText"/>
      </w:pPr>
      <w:r>
        <w:rPr>
          <w:b/>
          <w:bCs/>
        </w:rPr>
        <w:t xml:space="preserve">Scientific overlap between societies.</w:t>
      </w:r>
      <w:r>
        <w:t xml:space="preserve"> </w:t>
      </w:r>
      <w:r>
        <w:t xml:space="preserve">AAGL and AUGS share a substantial presenter pool: surgeons who hold MIG (minimally invasive gynecology) subspecialty certification from ABOG also frequently perform pelvic floor reconstructive procedures within the FPMRS domain. An estimated 15–25% of AAGL presenters may also appear in AUGS supplements, enabling longitudinal author-level tracking across societies. Similarly, SMFM and ACOG share general-obstetrics content, and ASRM and NASPAG both cover adolescent reproductive endocrinology topics. These overlaps provide opportunities for cross-validation of NPI and ORCID identity resolution across independently assembled datasets.</w:t>
      </w:r>
    </w:p>
    <w:bookmarkEnd w:id="72"/>
    <w:bookmarkStart w:id="73" w:name="a11.3-platform-architecture"/>
    <w:p>
      <w:pPr>
        <w:pStyle w:val="Heading3"/>
      </w:pPr>
      <w:r>
        <w:t xml:space="preserve">A11.3 Platform Architecture</w:t>
      </w:r>
    </w:p>
    <w:p>
      <w:pPr>
        <w:pStyle w:val="FirstParagraph"/>
      </w:pPr>
      <w:r>
        <w:t xml:space="preserve">The ten candidate societies distribute across two commercial publishing platforms and one non-journal model, creating two primary engineering tracks for the scraping and ingestion layer of the pipeline.</w:t>
      </w:r>
    </w:p>
    <w:p>
      <w:pPr>
        <w:pStyle w:val="BodyText"/>
      </w:pPr>
      <w:r>
        <w:rPr>
          <w:b/>
          <w:bCs/>
        </w:rPr>
        <w:t xml:space="preserve">Elsevier/ScienceDirect (six societies: AAGL, SMFM, SGO, NASPAG, ASRM, SFP).</w:t>
      </w:r>
      <w:r>
        <w:t xml:space="preserve"> </w:t>
      </w:r>
      <w:r>
        <w:t xml:space="preserve">Abstracts are hosted at</w:t>
      </w:r>
      <w:r>
        <w:t xml:space="preserve"> </w:t>
      </w:r>
      <w:r>
        <w:rPr>
          <w:rStyle w:val="VerbatimChar"/>
        </w:rPr>
        <w:t xml:space="preserve">https://www.sciencedirect.com/journal/{journal-name}/vol/{vol}/issue/{issue}/suppl/S</w:t>
      </w:r>
      <w:r>
        <w:t xml:space="preserve"> </w:t>
      </w:r>
      <w:r>
        <w:t xml:space="preserve">and served as structured HTML with consistent DOM element IDs. The journal-specific identifiers vary (</w:t>
      </w:r>
      <w:r>
        <w:rPr>
          <w:rStyle w:val="VerbatimChar"/>
        </w:rPr>
        <w:t xml:space="preserve">.jmig</w:t>
      </w:r>
      <w:r>
        <w:t xml:space="preserve">,</w:t>
      </w:r>
      <w:r>
        <w:t xml:space="preserve"> </w:t>
      </w:r>
      <w:r>
        <w:rPr>
          <w:rStyle w:val="VerbatimChar"/>
        </w:rPr>
        <w:t xml:space="preserve">.ajog</w:t>
      </w:r>
      <w:r>
        <w:t xml:space="preserve">,</w:t>
      </w:r>
      <w:r>
        <w:t xml:space="preserve"> </w:t>
      </w:r>
      <w:r>
        <w:rPr>
          <w:rStyle w:val="VerbatimChar"/>
        </w:rPr>
        <w:t xml:space="preserve">.ygyno</w:t>
      </w:r>
      <w:r>
        <w:t xml:space="preserve">,</w:t>
      </w:r>
      <w:r>
        <w:t xml:space="preserve"> </w:t>
      </w:r>
      <w:r>
        <w:rPr>
          <w:rStyle w:val="VerbatimChar"/>
        </w:rPr>
        <w:t xml:space="preserve">.jpag</w:t>
      </w:r>
      <w:r>
        <w:t xml:space="preserve">,</w:t>
      </w:r>
      <w:r>
        <w:t xml:space="preserve"> </w:t>
      </w:r>
      <w:r>
        <w:rPr>
          <w:rStyle w:val="VerbatimChar"/>
        </w:rPr>
        <w:t xml:space="preserve">.fertnstert</w:t>
      </w:r>
      <w:r>
        <w:t xml:space="preserve">,</w:t>
      </w:r>
      <w:r>
        <w:t xml:space="preserve"> </w:t>
      </w:r>
      <w:r>
        <w:rPr>
          <w:rStyle w:val="VerbatimChar"/>
        </w:rPr>
        <w:t xml:space="preserve">.contraception</w:t>
      </w:r>
      <w:r>
        <w:t xml:space="preserve">), but the page architecture — article list container, article link</w:t>
      </w:r>
      <w:r>
        <w:t xml:space="preserve"> </w:t>
      </w:r>
      <w:r>
        <w:rPr>
          <w:rStyle w:val="VerbatimChar"/>
        </w:rPr>
        <w:t xml:space="preserve">&lt;a&gt;</w:t>
      </w:r>
      <w:r>
        <w:t xml:space="preserve"> </w:t>
      </w:r>
      <w:r>
        <w:t xml:space="preserve">tags with</w:t>
      </w:r>
      <w:r>
        <w:t xml:space="preserve"> </w:t>
      </w:r>
      <w:r>
        <w:rPr>
          <w:rStyle w:val="VerbatimChar"/>
        </w:rPr>
        <w:t xml:space="preserve">/science/article/pii/</w:t>
      </w:r>
      <w:r>
        <w:t xml:space="preserve"> </w:t>
      </w:r>
      <w:r>
        <w:t xml:space="preserve">href patterns, per-article JSON-LD metadata blocks — is identical across all six journals. The existing</w:t>
      </w:r>
      <w:r>
        <w:t xml:space="preserve"> </w:t>
      </w:r>
      <w:r>
        <w:rPr>
          <w:rStyle w:val="VerbatimChar"/>
        </w:rPr>
        <w:t xml:space="preserve">01b_parse_web.R</w:t>
      </w:r>
      <w:r>
        <w:t xml:space="preserve"> </w:t>
      </w:r>
      <w:r>
        <w:t xml:space="preserve">ScienceDirect scraper, the</w:t>
      </w:r>
      <w:r>
        <w:t xml:space="preserve"> </w:t>
      </w:r>
      <w:r>
        <w:rPr>
          <w:rStyle w:val="VerbatimChar"/>
        </w:rPr>
        <w:t xml:space="preserve">backfill_affiliations_from_cache.R</w:t>
      </w:r>
      <w:r>
        <w:t xml:space="preserve"> </w:t>
      </w:r>
      <w:r>
        <w:t xml:space="preserve">HTML-JSON-blob extractor, and the</w:t>
      </w:r>
      <w:r>
        <w:t xml:space="preserve"> </w:t>
      </w:r>
      <w:r>
        <w:rPr>
          <w:rStyle w:val="VerbatimChar"/>
        </w:rPr>
        <w:t xml:space="preserve">03c_doi_chain_search.R</w:t>
      </w:r>
      <w:r>
        <w:t xml:space="preserve"> </w:t>
      </w:r>
      <w:r>
        <w:t xml:space="preserve">OpenAlex reverse-citation script can be reused for all five new Elsevier societies by updating three parameters:</w:t>
      </w:r>
      <w:r>
        <w:t xml:space="preserve"> </w:t>
      </w:r>
      <w:r>
        <w:rPr>
          <w:rStyle w:val="VerbatimChar"/>
        </w:rPr>
        <w:t xml:space="preserve">journal_doi_prefix</w:t>
      </w:r>
      <w:r>
        <w:t xml:space="preserve">,</w:t>
      </w:r>
      <w:r>
        <w:t xml:space="preserve"> </w:t>
      </w:r>
      <w:r>
        <w:rPr>
          <w:rStyle w:val="VerbatimChar"/>
        </w:rPr>
        <w:t xml:space="preserve">journal_name</w:t>
      </w:r>
      <w:r>
        <w:t xml:space="preserve">, and</w:t>
      </w:r>
      <w:r>
        <w:t xml:space="preserve"> </w:t>
      </w:r>
      <w:r>
        <w:rPr>
          <w:rStyle w:val="VerbatimChar"/>
        </w:rPr>
        <w:t xml:space="preserve">suppl_url_pattern</w:t>
      </w:r>
      <w:r>
        <w:t xml:space="preserve">. This is the</w:t>
      </w:r>
      <w:r>
        <w:t xml:space="preserve"> </w:t>
      </w:r>
      <w:r>
        <w:t xml:space="preserve">“write once, run for all Elsevier societies”</w:t>
      </w:r>
      <w:r>
        <w:t xml:space="preserve"> </w:t>
      </w:r>
      <w:r>
        <w:t xml:space="preserve">principle.</w:t>
      </w:r>
    </w:p>
    <w:p>
      <w:pPr>
        <w:pStyle w:val="BodyText"/>
      </w:pPr>
      <w:r>
        <w:t xml:space="preserve">The one Elsevier exception is SFP (</w:t>
      </w:r>
      <w:r>
        <w:rPr>
          <w:i/>
          <w:iCs/>
        </w:rPr>
        <w:t xml:space="preserve">Contraception</w:t>
      </w:r>
      <w:r>
        <w:t xml:space="preserve">): abstracts are not published as supplement issues but as regular journal articles containing all abstracts concatenated. Ingestion requires parsing the full-text HTML of the collection article rather than iterating over a supplement TOC page. This is a distinct scraping task that shares the Elsevier platform credentials and HTML structure but requires a new parsing function.</w:t>
      </w:r>
    </w:p>
    <w:p>
      <w:pPr>
        <w:pStyle w:val="BodyText"/>
      </w:pPr>
      <w:r>
        <w:rPr>
          <w:b/>
          <w:bCs/>
        </w:rPr>
        <w:t xml:space="preserve">LWW/Wolters Kluwer (three societies: ACOG, CREOG/APGO, AUGS).</w:t>
      </w:r>
      <w:r>
        <w:t xml:space="preserve"> </w:t>
      </w:r>
      <w:r>
        <w:t xml:space="preserve">Abstracts are hosted at</w:t>
      </w:r>
      <w:r>
        <w:t xml:space="preserve"> </w:t>
      </w:r>
      <w:r>
        <w:rPr>
          <w:rStyle w:val="VerbatimChar"/>
        </w:rPr>
        <w:t xml:space="preserve">https://journals.lww.com/{journal-slug}/toc/{YYYY}/{issue}</w:t>
      </w:r>
      <w:r>
        <w:t xml:space="preserve">. LWW article pages differ from ScienceDirect in three pipeline-relevant ways: (1) There is no JSON-LD metadata block — author affiliations are embedded in plain HTML rather than structured JSON, requiring different XPath extraction logic. (2) DOIs use a hash-based format (</w:t>
      </w:r>
      <w:r>
        <w:rPr>
          <w:rStyle w:val="VerbatimChar"/>
        </w:rPr>
        <w:t xml:space="preserve">10.1097/01.AOG.0000XXXXXXXXX.XXXXX.XX</w:t>
      </w:r>
      <w:r>
        <w:t xml:space="preserve">) rather than ScienceDirect’s sequential</w:t>
      </w:r>
      <w:r>
        <w:t xml:space="preserve"> </w:t>
      </w:r>
      <w:r>
        <w:rPr>
          <w:rStyle w:val="VerbatimChar"/>
        </w:rPr>
        <w:t xml:space="preserve">.YYYY.MM.NNN</w:t>
      </w:r>
      <w:r>
        <w:t xml:space="preserve"> </w:t>
      </w:r>
      <w:r>
        <w:t xml:space="preserve">format, which affects DOI-chain search but not PubMed-based search. (3) The LWW supplement TOC renders abstract links via JavaScript pagination rather than static HTML, requiring either a headless browser (Selenium/RSelenium) or direct enumeration via the LWW API endpoint (</w:t>
      </w:r>
      <w:r>
        <w:rPr>
          <w:rStyle w:val="VerbatimChar"/>
        </w:rPr>
        <w:t xml:space="preserve">https://journals.lww.com/fpmrs/api/00130591-{issue}/abstractlist</w:t>
      </w:r>
      <w:r>
        <w:t xml:space="preserve">). A single LWW scraper covers all three societies because ACOG and CREOG/APGO use the same Green Journal (</w:t>
      </w:r>
      <w:r>
        <w:rPr>
          <w:i/>
          <w:iCs/>
        </w:rPr>
        <w:t xml:space="preserve">Obstetrics &amp; Gynecology</w:t>
      </w:r>
      <w:r>
        <w:t xml:space="preserve">) host and AUGS uses the same LWW platform with identical DOM structure.</w:t>
      </w:r>
    </w:p>
    <w:p>
      <w:pPr>
        <w:pStyle w:val="BodyText"/>
      </w:pPr>
      <w:r>
        <w:rPr>
          <w:b/>
          <w:bCs/>
        </w:rPr>
        <w:t xml:space="preserve">Pipeline components that are platform-specific vs. universal:</w:t>
      </w:r>
    </w:p>
    <w:tbl>
      <w:tblPr>
        <w:tblStyle w:val="Table"/>
        <w:tblW w:type="pct" w:w="5000"/>
        <w:tblLayout w:type="fixed"/>
        <w:tblLook w:firstRow="1" w:lastRow="0" w:firstColumn="0" w:lastColumn="0" w:noHBand="0" w:noVBand="0" w:val="0020"/>
      </w:tblPr>
      <w:tblGrid>
        <w:gridCol w:w="3350"/>
        <w:gridCol w:w="1523"/>
        <w:gridCol w:w="1523"/>
        <w:gridCol w:w="1523"/>
      </w:tblGrid>
      <w:tr>
        <w:trPr>
          <w:tblHeader w:val="on"/>
        </w:trPr>
        <w:tc>
          <w:tcPr/>
          <w:p>
            <w:pPr>
              <w:pStyle w:val="Compact"/>
            </w:pPr>
            <w:r>
              <w:t xml:space="preserve">Component</w:t>
            </w:r>
          </w:p>
        </w:tc>
        <w:tc>
          <w:tcPr/>
          <w:p>
            <w:pPr>
              <w:pStyle w:val="Compact"/>
              <w:jc w:val="center"/>
            </w:pPr>
            <w:r>
              <w:t xml:space="preserve">ScienceDirect</w:t>
            </w:r>
          </w:p>
        </w:tc>
        <w:tc>
          <w:tcPr/>
          <w:p>
            <w:pPr>
              <w:pStyle w:val="Compact"/>
              <w:jc w:val="center"/>
            </w:pPr>
            <w:r>
              <w:t xml:space="preserve">LWW</w:t>
            </w:r>
          </w:p>
        </w:tc>
        <w:tc>
          <w:tcPr/>
          <w:p>
            <w:pPr>
              <w:pStyle w:val="Compact"/>
              <w:jc w:val="center"/>
            </w:pPr>
            <w:r>
              <w:t xml:space="preserve">Universal</w:t>
            </w:r>
          </w:p>
        </w:tc>
      </w:tr>
      <w:tr>
        <w:tc>
          <w:tcPr/>
          <w:p>
            <w:pPr>
              <w:pStyle w:val="Compact"/>
            </w:pPr>
            <w:r>
              <w:t xml:space="preserve">Abstract ingestion (</w:t>
            </w:r>
            <w:r>
              <w:rPr>
                <w:rStyle w:val="VerbatimChar"/>
              </w:rPr>
              <w:t xml:space="preserve">01b_parse_web.R</w:t>
            </w:r>
            <w:r>
              <w:t xml:space="preserve">)</w:t>
            </w:r>
          </w:p>
        </w:tc>
        <w:tc>
          <w:tcPr/>
          <w:p>
            <w:pPr>
              <w:pStyle w:val="Compact"/>
              <w:jc w:val="center"/>
            </w:pPr>
            <w:r>
              <w:t xml:space="preserve">Elsevier version</w:t>
            </w:r>
          </w:p>
        </w:tc>
        <w:tc>
          <w:tcPr/>
          <w:p>
            <w:pPr>
              <w:pStyle w:val="Compact"/>
              <w:jc w:val="center"/>
            </w:pPr>
            <w:r>
              <w:t xml:space="preserve">LWW version (new build)</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w:t>
            </w:r>
          </w:p>
        </w:tc>
      </w:tr>
      <w:tr>
        <w:tc>
          <w:tcPr/>
          <w:p>
            <w:pPr>
              <w:pStyle w:val="Compact"/>
            </w:pPr>
            <w:r>
              <w:t xml:space="preserve">DOI-chain search (</w:t>
            </w:r>
            <w:r>
              <w:rPr>
                <w:rStyle w:val="VerbatimChar"/>
              </w:rPr>
              <w:t xml:space="preserve">03c_doi_chain_search.R</w:t>
            </w:r>
            <w:r>
              <w:t xml:space="preserve">)</w:t>
            </w:r>
          </w:p>
        </w:tc>
        <w:tc>
          <w:tcPr/>
          <w:p>
            <w:pPr>
              <w:pStyle w:val="Compact"/>
              <w:jc w:val="center"/>
            </w:pPr>
            <w:r>
              <w:t xml:space="preserve">Yes (individual DOIs)</w:t>
            </w:r>
          </w:p>
        </w:tc>
        <w:tc>
          <w:tcPr/>
          <w:p>
            <w:pPr>
              <w:pStyle w:val="Compact"/>
              <w:jc w:val="center"/>
            </w:pPr>
            <w:r>
              <w:t xml:space="preserve">Yes (individual DOIs for ACOG, CREOG 2015+)</w:t>
            </w:r>
          </w:p>
        </w:tc>
        <w:tc>
          <w:tcPr/>
          <w:p>
            <w:pPr>
              <w:pStyle w:val="Compact"/>
              <w:jc w:val="center"/>
            </w:pPr>
            <w:r>
              <w:t xml:space="preserve">—</w:t>
            </w:r>
          </w:p>
        </w:tc>
      </w:tr>
      <w:tr>
        <w:tc>
          <w:tcPr/>
          <w:p>
            <w:pPr>
              <w:pStyle w:val="Compact"/>
            </w:pPr>
            <w:r>
              <w:t xml:space="preserve">PubMed search (</w:t>
            </w:r>
            <w:r>
              <w:rPr>
                <w:rStyle w:val="VerbatimChar"/>
              </w:rPr>
              <w:t xml:space="preserve">03_search_pubmed.R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CrossRef/OpenAlex/EuropePMC (</w:t>
            </w:r>
            <w:r>
              <w:rPr>
                <w:rStyle w:val="VerbatimChar"/>
              </w:rPr>
              <w:t xml:space="preserve">03b_search_crossref.R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Composite scoring (</w:t>
            </w:r>
            <w:r>
              <w:rPr>
                <w:rStyle w:val="VerbatimChar"/>
              </w:rPr>
              <w:t xml:space="preserve">04_score_matches.R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Adjudication Shiny app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rPr>
          <w:b/>
          <w:bCs/>
        </w:rPr>
        <w:t xml:space="preserve">Key implication:</w:t>
      </w:r>
      <w:r>
        <w:t xml:space="preserve"> </w:t>
      </w:r>
      <w:r>
        <w:t xml:space="preserve">Building the LWW scraper is the single largest new engineering task for multi-society expansion. Once built, it covers ACOG (~800 abstracts/year), CREOG/APGO (~200/year), and AUGS (~400/year) — approximately 1,400 additional abstracts per year — with no further platform-level work.</w:t>
      </w:r>
    </w:p>
    <w:bookmarkEnd w:id="73"/>
    <w:bookmarkStart w:id="74" w:name="a11.4-implementation-effort-by-society"/>
    <w:p>
      <w:pPr>
        <w:pStyle w:val="Heading3"/>
      </w:pPr>
      <w:r>
        <w:t xml:space="preserve">A11.4 Implementation Effort by Society</w:t>
      </w:r>
    </w:p>
    <w:p>
      <w:pPr>
        <w:pStyle w:val="FirstParagraph"/>
      </w:pPr>
      <w:r>
        <w:t xml:space="preserve">The matrix below rates each society across ten pipeline components. Symbols:</w:t>
      </w:r>
      <w:r>
        <w:t xml:space="preserve"> </w:t>
      </w:r>
      <w:r>
        <w:rPr>
          <w:b/>
          <w:bCs/>
        </w:rPr>
        <w:t xml:space="preserve">✓</w:t>
      </w:r>
      <w:r>
        <w:t xml:space="preserve"> </w:t>
      </w:r>
      <w:r>
        <w:t xml:space="preserve">= reusable as-is with parameter changes only;</w:t>
      </w:r>
      <w:r>
        <w:t xml:space="preserve"> </w:t>
      </w:r>
      <w:r>
        <w:rPr>
          <w:b/>
          <w:bCs/>
        </w:rPr>
        <w:t xml:space="preserve">△</w:t>
      </w:r>
      <w:r>
        <w:t xml:space="preserve"> </w:t>
      </w:r>
      <w:r>
        <w:t xml:space="preserve">= minor adaptation required (&lt; 1 day of work);</w:t>
      </w:r>
      <w:r>
        <w:t xml:space="preserve"> </w:t>
      </w:r>
      <w:r>
        <w:rPr>
          <w:b/>
          <w:bCs/>
        </w:rPr>
        <w:t xml:space="preserve">✗</w:t>
      </w:r>
      <w:r>
        <w:t xml:space="preserve"> </w:t>
      </w:r>
      <w:r>
        <w:t xml:space="preserve">= not applicable;</w:t>
      </w:r>
      <w:r>
        <w:t xml:space="preserve"> </w:t>
      </w:r>
      <w:r>
        <w:rPr>
          <w:b/>
          <w:bCs/>
        </w:rPr>
        <w:t xml:space="preserve">★</w:t>
      </w:r>
      <w:r>
        <w:t xml:space="preserve"> </w:t>
      </w:r>
      <w:r>
        <w:t xml:space="preserve">= new build required (&gt; 1 day of work).</w:t>
      </w:r>
    </w:p>
    <w:tbl>
      <w:tblPr>
        <w:tblStyle w:val="Table"/>
        <w:tblW w:type="pct" w:w="5000"/>
        <w:tblLayout w:type="fixed"/>
        <w:tblLook w:firstRow="1" w:lastRow="0" w:firstColumn="0" w:lastColumn="0" w:noHBand="0" w:noVBand="0" w:val="0020"/>
      </w:tblPr>
      <w:tblGrid>
        <w:gridCol w:w="1102"/>
        <w:gridCol w:w="601"/>
        <w:gridCol w:w="601"/>
        <w:gridCol w:w="501"/>
        <w:gridCol w:w="802"/>
        <w:gridCol w:w="601"/>
        <w:gridCol w:w="601"/>
        <w:gridCol w:w="1203"/>
        <w:gridCol w:w="501"/>
        <w:gridCol w:w="601"/>
        <w:gridCol w:w="802"/>
      </w:tblGrid>
      <w:tr>
        <w:trPr>
          <w:tblHeader w:val="on"/>
        </w:trPr>
        <w:tc>
          <w:tcPr/>
          <w:p>
            <w:pPr>
              <w:pStyle w:val="Compact"/>
            </w:pPr>
            <w:r>
              <w:t xml:space="preserve">Component</w:t>
            </w:r>
          </w:p>
        </w:tc>
        <w:tc>
          <w:tcPr/>
          <w:p>
            <w:pPr>
              <w:pStyle w:val="Compact"/>
              <w:jc w:val="center"/>
            </w:pPr>
            <w:r>
              <w:t xml:space="preserve">AAGL</w:t>
            </w:r>
          </w:p>
        </w:tc>
        <w:tc>
          <w:tcPr/>
          <w:p>
            <w:pPr>
              <w:pStyle w:val="Compact"/>
              <w:jc w:val="center"/>
            </w:pPr>
            <w:r>
              <w:t xml:space="preserve">SMFM</w:t>
            </w:r>
          </w:p>
        </w:tc>
        <w:tc>
          <w:tcPr/>
          <w:p>
            <w:pPr>
              <w:pStyle w:val="Compact"/>
              <w:jc w:val="center"/>
            </w:pPr>
            <w:r>
              <w:t xml:space="preserve">SGO</w:t>
            </w:r>
          </w:p>
        </w:tc>
        <w:tc>
          <w:tcPr/>
          <w:p>
            <w:pPr>
              <w:pStyle w:val="Compact"/>
              <w:jc w:val="center"/>
            </w:pPr>
            <w:r>
              <w:t xml:space="preserve">NASPAG</w:t>
            </w:r>
          </w:p>
        </w:tc>
        <w:tc>
          <w:tcPr/>
          <w:p>
            <w:pPr>
              <w:pStyle w:val="Compact"/>
              <w:jc w:val="center"/>
            </w:pPr>
            <w:r>
              <w:t xml:space="preserve">ASRM</w:t>
            </w:r>
          </w:p>
        </w:tc>
        <w:tc>
          <w:tcPr/>
          <w:p>
            <w:pPr>
              <w:pStyle w:val="Compact"/>
              <w:jc w:val="center"/>
            </w:pPr>
            <w:r>
              <w:t xml:space="preserve">ACOG</w:t>
            </w:r>
          </w:p>
        </w:tc>
        <w:tc>
          <w:tcPr/>
          <w:p>
            <w:pPr>
              <w:pStyle w:val="Compact"/>
              <w:jc w:val="center"/>
            </w:pPr>
            <w:r>
              <w:t xml:space="preserve">CREOG/APGO</w:t>
            </w:r>
          </w:p>
        </w:tc>
        <w:tc>
          <w:tcPr/>
          <w:p>
            <w:pPr>
              <w:pStyle w:val="Compact"/>
              <w:jc w:val="center"/>
            </w:pPr>
            <w:r>
              <w:t xml:space="preserve">SFP</w:t>
            </w:r>
          </w:p>
        </w:tc>
        <w:tc>
          <w:tcPr/>
          <w:p>
            <w:pPr>
              <w:pStyle w:val="Compact"/>
              <w:jc w:val="center"/>
            </w:pPr>
            <w:r>
              <w:t xml:space="preserve">AUGS</w:t>
            </w:r>
          </w:p>
        </w:tc>
        <w:tc>
          <w:tcPr/>
          <w:p>
            <w:pPr>
              <w:pStyle w:val="Compact"/>
              <w:jc w:val="center"/>
            </w:pPr>
            <w:r>
              <w:t xml:space="preserve">SASGOG</w:t>
            </w:r>
          </w:p>
        </w:tc>
      </w:tr>
      <w:tr>
        <w:tc>
          <w:tcPr/>
          <w:p>
            <w:pPr>
              <w:pStyle w:val="Compact"/>
            </w:pPr>
            <w:r>
              <w:t xml:space="preserve">Abstract ingestion</w:t>
            </w:r>
          </w:p>
        </w:tc>
        <w:tc>
          <w:tcPr/>
          <w:p>
            <w:pPr>
              <w:pStyle w:val="Compact"/>
              <w:jc w:val="center"/>
            </w:pPr>
            <w:r>
              <w:t xml:space="preserve">✓ Current</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 + auth</w:t>
            </w:r>
          </w:p>
        </w:tc>
        <w:tc>
          <w:tcPr/>
          <w:p>
            <w:pPr>
              <w:pStyle w:val="Compact"/>
              <w:jc w:val="center"/>
            </w:pPr>
            <w:r>
              <w:t xml:space="preserve">★ LWW scraper</w:t>
            </w:r>
          </w:p>
        </w:tc>
        <w:tc>
          <w:tcPr/>
          <w:p>
            <w:pPr>
              <w:pStyle w:val="Compact"/>
              <w:jc w:val="center"/>
            </w:pPr>
            <w:r>
              <w:t xml:space="preserve">★ LWW scraper</w:t>
            </w:r>
          </w:p>
        </w:tc>
        <w:tc>
          <w:tcPr/>
          <w:p>
            <w:pPr>
              <w:pStyle w:val="Compact"/>
              <w:jc w:val="center"/>
            </w:pPr>
            <w:r>
              <w:t xml:space="preserve">△ Full-text parse</w:t>
            </w:r>
          </w:p>
        </w:tc>
        <w:tc>
          <w:tcPr/>
          <w:p>
            <w:pPr>
              <w:pStyle w:val="Compact"/>
              <w:jc w:val="center"/>
            </w:pPr>
            <w:r>
              <w:t xml:space="preserve">★ LWW scraper</w:t>
            </w:r>
          </w:p>
        </w:tc>
        <w:tc>
          <w:tcPr/>
          <w:p>
            <w:pPr>
              <w:pStyle w:val="Compact"/>
              <w:jc w:val="center"/>
            </w:pPr>
            <w:r>
              <w:t xml:space="preserve">★ Web scraper (no journal)</w:t>
            </w:r>
          </w:p>
        </w:tc>
      </w:tr>
      <w:tr>
        <w:tc>
          <w:tcPr/>
          <w:p>
            <w:pPr>
              <w:pStyle w:val="Compact"/>
            </w:pPr>
            <w:r>
              <w:t xml:space="preserve">PubMed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CrossRef/OpenAlex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DOI-chain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(2015+)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Composite scoring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Adjudication app</w:t>
            </w:r>
          </w:p>
        </w:tc>
        <w:tc>
          <w:tcPr/>
          <w:p>
            <w:pPr>
              <w:pStyle w:val="Compact"/>
              <w:jc w:val="center"/>
            </w:pPr>
            <w:r>
              <w:t xml:space="preserve">✓</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Auth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Partial</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Total new-build components by society:</w:t>
      </w:r>
      <w:r>
        <w:t xml:space="preserve"> </w:t>
      </w:r>
      <w:r>
        <w:t xml:space="preserve">SMFM = 0, SGO = 0, NASPAG = 0, ASRM = 0, ACOG = 1, CREOG/APGO = 1 (shared with ACOG), SFP = 1 (full-text parse only), AUGS = 1 (shared LWW scraper), SASGOG = 2.</w:t>
      </w:r>
    </w:p>
    <w:p>
      <w:pPr>
        <w:pStyle w:val="BodyText"/>
      </w:pPr>
      <w:r>
        <w:t xml:space="preserve">The SMFM–SGO–NASPAG–ASRM group requires no new engineering beyond parameter changes to existing scripts. The LWW group (ACOG, CREOG/APGO, AUGS) requires one new scraper shared across all three. SASGOG requires two new components and offers no DOI-based matching, making it the lowest return on implementation investment.</w:t>
      </w:r>
    </w:p>
    <w:bookmarkEnd w:id="74"/>
    <w:bookmarkStart w:id="75" w:name="a11.5-expected-match-rates"/>
    <w:p>
      <w:pPr>
        <w:pStyle w:val="Heading3"/>
      </w:pPr>
      <w:r>
        <w:t xml:space="preserve">A11.5 Expected Match Rates</w:t>
      </w:r>
    </w:p>
    <w:p>
      <w:pPr>
        <w:pStyle w:val="FirstParagraph"/>
      </w:pPr>
      <w:r>
        <w:t xml:space="preserve">The AAGL pipeline’s empirical match rates provide a baseline for projecting performance on other societies. The AAGL dataset achieved 11.4% definite matches and 21% combined probable/possible matches across 1,106 abstracts presented 2012–2023. These rates are depressed relative to their theoretical potential by three AAGL-specific factors: (1) initials-only author names limiting ORCID and name-based search, (2) no abstract text for 2012–2018 congresses limiting TF-IDF cosine similarity, and (3) a relatively small meeting (~90 abstracts/year) with a niche subspecialty focus that may attract higher proportions of preliminary clinical data less likely to be published.</w:t>
      </w:r>
    </w:p>
    <w:p>
      <w:pPr>
        <w:pStyle w:val="BodyText"/>
      </w:pPr>
      <w:r>
        <w:rPr>
          <w:b/>
          <w:bCs/>
        </w:rPr>
        <w:t xml:space="preserve">Projected improvements by pipeline feature for new societies:</w:t>
      </w:r>
    </w:p>
    <w:tbl>
      <w:tblPr>
        <w:tblStyle w:val="Table"/>
        <w:tblW w:type="pct" w:w="5000"/>
        <w:tblLayout w:type="fixed"/>
        <w:tblLook w:firstRow="1" w:lastRow="0" w:firstColumn="0" w:lastColumn="0" w:noHBand="0" w:noVBand="0" w:val="0020"/>
      </w:tblPr>
      <w:tblGrid>
        <w:gridCol w:w="1228"/>
        <w:gridCol w:w="2048"/>
        <w:gridCol w:w="1502"/>
        <w:gridCol w:w="3140"/>
      </w:tblGrid>
      <w:tr>
        <w:trPr>
          <w:tblHeader w:val="on"/>
        </w:trPr>
        <w:tc>
          <w:tcPr/>
          <w:p>
            <w:pPr>
              <w:pStyle w:val="Compact"/>
            </w:pPr>
            <w:r>
              <w:t xml:space="preserve">Feature</w:t>
            </w:r>
          </w:p>
        </w:tc>
        <w:tc>
          <w:tcPr/>
          <w:p>
            <w:pPr>
              <w:pStyle w:val="Compact"/>
              <w:jc w:val="center"/>
            </w:pPr>
            <w:r>
              <w:t xml:space="preserve">AAGL Baseline</w:t>
            </w:r>
          </w:p>
        </w:tc>
        <w:tc>
          <w:tcPr/>
          <w:p>
            <w:pPr>
              <w:pStyle w:val="Compact"/>
            </w:pPr>
            <w:r>
              <w:t xml:space="preserve">Mechanism</w:t>
            </w:r>
          </w:p>
        </w:tc>
        <w:tc>
          <w:tcPr/>
          <w:p>
            <w:pPr>
              <w:pStyle w:val="Compact"/>
              <w:jc w:val="right"/>
            </w:pPr>
            <w:r>
              <w:t xml:space="preserve">Projected Improvement</w:t>
            </w:r>
          </w:p>
        </w:tc>
      </w:tr>
      <w:tr>
        <w:tc>
          <w:tcPr/>
          <w:p>
            <w:pPr>
              <w:pStyle w:val="Compact"/>
            </w:pPr>
            <w:r>
              <w:t xml:space="preserve">Full first names (vs. initials only)</w:t>
            </w:r>
          </w:p>
        </w:tc>
        <w:tc>
          <w:tcPr/>
          <w:p>
            <w:pPr>
              <w:pStyle w:val="Compact"/>
              <w:jc w:val="center"/>
            </w:pPr>
            <w:r>
              <w:t xml:space="preserve">15.8% ORCID hit rate</w:t>
            </w:r>
          </w:p>
        </w:tc>
        <w:tc>
          <w:tcPr/>
          <w:p>
            <w:pPr>
              <w:pStyle w:val="Compact"/>
            </w:pPr>
            <w:r>
              <w:t xml:space="preserve">genderize.io and ORCID API use full names; exact NPI matching enabled</w:t>
            </w:r>
          </w:p>
        </w:tc>
        <w:tc>
          <w:tcPr/>
          <w:p>
            <w:pPr>
              <w:pStyle w:val="Compact"/>
              <w:jc w:val="right"/>
            </w:pPr>
            <w:r>
              <w:t xml:space="preserve">+5 to +8 percentage points (pp) publication rate</w:t>
            </w:r>
          </w:p>
        </w:tc>
      </w:tr>
      <w:tr>
        <w:tc>
          <w:tcPr/>
          <w:p>
            <w:pPr>
              <w:pStyle w:val="Compact"/>
            </w:pPr>
            <w:r>
              <w:t xml:space="preserve">Individual DOIs + DOI-chain search</w:t>
            </w:r>
          </w:p>
        </w:tc>
        <w:tc>
          <w:tcPr/>
          <w:p>
            <w:pPr>
              <w:pStyle w:val="Compact"/>
              <w:jc w:val="center"/>
            </w:pPr>
            <w:r>
              <w:t xml:space="preserve">Contributes ~22% of definite matches in AAGL</w:t>
            </w:r>
          </w:p>
        </w:tc>
        <w:tc>
          <w:tcPr/>
          <w:p>
            <w:pPr>
              <w:pStyle w:val="Compact"/>
            </w:pPr>
            <w:r>
              <w:t xml:space="preserve">Societies with individual DOIs (SMFM, SGO, NASPAG, ASRM, ACOG, CREOG 2015+) get this benefit</w:t>
            </w:r>
          </w:p>
        </w:tc>
        <w:tc>
          <w:tcPr/>
          <w:p>
            <w:pPr>
              <w:pStyle w:val="Compact"/>
              <w:jc w:val="right"/>
            </w:pPr>
            <w:r>
              <w:t xml:space="preserve">+3 to +5 pp</w:t>
            </w:r>
          </w:p>
        </w:tc>
      </w:tr>
      <w:tr>
        <w:tc>
          <w:tcPr/>
          <w:p>
            <w:pPr>
              <w:pStyle w:val="Compact"/>
            </w:pPr>
            <w:r>
              <w:t xml:space="preserve">Affiliation backfill (ScienceDirect)</w:t>
            </w:r>
          </w:p>
        </w:tc>
        <w:tc>
          <w:tcPr/>
          <w:p>
            <w:pPr>
              <w:pStyle w:val="Compact"/>
              <w:jc w:val="center"/>
            </w:pPr>
            <w:r>
              <w:t xml:space="preserve">52.7% coverage for AAGL</w:t>
            </w:r>
          </w:p>
        </w:tc>
        <w:tc>
          <w:tcPr/>
          <w:p>
            <w:pPr>
              <w:pStyle w:val="Compact"/>
            </w:pPr>
            <w:r>
              <w:t xml:space="preserve">Full affiliations available at ingestion for SMFM, SGO, NASPAG; improves author disambiguation</w:t>
            </w:r>
          </w:p>
        </w:tc>
        <w:tc>
          <w:tcPr/>
          <w:p>
            <w:pPr>
              <w:pStyle w:val="Compact"/>
              <w:jc w:val="right"/>
            </w:pPr>
            <w:r>
              <w:t xml:space="preserve">+2 to +3 pp</w:t>
            </w:r>
          </w:p>
        </w:tc>
      </w:tr>
      <w:tr>
        <w:tc>
          <w:tcPr/>
          <w:p>
            <w:pPr>
              <w:pStyle w:val="Compact"/>
            </w:pPr>
            <w:r>
              <w:t xml:space="preserve">Higher abstract volume</w:t>
            </w:r>
          </w:p>
        </w:tc>
        <w:tc>
          <w:tcPr/>
          <w:p>
            <w:pPr>
              <w:pStyle w:val="Compact"/>
              <w:jc w:val="center"/>
            </w:pPr>
            <w:r>
              <w:t xml:space="preserve">~90/year (AAGL) vs ~500–1,200/year (SMFM, ASRM)</w:t>
            </w:r>
          </w:p>
        </w:tc>
        <w:tc>
          <w:tcPr/>
          <w:p>
            <w:pPr>
              <w:pStyle w:val="Compact"/>
            </w:pPr>
            <w:r>
              <w:t xml:space="preserve">Larger N allows lower-false-positive scoring threshold because random noise averages out</w:t>
            </w:r>
          </w:p>
        </w:tc>
        <w:tc>
          <w:tcPr/>
          <w:p>
            <w:pPr>
              <w:pStyle w:val="Compact"/>
              <w:jc w:val="right"/>
            </w:pPr>
            <w:r>
              <w:t xml:space="preserve">Primarily power benefit, not rate benefit</w:t>
            </w:r>
          </w:p>
        </w:tc>
      </w:tr>
    </w:tbl>
    <w:p>
      <w:pPr>
        <w:pStyle w:val="BodyText"/>
      </w:pPr>
      <w:r>
        <w:rPr>
          <w:b/>
          <w:bCs/>
        </w:rPr>
        <w:t xml:space="preserve">Society-level projections.</w:t>
      </w:r>
      <w:r>
        <w:t xml:space="preserve"> </w:t>
      </w:r>
      <w:r>
        <w:t xml:space="preserve">SMFM and SGO: expected definite match rate 14–18% (full names + individual DOIs + full affiliations, no auth barrier). NASPAG: similar rate but high uncertainty due to small N (~35/year). ASRM: rate may be 12–16%; auth barrier limits affiliation backfill and reduces one enrichment pathway. ACOG: largest volume (~800/year) but broadest subspecialty scope (general OB/GYN), which may reduce per-abstract match confidence; expected rate 10–14%. AUGS: no DOI-chain search, no affiliation backfill; expected rate similar to AAGL (10–13%). CREOG/APGO: education-focused abstracts often describe curriculum innovations or simulation studies that may publish in education-specific journals less well indexed in PubMed; expected rate 8–12%.</w:t>
      </w:r>
    </w:p>
    <w:p>
      <w:pPr>
        <w:pStyle w:val="BodyText"/>
      </w:pPr>
      <w:r>
        <w:rPr>
          <w:b/>
          <w:bCs/>
        </w:rPr>
        <w:t xml:space="preserve">ORCID enrichment projection.</w:t>
      </w:r>
      <w:r>
        <w:t xml:space="preserve"> </w:t>
      </w:r>
      <w:r>
        <w:t xml:space="preserve">The AAGL pipeline achieved 15.8% ORCID linkage using initials only. All comparison societies provide full first names. Based on published ORCID coverage studies (Bosman &amp; Kramer 2018; Haak et al. 2012), full-name ORCID search against the ORCID public API achieves 55–70% linkage for US academic biomedical authors. Applying a conservative 60% estimate to the five non-AAGL Elsevier societies would increase author-level longitudinal tracking by roughly 4-fold.</w:t>
      </w:r>
    </w:p>
    <w:bookmarkEnd w:id="75"/>
    <w:bookmarkStart w:id="76" w:name="X67b02fd6881def93dc37a03feec5ff1a0c83a1a"/>
    <w:p>
      <w:pPr>
        <w:pStyle w:val="Heading3"/>
      </w:pPr>
      <w:r>
        <w:t xml:space="preserve">A11.6 Statistical Power for Cross-Society Analyses</w:t>
      </w:r>
    </w:p>
    <w:p>
      <w:pPr>
        <w:pStyle w:val="FirstParagraph"/>
      </w:pPr>
      <w:r>
        <w:rPr>
          <w:b/>
          <w:bCs/>
        </w:rPr>
        <w:t xml:space="preserve">Two-proportion z-test for publication rate differences.</w:t>
      </w:r>
      <w:r>
        <w:t xml:space="preserve"> </w:t>
      </w:r>
      <w:r>
        <w:t xml:space="preserve">The primary cross-society comparison of interest is whether two societies differ in their confirmed publication rate. Using a two-sided two-proportion z-test at α = 0.05 and 80% power, the minimum sample size required to detect a 5 percentage-point difference (e.g., 11% vs. 16%) depends on the assumed baseline rate:</w:t>
      </w:r>
    </w:p>
    <w:tbl>
      <w:tblPr>
        <w:tblStyle w:val="Table"/>
        <w:tblW w:type="pct" w:w="5000"/>
        <w:tblLayout w:type="fixed"/>
        <w:tblLook w:firstRow="1" w:lastRow="0" w:firstColumn="0" w:lastColumn="0" w:noHBand="0" w:noVBand="0" w:val="0020"/>
      </w:tblPr>
      <w:tblGrid>
        <w:gridCol w:w="1542"/>
        <w:gridCol w:w="1748"/>
        <w:gridCol w:w="1234"/>
        <w:gridCol w:w="1542"/>
        <w:gridCol w:w="1851"/>
      </w:tblGrid>
      <w:tr>
        <w:trPr>
          <w:tblHeader w:val="on"/>
        </w:trPr>
        <w:tc>
          <w:tcPr/>
          <w:p>
            <w:pPr>
              <w:pStyle w:val="Compact"/>
              <w:jc w:val="center"/>
            </w:pPr>
            <w:r>
              <w:t xml:space="preserve">Baseline Rate</w:t>
            </w:r>
          </w:p>
        </w:tc>
        <w:tc>
          <w:tcPr/>
          <w:p>
            <w:pPr>
              <w:pStyle w:val="Compact"/>
              <w:jc w:val="center"/>
            </w:pPr>
            <w:r>
              <w:t xml:space="preserve">Comparison Rate</w:t>
            </w:r>
          </w:p>
        </w:tc>
        <w:tc>
          <w:tcPr/>
          <w:p>
            <w:pPr>
              <w:pStyle w:val="Compact"/>
              <w:jc w:val="center"/>
            </w:pPr>
            <w:r>
              <w:t xml:space="preserve">Difference</w:t>
            </w:r>
          </w:p>
        </w:tc>
        <w:tc>
          <w:tcPr/>
          <w:p>
            <w:pPr>
              <w:pStyle w:val="Compact"/>
              <w:jc w:val="center"/>
            </w:pPr>
            <w:r>
              <w:t xml:space="preserve">N per Society</w:t>
            </w:r>
          </w:p>
        </w:tc>
        <w:tc>
          <w:tcPr/>
          <w:p>
            <w:pPr>
              <w:pStyle w:val="Compact"/>
              <w:jc w:val="center"/>
            </w:pPr>
            <w:r>
              <w:t xml:space="preserve">Total N Required</w:t>
            </w:r>
          </w:p>
        </w:tc>
      </w:tr>
      <w:tr>
        <w:tc>
          <w:tcPr/>
          <w:p>
            <w:pPr>
              <w:pStyle w:val="Compact"/>
              <w:jc w:val="center"/>
            </w:pPr>
            <w:r>
              <w:t xml:space="preserve">11% (AAGL)</w:t>
            </w:r>
          </w:p>
        </w:tc>
        <w:tc>
          <w:tcPr/>
          <w:p>
            <w:pPr>
              <w:pStyle w:val="Compact"/>
              <w:jc w:val="center"/>
            </w:pPr>
            <w:r>
              <w:t xml:space="preserve">16%</w:t>
            </w:r>
          </w:p>
        </w:tc>
        <w:tc>
          <w:tcPr/>
          <w:p>
            <w:pPr>
              <w:pStyle w:val="Compact"/>
              <w:jc w:val="center"/>
            </w:pPr>
            <w:r>
              <w:t xml:space="preserve">5 pp</w:t>
            </w:r>
          </w:p>
        </w:tc>
        <w:tc>
          <w:tcPr/>
          <w:p>
            <w:pPr>
              <w:pStyle w:val="Compact"/>
              <w:jc w:val="center"/>
            </w:pPr>
            <w:r>
              <w:t xml:space="preserve">487</w:t>
            </w:r>
          </w:p>
        </w:tc>
        <w:tc>
          <w:tcPr/>
          <w:p>
            <w:pPr>
              <w:pStyle w:val="Compact"/>
              <w:jc w:val="center"/>
            </w:pPr>
            <w:r>
              <w:t xml:space="preserve">974</w:t>
            </w:r>
          </w:p>
        </w:tc>
      </w:tr>
      <w:tr>
        <w:tc>
          <w:tcPr/>
          <w:p>
            <w:pPr>
              <w:pStyle w:val="Compact"/>
              <w:jc w:val="center"/>
            </w:pPr>
            <w:r>
              <w:t xml:space="preserve">11% (AAGL)</w:t>
            </w:r>
          </w:p>
        </w:tc>
        <w:tc>
          <w:tcPr/>
          <w:p>
            <w:pPr>
              <w:pStyle w:val="Compact"/>
              <w:jc w:val="center"/>
            </w:pPr>
            <w:r>
              <w:t xml:space="preserve">18%</w:t>
            </w:r>
          </w:p>
        </w:tc>
        <w:tc>
          <w:tcPr/>
          <w:p>
            <w:pPr>
              <w:pStyle w:val="Compact"/>
              <w:jc w:val="center"/>
            </w:pPr>
            <w:r>
              <w:t xml:space="preserve">7 pp</w:t>
            </w:r>
          </w:p>
        </w:tc>
        <w:tc>
          <w:tcPr/>
          <w:p>
            <w:pPr>
              <w:pStyle w:val="Compact"/>
              <w:jc w:val="center"/>
            </w:pPr>
            <w:r>
              <w:t xml:space="preserve">260</w:t>
            </w:r>
          </w:p>
        </w:tc>
        <w:tc>
          <w:tcPr/>
          <w:p>
            <w:pPr>
              <w:pStyle w:val="Compact"/>
              <w:jc w:val="center"/>
            </w:pPr>
            <w:r>
              <w:t xml:space="preserve">520</w:t>
            </w:r>
          </w:p>
        </w:tc>
      </w:tr>
      <w:tr>
        <w:tc>
          <w:tcPr/>
          <w:p>
            <w:pPr>
              <w:pStyle w:val="Compact"/>
              <w:jc w:val="center"/>
            </w:pPr>
            <w:r>
              <w:t xml:space="preserve">15% (projected)</w:t>
            </w:r>
          </w:p>
        </w:tc>
        <w:tc>
          <w:tcPr/>
          <w:p>
            <w:pPr>
              <w:pStyle w:val="Compact"/>
              <w:jc w:val="center"/>
            </w:pPr>
            <w:r>
              <w:t xml:space="preserve">20%</w:t>
            </w:r>
          </w:p>
        </w:tc>
        <w:tc>
          <w:tcPr/>
          <w:p>
            <w:pPr>
              <w:pStyle w:val="Compact"/>
              <w:jc w:val="center"/>
            </w:pPr>
            <w:r>
              <w:t xml:space="preserve">5 pp</w:t>
            </w:r>
          </w:p>
        </w:tc>
        <w:tc>
          <w:tcPr/>
          <w:p>
            <w:pPr>
              <w:pStyle w:val="Compact"/>
              <w:jc w:val="center"/>
            </w:pPr>
            <w:r>
              <w:t xml:space="preserve">523</w:t>
            </w:r>
          </w:p>
        </w:tc>
        <w:tc>
          <w:tcPr/>
          <w:p>
            <w:pPr>
              <w:pStyle w:val="Compact"/>
              <w:jc w:val="center"/>
            </w:pPr>
            <w:r>
              <w:t xml:space="preserve">1,046</w:t>
            </w:r>
          </w:p>
        </w:tc>
      </w:tr>
      <w:tr>
        <w:tc>
          <w:tcPr/>
          <w:p>
            <w:pPr>
              <w:pStyle w:val="Compact"/>
              <w:jc w:val="center"/>
            </w:pPr>
            <w:r>
              <w:t xml:space="preserve">15% (projected)</w:t>
            </w:r>
          </w:p>
        </w:tc>
        <w:tc>
          <w:tcPr/>
          <w:p>
            <w:pPr>
              <w:pStyle w:val="Compact"/>
              <w:jc w:val="center"/>
            </w:pPr>
            <w:r>
              <w:t xml:space="preserve">22%</w:t>
            </w:r>
          </w:p>
        </w:tc>
        <w:tc>
          <w:tcPr/>
          <w:p>
            <w:pPr>
              <w:pStyle w:val="Compact"/>
              <w:jc w:val="center"/>
            </w:pPr>
            <w:r>
              <w:t xml:space="preserve">7 pp</w:t>
            </w:r>
          </w:p>
        </w:tc>
        <w:tc>
          <w:tcPr/>
          <w:p>
            <w:pPr>
              <w:pStyle w:val="Compact"/>
              <w:jc w:val="center"/>
            </w:pPr>
            <w:r>
              <w:t xml:space="preserve">279</w:t>
            </w:r>
          </w:p>
        </w:tc>
        <w:tc>
          <w:tcPr/>
          <w:p>
            <w:pPr>
              <w:pStyle w:val="Compact"/>
              <w:jc w:val="center"/>
            </w:pPr>
            <w:r>
              <w:t xml:space="preserve">558</w:t>
            </w:r>
          </w:p>
        </w:tc>
      </w:tr>
    </w:tbl>
    <w:p>
      <w:pPr>
        <w:pStyle w:val="BodyText"/>
      </w:pPr>
      <w:r>
        <w:rPr>
          <w:b/>
          <w:bCs/>
        </w:rPr>
        <w:t xml:space="preserve">AAGL alone is underpowered for subgroup analyses.</w:t>
      </w:r>
      <w:r>
        <w:t xml:space="preserve"> </w:t>
      </w:r>
      <w:r>
        <w:t xml:space="preserve">With ~90 abstracts/year × 11 years = ~990 total abstracts and 122 definite matches, AAGL alone cannot support two-proportion tests within subgroups (e.g., by year, by session type, by research category). Splitting 122 events into 4 research categories yields ~30 events per cell, providing approximately 32% power to detect a 7 pp difference — substantially below the 80% threshold recommended for confirmatory analyses.</w:t>
      </w:r>
    </w:p>
    <w:p>
      <w:pPr>
        <w:pStyle w:val="BodyText"/>
      </w:pPr>
      <w:r>
        <w:rPr>
          <w:b/>
          <w:bCs/>
        </w:rPr>
        <w:t xml:space="preserve">Combined AAGL + SMFM + SGO reaches adequate power within 3 years.</w:t>
      </w:r>
      <w:r>
        <w:t xml:space="preserve"> </w:t>
      </w:r>
      <w:r>
        <w:t xml:space="preserve">AAGL + SMFM + SGO contribute approximately 90 + 500 + 570 = 1,160 abstracts/year. At an assumed 14% pooled publication rate, this generates approximately 162 new confirmed publications per year. Within 3 years of combined data collection, the pooled dataset would contain ~3,480 abstracts and ~487 confirmed publications — sufficient for two-proportion z-tests between any two of the three societies at 80% power for a 5 pp difference, and for Cox model subgroup analyses with adequate event counts (&gt;50 per stratum) in all major subgroups (RCT vs. non-RCT, positive vs. negative results, US vs. international).</w:t>
      </w:r>
    </w:p>
    <w:p>
      <w:pPr>
        <w:pStyle w:val="BodyText"/>
      </w:pPr>
      <w:r>
        <w:rPr>
          <w:b/>
          <w:bCs/>
        </w:rPr>
        <w:t xml:space="preserve">Cox proportional hazards model power: event-count requirements.</w:t>
      </w:r>
      <w:r>
        <w:t xml:space="preserve"> </w:t>
      </w:r>
      <w:r>
        <w:t xml:space="preserve">For Cox model covariate effects, the rule of thumb is ≥10 events per predictor variable (EPP), with a minimum of 50 total events for stable hazard ratio estimation. The AAGL dataset with 122 definite matches over 11 years provides adequate power (EPP ≥ 10) for a model with up to 12 covariates — which matches the current model specification. However, for interaction terms (e.g., subspecialty × result positivity) at least 50 events per interaction cell are needed. AAGL alone (122 events total) cannot support such interactions. A combined 3-society dataset with ~487 events over 3 years would support Cox models with up to 6 interaction terms while maintaining EPP ≥ 10, enabling the first adequately powered cross-subspecialty time-to-publication analysis in OB/GYN.</w:t>
      </w:r>
    </w:p>
    <w:bookmarkEnd w:id="76"/>
    <w:bookmarkStart w:id="77" w:name="X770fba4056c5de83ce90628210006748e0949e3"/>
    <w:p>
      <w:pPr>
        <w:pStyle w:val="Heading3"/>
      </w:pPr>
      <w:r>
        <w:t xml:space="preserve">A11.7 Disambiguation Challenges by Society</w:t>
      </w:r>
    </w:p>
    <w:p>
      <w:pPr>
        <w:pStyle w:val="FirstParagraph"/>
      </w:pPr>
      <w:r>
        <w:t xml:space="preserve">Each society presents distinct challenges for the name disambiguation, gender inference, and identity resolution components of the pipeline. Understanding these challenges prospectively allows targeted solutions to be built into the ingestion layer rather than discovered post-hoc.</w:t>
      </w:r>
    </w:p>
    <w:p>
      <w:pPr>
        <w:pStyle w:val="BodyText"/>
      </w:pPr>
      <w:r>
        <w:rPr>
          <w:b/>
          <w:bCs/>
        </w:rPr>
        <w:t xml:space="preserve">AAGL.</w:t>
      </w:r>
      <w:r>
        <w:t xml:space="preserve"> </w:t>
      </w:r>
      <w:r>
        <w:t xml:space="preserve">The primary and most consequential challenge is initials-only first names (e.g.,</w:t>
      </w:r>
      <w:r>
        <w:t xml:space="preserve"> </w:t>
      </w:r>
      <w:r>
        <w:t xml:space="preserve">“R.S. Guido”</w:t>
      </w:r>
      <w:r>
        <w:t xml:space="preserve">). This single feature limits ORCID linkage to 15.8%, disables exact-name NPI matching for 84% of US authors, and reduces genderize.io inference accuracy. No other society in the candidate set has this limitation. The recommended mitigation — cross-referencing confirmed publications to retrieve full author names from PubMed XML — recovers full names for confirmed matches but leaves unmatched abstracts with initials only.</w:t>
      </w:r>
    </w:p>
    <w:p>
      <w:pPr>
        <w:pStyle w:val="BodyText"/>
      </w:pPr>
      <w:r>
        <w:rPr>
          <w:b/>
          <w:bCs/>
        </w:rPr>
        <w:t xml:space="preserve">SMFM.</w:t>
      </w:r>
      <w:r>
        <w:t xml:space="preserve"> </w:t>
      </w:r>
      <w:r>
        <w:t xml:space="preserve">The MFM community has a higher proportion of international presenters than MIGS (reflecting MFM’s broader geographic scope in high-risk obstetrics). Authors with Hebrew, Arabic, Chinese, Korean, and South Asian names present two challenges: (1) genderize.io has lower accuracy for non-Western names (reported coverage 60–75% vs. &gt;90% for Western European names); and (2) multi-character transliteration variants (e.g.,</w:t>
      </w:r>
      <w:r>
        <w:t xml:space="preserve"> </w:t>
      </w:r>
      <w:r>
        <w:t xml:space="preserve">“Weissman”</w:t>
      </w:r>
      <w:r>
        <w:t xml:space="preserve"> </w:t>
      </w:r>
      <w:r>
        <w:t xml:space="preserve">vs. </w:t>
      </w:r>
      <w:r>
        <w:t xml:space="preserve">“Weisman”</w:t>
      </w:r>
      <w:r>
        <w:t xml:space="preserve">) increase false-negative rates in PubMed author-name matching. The recommended mitigation is applying Unicode normalization before string matching and using ORCID-linked affiliations to anchor transliteration variants.</w:t>
      </w:r>
    </w:p>
    <w:p>
      <w:pPr>
        <w:pStyle w:val="BodyText"/>
      </w:pPr>
      <w:r>
        <w:rPr>
          <w:b/>
          <w:bCs/>
        </w:rPr>
        <w:t xml:space="preserve">SGO.</w:t>
      </w:r>
      <w:r>
        <w:t xml:space="preserve"> </w:t>
      </w:r>
      <w:r>
        <w:t xml:space="preserve">Gynecologic oncology fellows are disproportionately first authors at SGO, reflecting the mentorship structure of oncology training. Fellows who present in year 1 of fellowship may be attending physicians by year 3 (when the abstract most likely converts to a publication), meaning their NPI affiliation state changes between abstract submission and paper publication. This creates a temporal mismatch in state-level career-stage analyses. The mitigation is recording the abstract-submission year as the reference year for career-stage determination, not the publication year.</w:t>
      </w:r>
    </w:p>
    <w:p>
      <w:pPr>
        <w:pStyle w:val="BodyText"/>
      </w:pPr>
      <w:r>
        <w:rPr>
          <w:b/>
          <w:bCs/>
        </w:rPr>
        <w:t xml:space="preserve">ASRM.</w:t>
      </w:r>
      <w:r>
        <w:t xml:space="preserve"> </w:t>
      </w:r>
      <w:r>
        <w:t xml:space="preserve">ASRM abstracts include presentations by embryologists, andrologists, reproductive biologists, and PhD-level researchers who do not hold MD degrees and therefore do not appear in the ABOG NPI pool. An estimated 20–30% of ASRM first authors may be non-physicians, for whom the NPI matching component is not applicable. Affiliation text parsing (detecting</w:t>
      </w:r>
      <w:r>
        <w:t xml:space="preserve"> </w:t>
      </w:r>
      <w:r>
        <w:t xml:space="preserve">“PhD,”</w:t>
      </w:r>
      <w:r>
        <w:t xml:space="preserve"> </w:t>
      </w:r>
      <w:r>
        <w:t xml:space="preserve">“HCLD,”</w:t>
      </w:r>
      <w:r>
        <w:t xml:space="preserve"> </w:t>
      </w:r>
      <w:r>
        <w:t xml:space="preserve">“MS”</w:t>
      </w:r>
      <w:r>
        <w:t xml:space="preserve"> </w:t>
      </w:r>
      <w:r>
        <w:t xml:space="preserve">in credentials, or</w:t>
      </w:r>
      <w:r>
        <w:t xml:space="preserve"> </w:t>
      </w:r>
      <w:r>
        <w:t xml:space="preserve">“laboratory”</w:t>
      </w:r>
      <w:r>
        <w:t xml:space="preserve"> </w:t>
      </w:r>
      <w:r>
        <w:t xml:space="preserve">in institutional title) should flag non-physician authors before NPI matching to avoid spurious low-confidence matches.</w:t>
      </w:r>
    </w:p>
    <w:p>
      <w:pPr>
        <w:pStyle w:val="BodyText"/>
      </w:pPr>
      <w:r>
        <w:rPr>
          <w:b/>
          <w:bCs/>
        </w:rPr>
        <w:t xml:space="preserve">ACOG.</w:t>
      </w:r>
      <w:r>
        <w:t xml:space="preserve"> </w:t>
      </w:r>
      <w:r>
        <w:t xml:space="preserve">ACOG is the largest and most heterogeneous society, encompassing community general obstetrician-gynecologists, academic specialists, and residents presenting case reports. General OB/GYN practitioners are harder to NPI-match than subspecialists because (a) they outnumber subspecialists in the ABOG pool by approximately 3:1, increasing name collision probability, and (b) they are less likely to have institutional affiliation strings that disambiguate between similarly-named physicians in the same specialty. The MIGS subspecialty bonus used in the AAGL NPI scoring model should be disabled for ACOG and replaced with a generalist-aware prior.</w:t>
      </w:r>
    </w:p>
    <w:p>
      <w:pPr>
        <w:pStyle w:val="BodyText"/>
      </w:pPr>
      <w:r>
        <w:rPr>
          <w:b/>
          <w:bCs/>
        </w:rPr>
        <w:t xml:space="preserve">NASPAG.</w:t>
      </w:r>
      <w:r>
        <w:t xml:space="preserve"> </w:t>
      </w:r>
      <w:r>
        <w:t xml:space="preserve">The pediatric and adolescent gynecology community is small (~1,200 members). Many authors present at multiple annual meetings over their careers, creating an unusual opportunity for longitudinal author-level analysis within a single society. With only ~35 abstracts/year, repeat-presenter rates are high enough that a dedicated author-deduplication step (merging the same individual’s presentations across years) would be scientifically valuable and technically feasible. This is not implemented in the current AAGL pipeline, where repeat presenters are treated independently.</w:t>
      </w:r>
    </w:p>
    <w:p>
      <w:pPr>
        <w:pStyle w:val="BodyText"/>
      </w:pPr>
      <w:r>
        <w:rPr>
          <w:b/>
          <w:bCs/>
        </w:rPr>
        <w:t xml:space="preserve">SFP.</w:t>
      </w:r>
      <w:r>
        <w:t xml:space="preserve"> </w:t>
      </w:r>
      <w:r>
        <w:t xml:space="preserve">The family planning community includes a notable proportion of non-OB/GYN investigators: epidemiologists, public health researchers, social scientists, and family medicine physicians who present on contraception access, abortion policy, and reproductive health disparities. These authors do not hold OB/GYN board certification and will not appear in the ABOG NPI pool. Additionally, SFP publications may appear in</w:t>
      </w:r>
      <w:r>
        <w:t xml:space="preserve"> </w:t>
      </w:r>
      <w:r>
        <w:rPr>
          <w:i/>
          <w:iCs/>
        </w:rPr>
        <w:t xml:space="preserve">Perspectives on Sexual and Reproductive Health</w:t>
      </w:r>
      <w:r>
        <w:t xml:space="preserve">,</w:t>
      </w:r>
      <w:r>
        <w:t xml:space="preserve"> </w:t>
      </w:r>
      <w:r>
        <w:rPr>
          <w:i/>
          <w:iCs/>
        </w:rPr>
        <w:t xml:space="preserve">Contraception</w:t>
      </w:r>
      <w:r>
        <w:t xml:space="preserve">,</w:t>
      </w:r>
      <w:r>
        <w:t xml:space="preserve"> </w:t>
      </w:r>
      <w:r>
        <w:rPr>
          <w:i/>
          <w:iCs/>
        </w:rPr>
        <w:t xml:space="preserve">American Journal of Public Health</w:t>
      </w:r>
      <w:r>
        <w:t xml:space="preserve">, and other non-OB/GYN journals not captured by the 12-journal relevance scoring list in the current pipeline. Expanding the journal relevance list is recommended before applying the pipeline to SFP.</w:t>
      </w:r>
    </w:p>
    <w:bookmarkEnd w:id="77"/>
    <w:bookmarkStart w:id="78" w:name="X9d2c14ea718c3f2dfd81b4e56bef96d177be14e"/>
    <w:p>
      <w:pPr>
        <w:pStyle w:val="Heading3"/>
      </w:pPr>
      <w:r>
        <w:t xml:space="preserve">A11.8 Recommended Implementation Sequence</w:t>
      </w:r>
    </w:p>
    <w:p>
      <w:pPr>
        <w:pStyle w:val="FirstParagraph"/>
      </w:pPr>
      <w:r>
        <w:t xml:space="preserve">The following phased schedule balances scientific priority, engineering complexity, and data volume to ensure each new society’s data can be validated against AAGL results before committing to the next expansion.</w:t>
      </w:r>
    </w:p>
    <w:p>
      <w:pPr>
        <w:pStyle w:val="BodyText"/>
      </w:pPr>
      <w:r>
        <w:rPr>
          <w:b/>
          <w:bCs/>
        </w:rPr>
        <w:t xml:space="preserve">Phase 1 (Months 1–3): SMFM.</w:t>
      </w:r>
      <w:r>
        <w:t xml:space="preserve"> </w:t>
      </w:r>
      <w:r>
        <w:t xml:space="preserve">SMFM is the highest-priority first expansion because it shares the ScienceDirect platform with AAGL (zero new platform engineering), provides the strongest scientific contrast (maternal-fetal medicine vs. minimally invasive gynecologic surgery), and contributes the largest additional abstract volume of any single-platform society (~500/year). Full first names and affiliations are available at ingestion. The AJOG supplement URL pattern is confirmed across 2013–2023. The primary implementation tasks are: update journal DOI prefix and URL pattern in</w:t>
      </w:r>
      <w:r>
        <w:t xml:space="preserve"> </w:t>
      </w:r>
      <w:r>
        <w:rPr>
          <w:rStyle w:val="VerbatimChar"/>
        </w:rPr>
        <w:t xml:space="preserve">01b_parse_web.R</w:t>
      </w:r>
      <w:r>
        <w:t xml:space="preserve">; adjust NPI subspecialty filter to MFM; update journal relevance list to include AJOG,</w:t>
      </w:r>
      <w:r>
        <w:t xml:space="preserve"> </w:t>
      </w:r>
      <w:r>
        <w:rPr>
          <w:i/>
          <w:iCs/>
        </w:rPr>
        <w:t xml:space="preserve">Prenatal Diagnosis</w:t>
      </w:r>
      <w:r>
        <w:t xml:space="preserve">, and</w:t>
      </w:r>
      <w:r>
        <w:t xml:space="preserve"> </w:t>
      </w:r>
      <w:r>
        <w:rPr>
          <w:i/>
          <w:iCs/>
        </w:rPr>
        <w:t xml:space="preserve">Ultrasound in Obstetrics &amp; Gynecology</w:t>
      </w:r>
      <w:r>
        <w:t xml:space="preserve">; validate against a 50-abstract manually verified gold standard.</w:t>
      </w:r>
    </w:p>
    <w:p>
      <w:pPr>
        <w:pStyle w:val="BodyText"/>
      </w:pPr>
      <w:r>
        <w:rPr>
          <w:b/>
          <w:bCs/>
        </w:rPr>
        <w:t xml:space="preserve">Phase 2 (Months 4–6): SGO.</w:t>
      </w:r>
      <w:r>
        <w:t xml:space="preserve"> </w:t>
      </w:r>
      <w:r>
        <w:t xml:space="preserve">SGO adds the gynecologic oncology perspective with ~570 abstracts/year on ScienceDirect. Implementation is identical to SMFM except for the 2013 data gap (no dedicated supplement in</w:t>
      </w:r>
      <w:r>
        <w:t xml:space="preserve"> </w:t>
      </w:r>
      <w:r>
        <w:rPr>
          <w:i/>
          <w:iCs/>
        </w:rPr>
        <w:t xml:space="preserve">Gynecologic Oncology</w:t>
      </w:r>
      <w:r>
        <w:t xml:space="preserve"> </w:t>
      </w:r>
      <w:r>
        <w:t xml:space="preserve">Vol 129) and the need to expand the journal relevance list to oncology-specific outlets (</w:t>
      </w:r>
      <w:r>
        <w:rPr>
          <w:i/>
          <w:iCs/>
        </w:rPr>
        <w:t xml:space="preserve">Cancer</w:t>
      </w:r>
      <w:r>
        <w:t xml:space="preserve">,</w:t>
      </w:r>
      <w:r>
        <w:t xml:space="preserve"> </w:t>
      </w:r>
      <w:r>
        <w:rPr>
          <w:i/>
          <w:iCs/>
        </w:rPr>
        <w:t xml:space="preserve">Journal of Clinical Oncology</w:t>
      </w:r>
      <w:r>
        <w:t xml:space="preserve">,</w:t>
      </w:r>
      <w:r>
        <w:t xml:space="preserve"> </w:t>
      </w:r>
      <w:r>
        <w:rPr>
          <w:i/>
          <w:iCs/>
        </w:rPr>
        <w:t xml:space="preserve">Gynecologic Oncology</w:t>
      </w:r>
      <w:r>
        <w:t xml:space="preserve">). The fellow-as-first-author challenge (described in A11.7) should be addressed by adding a career-stage temporal mismatch flag to the output CSV.</w:t>
      </w:r>
    </w:p>
    <w:p>
      <w:pPr>
        <w:pStyle w:val="BodyText"/>
      </w:pPr>
      <w:r>
        <w:rPr>
          <w:b/>
          <w:bCs/>
        </w:rPr>
        <w:t xml:space="preserve">Phase 3 (Months 7–9): NASPAG.</w:t>
      </w:r>
      <w:r>
        <w:t xml:space="preserve"> </w:t>
      </w:r>
      <w:r>
        <w:t xml:space="preserve">NASPAG completes the Elsevier/ScienceDirect implementation set at low volume (~35 abstracts/year). The small annual N means the full 2013–2023 dataset contains only ~385 abstracts — smaller than a single ASRM year — but the complete dataset can be processed in a single pipeline run. The longitudinal author-deduplication enhancement described in A11.7 should be implemented here, as NASPAG’s small, stable community makes it the ideal test case.</w:t>
      </w:r>
    </w:p>
    <w:p>
      <w:pPr>
        <w:pStyle w:val="BodyText"/>
      </w:pPr>
      <w:r>
        <w:rPr>
          <w:b/>
          <w:bCs/>
        </w:rPr>
        <w:t xml:space="preserve">Phase 4 (Months 10–12): ASRM.</w:t>
      </w:r>
      <w:r>
        <w:t xml:space="preserve"> </w:t>
      </w:r>
      <w:r>
        <w:t xml:space="preserve">ASRM’s institutional authentication requirement for supplement browsing is the primary implementation obstacle. The recommended approach is to enumerate abstract DOIs from the CrossRef API (which does not require authentication:</w:t>
      </w:r>
      <w:r>
        <w:t xml:space="preserve"> </w:t>
      </w:r>
      <w:r>
        <w:rPr>
          <w:rStyle w:val="VerbatimChar"/>
        </w:rPr>
        <w:t xml:space="preserve">https://api.crossref.org/works?filter=issn:0015-0282,type:journal-article&amp;query={year}</w:t>
      </w:r>
      <w:r>
        <w:t xml:space="preserve">) and resolve individual DOIs via</w:t>
      </w:r>
      <w:r>
        <w:t xml:space="preserve"> </w:t>
      </w:r>
      <w:r>
        <w:rPr>
          <w:rStyle w:val="VerbatimChar"/>
        </w:rPr>
        <w:t xml:space="preserve">https://doi.org/10.1016/j.fertnstert.{YYYY}.{MM}.{NNN}</w:t>
      </w:r>
      <w:r>
        <w:t xml:space="preserve">, which resolves publicly even when the browse index requires auth. A non-physician-author detection flag should be added to the output schema before ASRM processing. With ~1,200 abstracts/year across 11 years, ASRM is the most computationally intensive society and should be run on a multi-core machine with</w:t>
      </w:r>
      <w:r>
        <w:t xml:space="preserve"> </w:t>
      </w:r>
      <w:r>
        <w:rPr>
          <w:rStyle w:val="VerbatimChar"/>
        </w:rPr>
        <w:t xml:space="preserve">furrr::future_map()</w:t>
      </w:r>
      <w:r>
        <w:t xml:space="preserve"> </w:t>
      </w:r>
      <w:r>
        <w:t xml:space="preserve">parallelization.</w:t>
      </w:r>
    </w:p>
    <w:p>
      <w:pPr>
        <w:pStyle w:val="BodyText"/>
      </w:pPr>
      <w:r>
        <w:rPr>
          <w:b/>
          <w:bCs/>
        </w:rPr>
        <w:t xml:space="preserve">Phase 5 (Year 2): LWW Societies — ACOG, CREOG/APGO, AUGS.</w:t>
      </w:r>
      <w:r>
        <w:t xml:space="preserve"> </w:t>
      </w:r>
      <w:r>
        <w:t xml:space="preserve">These three societies share the LWW platform and can be processed once a single LWW scraper is built. The scraper should handle: JavaScript-rendered TOC pagination (use</w:t>
      </w:r>
      <w:r>
        <w:t xml:space="preserve"> </w:t>
      </w:r>
      <w:r>
        <w:rPr>
          <w:rStyle w:val="VerbatimChar"/>
        </w:rPr>
        <w:t xml:space="preserve">httr2</w:t>
      </w:r>
      <w:r>
        <w:t xml:space="preserve"> </w:t>
      </w:r>
      <w:r>
        <w:t xml:space="preserve">with the LWW API endpoint or</w:t>
      </w:r>
      <w:r>
        <w:t xml:space="preserve"> </w:t>
      </w:r>
      <w:r>
        <w:rPr>
          <w:rStyle w:val="VerbatimChar"/>
        </w:rPr>
        <w:t xml:space="preserve">RSelenium</w:t>
      </w:r>
      <w:r>
        <w:t xml:space="preserve"> </w:t>
      </w:r>
      <w:r>
        <w:t xml:space="preserve">as fallback), LWW-specific HTML affiliation extraction (plain-text rather than JSON-blob), and hash-based DOI format (</w:t>
      </w:r>
      <w:r>
        <w:rPr>
          <w:rStyle w:val="VerbatimChar"/>
        </w:rPr>
        <w:t xml:space="preserve">10.1097/01.AOG.XXXXXXXX</w:t>
      </w:r>
      <w:r>
        <w:t xml:space="preserve">). Building and validating the scraper against the AUGS 2023 supplement (the most recent and structurally representative) is recommended before applying it to ACOG and CREOG/APGO. The three societies can then be processed in parallel.</w:t>
      </w:r>
    </w:p>
    <w:p>
      <w:pPr>
        <w:pStyle w:val="BodyText"/>
      </w:pPr>
      <w:r>
        <w:rPr>
          <w:b/>
          <w:bCs/>
        </w:rPr>
        <w:t xml:space="preserve">Defer: SFP and SASGOG.</w:t>
      </w:r>
      <w:r>
        <w:t xml:space="preserve"> </w:t>
      </w:r>
      <w:r>
        <w:t xml:space="preserve">SFP’s collection-level DOI model requires parsing full-text collection articles — a fundamentally different ingestion approach that should be tackled only after the volume societies (SMFM, SGO, ASRM) are validated. SASGOG lacks a journal, lacks DOIs, and lacks PubMed indexing; implementing the pipeline for SASGOG provides no DOI-chain search benefit and requires custom web scraping of a society website with unknown historical URL structure. SASGOG is deferred indefinitely unless the society introduces journal publication.</w:t>
      </w:r>
    </w:p>
    <w:bookmarkEnd w:id="78"/>
    <w:bookmarkStart w:id="79" w:name="X8be282f36c0076a3ef610b0435952eb5fb33bb5"/>
    <w:p>
      <w:pPr>
        <w:pStyle w:val="Heading3"/>
      </w:pPr>
      <w:r>
        <w:t xml:space="preserve">A11.9 Scientific Questions Enabled by Multi-Society Data</w:t>
      </w:r>
    </w:p>
    <w:p>
      <w:pPr>
        <w:pStyle w:val="FirstParagraph"/>
      </w:pPr>
      <w:r>
        <w:t xml:space="preserve">A fully assembled 10-society OB/GYN abstract-to-publication dataset would enable the following research questions, listed with expected effect sizes where empirical estimates exist in the literature and with the covariate structure available in the combined dataset.</w:t>
      </w:r>
    </w:p>
    <w:p>
      <w:pPr>
        <w:pStyle w:val="BodyText"/>
      </w:pPr>
      <w:r>
        <w:rPr>
          <w:b/>
          <w:bCs/>
        </w:rPr>
        <w:t xml:space="preserve">Hypothesis 1: Cross-subspecialty publication rate heterogeneity.</w:t>
      </w:r>
      <w:r>
        <w:t xml:space="preserve"> </w:t>
      </w:r>
      <w:r>
        <w:t xml:space="preserve">Publication rates at surgical subspecialty meetings (AAGL, AUGS, SGO) differ from those at medical/consultative subspecialty meetings (SMFM, ASRM) after controlling for study design and year.</w:t>
      </w:r>
      <w:r>
        <w:t xml:space="preserve"> </w:t>
      </w:r>
      <w:r>
        <w:rPr>
          <w:i/>
          <w:iCs/>
        </w:rPr>
        <w:t xml:space="preserve">Expected effect size:</w:t>
      </w:r>
      <w:r>
        <w:t xml:space="preserve"> </w:t>
      </w:r>
      <w:r>
        <w:t xml:space="preserve">Based on single-society studies, surgical meeting rates range 15–30% (SGO: Salani et al. 2008, 29%; AAGL current: 11.4%) and medical meeting rates range 20–40% (SMFM: Dunbar et al. 2022). A 10–15 pp difference between surgical and medical meetings is plausible.</w:t>
      </w:r>
      <w:r>
        <w:t xml:space="preserve"> </w:t>
      </w:r>
      <w:r>
        <w:rPr>
          <w:i/>
          <w:iCs/>
        </w:rPr>
        <w:t xml:space="preserve">Available covariates:</w:t>
      </w:r>
      <w:r>
        <w:t xml:space="preserve"> </w:t>
      </w:r>
      <w:r>
        <w:t xml:space="preserve">society, subspecialty, year, RCT status, result positivity, first-author gender, career stage, US vs. international affiliation.</w:t>
      </w:r>
    </w:p>
    <w:p>
      <w:pPr>
        <w:pStyle w:val="BodyText"/>
      </w:pPr>
      <w:r>
        <w:rPr>
          <w:b/>
          <w:bCs/>
        </w:rPr>
        <w:t xml:space="preserve">Hypothesis 2: The AAGL initials-only effect.</w:t>
      </w:r>
      <w:r>
        <w:t xml:space="preserve"> </w:t>
      </w:r>
      <w:r>
        <w:t xml:space="preserve">Controlling for all other factors, AAGL abstracts will show lower confirmed publication rates than structurally similar Elsevier societies (SMFM, SGO, NASPAG) — not because MIGS researchers publish less, but because the pipeline’s name-based search is less effective with initials. This methodological artifact can be estimated directly by comparing AAGL match rates for abstracts with confirmed publications (where full names can be recovered from PubMed) vs. abstract-only records.</w:t>
      </w:r>
      <w:r>
        <w:t xml:space="preserve"> </w:t>
      </w:r>
      <w:r>
        <w:rPr>
          <w:i/>
          <w:iCs/>
        </w:rPr>
        <w:t xml:space="preserve">Expected magnitude:</w:t>
      </w:r>
      <w:r>
        <w:t xml:space="preserve"> </w:t>
      </w:r>
      <w:r>
        <w:t xml:space="preserve">2–5 pp rate undercount attributable to initials-only limitation.</w:t>
      </w:r>
    </w:p>
    <w:p>
      <w:pPr>
        <w:pStyle w:val="BodyText"/>
      </w:pPr>
      <w:r>
        <w:rPr>
          <w:b/>
          <w:bCs/>
        </w:rPr>
        <w:t xml:space="preserve">Hypothesis 3: Publication bias is consistent across subspecialties.</w:t>
      </w:r>
      <w:r>
        <w:t xml:space="preserve"> </w:t>
      </w:r>
      <w:r>
        <w:t xml:space="preserve">The positive result publication advantage observed in AAGL (HR for positive results in Cox model: direction and magnitude to be confirmed from the current analysis) is replicated across societies. If the hazard ratio for positive-result abstracts is consistent across subspecialties (I² &lt; 25% in random-effects meta-analysis across societies), this supports a domain-general publication bias mechanism rather than subspecialty-specific editorial norms.</w:t>
      </w:r>
      <w:r>
        <w:t xml:space="preserve"> </w:t>
      </w:r>
      <w:r>
        <w:rPr>
          <w:i/>
          <w:iCs/>
        </w:rPr>
        <w:t xml:space="preserve">Covariate:</w:t>
      </w:r>
      <w:r>
        <w:t xml:space="preserve"> </w:t>
      </w:r>
      <w:r>
        <w:rPr>
          <w:rStyle w:val="VerbatimChar"/>
        </w:rPr>
        <w:t xml:space="preserve">result_positivity</w:t>
      </w:r>
      <w:r>
        <w:t xml:space="preserve"> </w:t>
      </w:r>
      <w:r>
        <w:t xml:space="preserve">(already extracted by NLP in the current pipeline).</w:t>
      </w:r>
    </w:p>
    <w:p>
      <w:pPr>
        <w:pStyle w:val="BodyText"/>
      </w:pPr>
      <w:r>
        <w:rPr>
          <w:b/>
          <w:bCs/>
        </w:rPr>
        <w:t xml:space="preserve">Hypothesis 4: Gender parity trends differ by subspecialty.</w:t>
      </w:r>
      <w:r>
        <w:t xml:space="preserve"> </w:t>
      </w:r>
      <w:r>
        <w:t xml:space="preserve">SMFM and NASPAG — the two OB/GYN subspecialties with the highest proportion of women practitioners — will show earlier gender parity in first authorship than AAGL (historically male-dominated MIGS) or SGO (historically male-dominated surgical oncology).</w:t>
      </w:r>
      <w:r>
        <w:t xml:space="preserve"> </w:t>
      </w:r>
      <w:r>
        <w:rPr>
          <w:i/>
          <w:iCs/>
        </w:rPr>
        <w:t xml:space="preserve">Available covariates:</w:t>
      </w:r>
      <w:r>
        <w:t xml:space="preserve"> </w:t>
      </w:r>
      <w:r>
        <w:rPr>
          <w:rStyle w:val="VerbatimChar"/>
        </w:rPr>
        <w:t xml:space="preserve">gender_unified</w:t>
      </w:r>
      <w:r>
        <w:t xml:space="preserve"> </w:t>
      </w:r>
      <w:r>
        <w:t xml:space="preserve">(genderize.io),</w:t>
      </w:r>
      <w:r>
        <w:t xml:space="preserve"> </w:t>
      </w:r>
      <w:r>
        <w:rPr>
          <w:rStyle w:val="VerbatimChar"/>
        </w:rPr>
        <w:t xml:space="preserve">congress_year</w:t>
      </w:r>
      <w:r>
        <w:t xml:space="preserve">, society.</w:t>
      </w:r>
      <w:r>
        <w:t xml:space="preserve"> </w:t>
      </w:r>
      <w:r>
        <w:rPr>
          <w:i/>
          <w:iCs/>
        </w:rPr>
        <w:t xml:space="preserve">Expected pattern based on prior literature:</w:t>
      </w:r>
      <w:r>
        <w:t xml:space="preserve"> </w:t>
      </w:r>
      <w:r>
        <w:t xml:space="preserve">2–4% annual increase in female first-authorship in surgical subspecialties (Rao et al. 2021); parity already achieved in SMFM by 2015 (Bhatt et al. 2019 reported 55% female at SMFM meetings).</w:t>
      </w:r>
    </w:p>
    <w:p>
      <w:pPr>
        <w:pStyle w:val="BodyText"/>
      </w:pPr>
      <w:r>
        <w:rPr>
          <w:b/>
          <w:bCs/>
        </w:rPr>
        <w:t xml:space="preserve">Hypothesis 5: RCT design advantage is attenuated in educational research.</w:t>
      </w:r>
      <w:r>
        <w:t xml:space="preserve"> </w:t>
      </w:r>
      <w:r>
        <w:t xml:space="preserve">The AAGL Cox model shows a hazard ratio of 2.36 for RCT vs. non-RCT abstracts — a strong design advantage for the gold-standard study type. In CREOG/APGO data, where the majority of presentations are simulation studies and curriculum evaluations, the RCT is less culturally normative. The RCT hazard ratio in CREOG/APGO data is expected to be smaller (projected HR 1.4–1.8) or non-significant, reflecting the different publication norms of medical education research.</w:t>
      </w:r>
    </w:p>
    <w:p>
      <w:pPr>
        <w:pStyle w:val="BodyText"/>
      </w:pPr>
      <w:r>
        <w:rPr>
          <w:b/>
          <w:bCs/>
        </w:rPr>
        <w:t xml:space="preserve">Combined dataset covariate matrix.</w:t>
      </w:r>
      <w:r>
        <w:t xml:space="preserve"> </w:t>
      </w:r>
      <w:r>
        <w:t xml:space="preserve">A fully assembled multi-society dataset would contain the following covariates for each abstract:</w:t>
      </w:r>
      <w:r>
        <w:t xml:space="preserve"> </w:t>
      </w:r>
      <w:r>
        <w:rPr>
          <w:rStyle w:val="VerbatimChar"/>
        </w:rPr>
        <w:t xml:space="preserve">society</w:t>
      </w:r>
      <w:r>
        <w:t xml:space="preserve"> </w:t>
      </w:r>
      <w:r>
        <w:t xml:space="preserve">(10-level factor),</w:t>
      </w:r>
      <w:r>
        <w:t xml:space="preserve"> </w:t>
      </w:r>
      <w:r>
        <w:rPr>
          <w:rStyle w:val="VerbatimChar"/>
        </w:rPr>
        <w:t xml:space="preserve">platform</w:t>
      </w:r>
      <w:r>
        <w:t xml:space="preserve"> </w:t>
      </w:r>
      <w:r>
        <w:t xml:space="preserve">(ScienceDirect/LWW/web),</w:t>
      </w:r>
      <w:r>
        <w:t xml:space="preserve"> </w:t>
      </w:r>
      <w:r>
        <w:rPr>
          <w:rStyle w:val="VerbatimChar"/>
        </w:rPr>
        <w:t xml:space="preserve">doi_type</w:t>
      </w:r>
      <w:r>
        <w:t xml:space="preserve"> </w:t>
      </w:r>
      <w:r>
        <w:t xml:space="preserve">(individual/collection/none),</w:t>
      </w:r>
      <w:r>
        <w:t xml:space="preserve"> </w:t>
      </w:r>
      <w:r>
        <w:rPr>
          <w:rStyle w:val="VerbatimChar"/>
        </w:rPr>
        <w:t xml:space="preserve">congress_year</w:t>
      </w:r>
      <w:r>
        <w:t xml:space="preserve"> </w:t>
      </w:r>
      <w:r>
        <w:t xml:space="preserve">(2012–2023),</w:t>
      </w:r>
      <w:r>
        <w:t xml:space="preserve"> </w:t>
      </w:r>
      <w:r>
        <w:rPr>
          <w:rStyle w:val="VerbatimChar"/>
        </w:rPr>
        <w:t xml:space="preserve">n_abstracts_that_year</w:t>
      </w:r>
      <w:r>
        <w:t xml:space="preserve"> </w:t>
      </w:r>
      <w:r>
        <w:t xml:space="preserve">(society-year abstract volume),</w:t>
      </w:r>
      <w:r>
        <w:t xml:space="preserve"> </w:t>
      </w:r>
      <w:r>
        <w:rPr>
          <w:rStyle w:val="VerbatimChar"/>
        </w:rPr>
        <w:t xml:space="preserve">first_author_full_name_available</w:t>
      </w:r>
      <w:r>
        <w:t xml:space="preserve"> </w:t>
      </w:r>
      <w:r>
        <w:t xml:space="preserve">(logical),</w:t>
      </w:r>
      <w:r>
        <w:t xml:space="preserve"> </w:t>
      </w:r>
      <w:r>
        <w:rPr>
          <w:rStyle w:val="VerbatimChar"/>
        </w:rPr>
        <w:t xml:space="preserve">result_positivity</w:t>
      </w:r>
      <w:r>
        <w:t xml:space="preserve">,</w:t>
      </w:r>
      <w:r>
        <w:t xml:space="preserve"> </w:t>
      </w:r>
      <w:r>
        <w:rPr>
          <w:rStyle w:val="VerbatimChar"/>
        </w:rPr>
        <w:t xml:space="preserve">is_rct</w:t>
      </w:r>
      <w:r>
        <w:t xml:space="preserve">,</w:t>
      </w:r>
      <w:r>
        <w:t xml:space="preserve"> </w:t>
      </w:r>
      <w:r>
        <w:rPr>
          <w:rStyle w:val="VerbatimChar"/>
        </w:rPr>
        <w:t xml:space="preserve">study_design</w:t>
      </w:r>
      <w:r>
        <w:t xml:space="preserve">,</w:t>
      </w:r>
      <w:r>
        <w:t xml:space="preserve"> </w:t>
      </w:r>
      <w:r>
        <w:rPr>
          <w:rStyle w:val="VerbatimChar"/>
        </w:rPr>
        <w:t xml:space="preserve">research_category</w:t>
      </w:r>
      <w:r>
        <w:t xml:space="preserve">,</w:t>
      </w:r>
      <w:r>
        <w:t xml:space="preserve"> </w:t>
      </w:r>
      <w:r>
        <w:rPr>
          <w:rStyle w:val="VerbatimChar"/>
        </w:rPr>
        <w:t xml:space="preserve">gender_unified</w:t>
      </w:r>
      <w:r>
        <w:t xml:space="preserve">,</w:t>
      </w:r>
      <w:r>
        <w:t xml:space="preserve"> </w:t>
      </w:r>
      <w:r>
        <w:rPr>
          <w:rStyle w:val="VerbatimChar"/>
        </w:rPr>
        <w:t xml:space="preserve">first_author_country</w:t>
      </w:r>
      <w:r>
        <w:t xml:space="preserve">,</w:t>
      </w:r>
      <w:r>
        <w:t xml:space="preserve"> </w:t>
      </w:r>
      <w:r>
        <w:rPr>
          <w:rStyle w:val="VerbatimChar"/>
        </w:rPr>
        <w:t xml:space="preserve">first_author_career_stage</w:t>
      </w:r>
      <w:r>
        <w:t xml:space="preserve">,</w:t>
      </w:r>
      <w:r>
        <w:t xml:space="preserve"> </w:t>
      </w:r>
      <w:r>
        <w:rPr>
          <w:rStyle w:val="VerbatimChar"/>
        </w:rPr>
        <w:t xml:space="preserve">practice_type</w:t>
      </w:r>
      <w:r>
        <w:t xml:space="preserve">,</w:t>
      </w:r>
      <w:r>
        <w:t xml:space="preserve"> </w:t>
      </w:r>
      <w:r>
        <w:rPr>
          <w:rStyle w:val="VerbatimChar"/>
        </w:rPr>
        <w:t xml:space="preserve">subspecialty_npi</w:t>
      </w:r>
      <w:r>
        <w:t xml:space="preserve">,</w:t>
      </w:r>
      <w:r>
        <w:t xml:space="preserve"> </w:t>
      </w:r>
      <w:r>
        <w:rPr>
          <w:rStyle w:val="VerbatimChar"/>
        </w:rPr>
        <w:t xml:space="preserve">has_industry_funding</w:t>
      </w:r>
      <w:r>
        <w:t xml:space="preserve">,</w:t>
      </w:r>
      <w:r>
        <w:t xml:space="preserve"> </w:t>
      </w:r>
      <w:r>
        <w:rPr>
          <w:rStyle w:val="VerbatimChar"/>
        </w:rPr>
        <w:t xml:space="preserve">has_trial_registration</w:t>
      </w:r>
      <w:r>
        <w:t xml:space="preserve">, and all matching-quality flags (</w:t>
      </w:r>
      <w:r>
        <w:rPr>
          <w:rStyle w:val="VerbatimChar"/>
        </w:rPr>
        <w:t xml:space="preserve">classification</w:t>
      </w:r>
      <w:r>
        <w:t xml:space="preserve">,</w:t>
      </w:r>
      <w:r>
        <w:t xml:space="preserve"> </w:t>
      </w:r>
      <w:r>
        <w:rPr>
          <w:rStyle w:val="VerbatimChar"/>
        </w:rPr>
        <w:t xml:space="preserve">best_score</w:t>
      </w:r>
      <w:r>
        <w:t xml:space="preserve">,</w:t>
      </w:r>
      <w:r>
        <w:t xml:space="preserve"> </w:t>
      </w:r>
      <w:r>
        <w:rPr>
          <w:rStyle w:val="VerbatimChar"/>
        </w:rPr>
        <w:t xml:space="preserve">n_candidates</w:t>
      </w:r>
      <w:r>
        <w:t xml:space="preserve">,</w:t>
      </w:r>
      <w:r>
        <w:t xml:space="preserve"> </w:t>
      </w:r>
      <w:r>
        <w:rPr>
          <w:rStyle w:val="VerbatimChar"/>
        </w:rPr>
        <w:t xml:space="preserve">has_tie</w:t>
      </w:r>
      <w:r>
        <w:t xml:space="preserve">). This covariate richness supports multi-level modeling with society as the clustering unit and abstract-year as the within-cluster observation.</w:t>
      </w:r>
    </w:p>
    <w:bookmarkEnd w:id="79"/>
    <w:bookmarkStart w:id="92" w:name="X5adcebed53402b0a470dee944c93ca36bc7dae6"/>
    <w:p>
      <w:pPr>
        <w:pStyle w:val="Heading3"/>
      </w:pPr>
      <w:r>
        <w:t xml:space="preserve">A11.10 SMFM Abstract Supplement URLs (2013–2023)</w:t>
      </w:r>
    </w:p>
    <w:p>
      <w:pPr>
        <w:pStyle w:val="FirstParagraph"/>
      </w:pPr>
      <w:r>
        <w:t xml:space="preserve">SMFM (Society for Maternal-Fetal Medicine) annual meeting abstracts are published as supplement issues of the</w:t>
      </w:r>
      <w:r>
        <w:t xml:space="preserve"> </w:t>
      </w:r>
      <w:r>
        <w:rPr>
          <w:i/>
          <w:iCs/>
        </w:rPr>
        <w:t xml:space="preserve">American Journal of Obstetrics and Gynecology</w:t>
      </w:r>
      <w:r>
        <w:t xml:space="preserve"> </w:t>
      </w:r>
      <w:r>
        <w:t xml:space="preserve">(AJOG) on ScienceDirect (Elsevier). Unlike AUGS abstracts,</w:t>
      </w:r>
      <w:r>
        <w:t xml:space="preserve"> </w:t>
      </w:r>
      <w:r>
        <w:rPr>
          <w:b/>
          <w:bCs/>
        </w:rPr>
        <w:t xml:space="preserve">each individual SMFM abstract receives a unique DOI</w:t>
      </w:r>
      <w:r>
        <w:t xml:space="preserve"> </w:t>
      </w:r>
      <w:r>
        <w:t xml:space="preserve">following the pattern</w:t>
      </w:r>
      <w:r>
        <w:t xml:space="preserve"> </w:t>
      </w:r>
      <w:r>
        <w:rPr>
          <w:rStyle w:val="VerbatimChar"/>
        </w:rPr>
        <w:t xml:space="preserve">10.1016/j.ajog.YYYY.MM.NNN</w:t>
      </w:r>
      <w:r>
        <w:t xml:space="preserve">, where NNN increments sequentially within the supplement. This was confirmed by inspecting the 2023 supplement, where abstracts are numbered sequentially (…004, …005, …006, etc.).</w:t>
      </w:r>
    </w:p>
    <w:p>
      <w:pPr>
        <w:pStyle w:val="BodyText"/>
      </w:pPr>
      <w:r>
        <w:t xml:space="preserve">This is the same DOI structure as AAGL/JMIG abstracts, meaning the full pipeline — including DOI-chain search via OpenAlex, CrossRef metadata retrieval, and ScienceDirect HTML affiliation backfill — can be applied without modification.</w:t>
      </w:r>
    </w:p>
    <w:p>
      <w:pPr>
        <w:pStyle w:val="BodyText"/>
      </w:pPr>
      <w:r>
        <w:rPr>
          <w:b/>
          <w:bCs/>
        </w:rPr>
        <w:t xml:space="preserve">Note:</w:t>
      </w:r>
      <w:r>
        <w:t xml:space="preserve"> </w:t>
      </w:r>
      <w:r>
        <w:t xml:space="preserve">The 2021 supplement appears in Issue 2 rather than Issue 1, likely due to meeting rescheduling from the COVID-19 virtual format. All other years use Issue 1.</w:t>
      </w:r>
    </w:p>
    <w:tbl>
      <w:tblPr>
        <w:tblStyle w:val="Table"/>
        <w:tblW w:type="pct" w:w="5000"/>
        <w:tblLayout w:type="fixed"/>
        <w:tblLook w:firstRow="1" w:lastRow="0" w:firstColumn="0" w:lastColumn="0" w:noHBand="0" w:noVBand="0" w:val="0020"/>
      </w:tblPr>
      <w:tblGrid>
        <w:gridCol w:w="742"/>
        <w:gridCol w:w="1113"/>
        <w:gridCol w:w="1237"/>
        <w:gridCol w:w="866"/>
        <w:gridCol w:w="2351"/>
        <w:gridCol w:w="1608"/>
      </w:tblGrid>
      <w:tr>
        <w:trPr>
          <w:tblHeader w:val="on"/>
        </w:trPr>
        <w:tc>
          <w:tcPr/>
          <w:p>
            <w:pPr>
              <w:pStyle w:val="Compact"/>
            </w:pPr>
            <w:r>
              <w:t xml:space="preserve">Year</w:t>
            </w:r>
          </w:p>
        </w:tc>
        <w:tc>
          <w:tcPr/>
          <w:p>
            <w:pPr>
              <w:pStyle w:val="Compact"/>
            </w:pPr>
            <w:r>
              <w:t xml:space="preserve">Meeting</w:t>
            </w:r>
          </w:p>
        </w:tc>
        <w:tc>
          <w:tcPr/>
          <w:p>
            <w:pPr>
              <w:pStyle w:val="Compact"/>
            </w:pPr>
            <w:r>
              <w:t xml:space="preserve">AJOG Vol</w:t>
            </w:r>
          </w:p>
        </w:tc>
        <w:tc>
          <w:tcPr/>
          <w:p>
            <w:pPr>
              <w:pStyle w:val="Compact"/>
            </w:pPr>
            <w:r>
              <w:t xml:space="preserve">Issue</w:t>
            </w:r>
          </w:p>
        </w:tc>
        <w:tc>
          <w:tcPr/>
          <w:p>
            <w:pPr>
              <w:pStyle w:val="Compact"/>
            </w:pPr>
            <w:r>
              <w:t xml:space="preserve">ScienceDirect URL</w:t>
            </w:r>
          </w:p>
        </w:tc>
        <w:tc>
          <w:tcPr/>
          <w:p>
            <w:pPr>
              <w:pStyle w:val="Compact"/>
            </w:pPr>
            <w:r>
              <w:t xml:space="preserve">DOI Pattern</w:t>
            </w:r>
          </w:p>
        </w:tc>
      </w:tr>
      <w:tr>
        <w:tc>
          <w:tcPr/>
          <w:p>
            <w:pPr>
              <w:pStyle w:val="Compact"/>
            </w:pPr>
            <w:r>
              <w:t xml:space="preserve">2023</w:t>
            </w:r>
          </w:p>
        </w:tc>
        <w:tc>
          <w:tcPr/>
          <w:p>
            <w:pPr>
              <w:pStyle w:val="Compact"/>
            </w:pPr>
            <w:r>
              <w:t xml:space="preserve">43rd</w:t>
            </w:r>
          </w:p>
        </w:tc>
        <w:tc>
          <w:tcPr/>
          <w:p>
            <w:pPr>
              <w:pStyle w:val="Compact"/>
            </w:pPr>
            <w:r>
              <w:t xml:space="preserve">228</w:t>
            </w:r>
          </w:p>
        </w:tc>
        <w:tc>
          <w:tcPr/>
          <w:p>
            <w:pPr>
              <w:pStyle w:val="Compact"/>
            </w:pPr>
            <w:r>
              <w:t xml:space="preserve">1, Suppl S</w:t>
            </w:r>
          </w:p>
        </w:tc>
        <w:tc>
          <w:tcPr/>
          <w:p>
            <w:pPr>
              <w:pStyle w:val="Compact"/>
            </w:pPr>
            <w:hyperlink r:id="rId80">
              <w:r>
                <w:rPr>
                  <w:rStyle w:val="Hyperlink"/>
                </w:rPr>
                <w:t xml:space="preserve">https://www.sciencedirect.com/journal/american-journal-of-obstetrics-and-gynecology/vol/228/issue/1/suppl/S</w:t>
              </w:r>
            </w:hyperlink>
          </w:p>
        </w:tc>
        <w:tc>
          <w:tcPr/>
          <w:p>
            <w:pPr>
              <w:pStyle w:val="Compact"/>
            </w:pPr>
            <w:r>
              <w:t xml:space="preserve">10.1016/j.ajog.2022.11.xxx</w:t>
            </w:r>
          </w:p>
        </w:tc>
      </w:tr>
      <w:tr>
        <w:tc>
          <w:tcPr/>
          <w:p>
            <w:pPr>
              <w:pStyle w:val="Compact"/>
            </w:pPr>
            <w:r>
              <w:t xml:space="preserve">2022</w:t>
            </w:r>
          </w:p>
        </w:tc>
        <w:tc>
          <w:tcPr/>
          <w:p>
            <w:pPr>
              <w:pStyle w:val="Compact"/>
            </w:pPr>
            <w:r>
              <w:t xml:space="preserve">42nd</w:t>
            </w:r>
          </w:p>
        </w:tc>
        <w:tc>
          <w:tcPr/>
          <w:p>
            <w:pPr>
              <w:pStyle w:val="Compact"/>
            </w:pPr>
            <w:r>
              <w:t xml:space="preserve">226</w:t>
            </w:r>
          </w:p>
        </w:tc>
        <w:tc>
          <w:tcPr/>
          <w:p>
            <w:pPr>
              <w:pStyle w:val="Compact"/>
            </w:pPr>
            <w:r>
              <w:t xml:space="preserve">1, Suppl S</w:t>
            </w:r>
          </w:p>
        </w:tc>
        <w:tc>
          <w:tcPr/>
          <w:p>
            <w:pPr>
              <w:pStyle w:val="Compact"/>
            </w:pPr>
            <w:hyperlink r:id="rId81">
              <w:r>
                <w:rPr>
                  <w:rStyle w:val="Hyperlink"/>
                </w:rPr>
                <w:t xml:space="preserve">https://www.sciencedirect.com/journal/american-journal-of-obstetrics-and-gynecology/vol/226/issue/1/suppl/S</w:t>
              </w:r>
            </w:hyperlink>
          </w:p>
        </w:tc>
        <w:tc>
          <w:tcPr/>
          <w:p>
            <w:pPr>
              <w:pStyle w:val="Compact"/>
            </w:pPr>
            <w:r>
              <w:t xml:space="preserve">10.1016/j.ajog.2021.11.xxx</w:t>
            </w:r>
          </w:p>
        </w:tc>
      </w:tr>
      <w:tr>
        <w:tc>
          <w:tcPr/>
          <w:p>
            <w:pPr>
              <w:pStyle w:val="Compact"/>
            </w:pPr>
            <w:r>
              <w:t xml:space="preserve">2021</w:t>
            </w:r>
          </w:p>
        </w:tc>
        <w:tc>
          <w:tcPr/>
          <w:p>
            <w:pPr>
              <w:pStyle w:val="Compact"/>
            </w:pPr>
            <w:r>
              <w:t xml:space="preserve">41st</w:t>
            </w:r>
          </w:p>
        </w:tc>
        <w:tc>
          <w:tcPr/>
          <w:p>
            <w:pPr>
              <w:pStyle w:val="Compact"/>
            </w:pPr>
            <w:r>
              <w:t xml:space="preserve">224</w:t>
            </w:r>
          </w:p>
        </w:tc>
        <w:tc>
          <w:tcPr/>
          <w:p>
            <w:pPr>
              <w:pStyle w:val="Compact"/>
            </w:pPr>
            <w:r>
              <w:rPr>
                <w:b/>
                <w:bCs/>
              </w:rPr>
              <w:t xml:space="preserve">2</w:t>
            </w:r>
            <w:r>
              <w:t xml:space="preserve">, Suppl S</w:t>
            </w:r>
          </w:p>
        </w:tc>
        <w:tc>
          <w:tcPr/>
          <w:p>
            <w:pPr>
              <w:pStyle w:val="Compact"/>
            </w:pPr>
            <w:hyperlink r:id="rId82">
              <w:r>
                <w:rPr>
                  <w:rStyle w:val="Hyperlink"/>
                </w:rPr>
                <w:t xml:space="preserve">https://www.sciencedirect.com/journal/american-journal-of-obstetrics-and-gynecology/vol/224/issue/2/suppl/S</w:t>
              </w:r>
            </w:hyperlink>
          </w:p>
        </w:tc>
        <w:tc>
          <w:tcPr/>
          <w:p>
            <w:pPr>
              <w:pStyle w:val="Compact"/>
            </w:pPr>
            <w:r>
              <w:t xml:space="preserve">10.1016/j.ajog.2020.12.xxx</w:t>
            </w:r>
          </w:p>
        </w:tc>
      </w:tr>
      <w:tr>
        <w:tc>
          <w:tcPr/>
          <w:p>
            <w:pPr>
              <w:pStyle w:val="Compact"/>
            </w:pPr>
            <w:r>
              <w:t xml:space="preserve">2020</w:t>
            </w:r>
          </w:p>
        </w:tc>
        <w:tc>
          <w:tcPr/>
          <w:p>
            <w:pPr>
              <w:pStyle w:val="Compact"/>
            </w:pPr>
            <w:r>
              <w:t xml:space="preserve">40th</w:t>
            </w:r>
          </w:p>
        </w:tc>
        <w:tc>
          <w:tcPr/>
          <w:p>
            <w:pPr>
              <w:pStyle w:val="Compact"/>
            </w:pPr>
            <w:r>
              <w:t xml:space="preserve">222</w:t>
            </w:r>
          </w:p>
        </w:tc>
        <w:tc>
          <w:tcPr/>
          <w:p>
            <w:pPr>
              <w:pStyle w:val="Compact"/>
            </w:pPr>
            <w:r>
              <w:t xml:space="preserve">1, Suppl S</w:t>
            </w:r>
          </w:p>
        </w:tc>
        <w:tc>
          <w:tcPr/>
          <w:p>
            <w:pPr>
              <w:pStyle w:val="Compact"/>
            </w:pPr>
            <w:hyperlink r:id="rId83">
              <w:r>
                <w:rPr>
                  <w:rStyle w:val="Hyperlink"/>
                </w:rPr>
                <w:t xml:space="preserve">https://www.sciencedirect.com/journal/american-journal-of-obstetrics-and-gynecology/vol/222/issue/1/suppl/S</w:t>
              </w:r>
            </w:hyperlink>
          </w:p>
        </w:tc>
        <w:tc>
          <w:tcPr/>
          <w:p>
            <w:pPr>
              <w:pStyle w:val="Compact"/>
            </w:pPr>
            <w:r>
              <w:t xml:space="preserve">10.1016/j.ajog.2019.11.xxx</w:t>
            </w:r>
          </w:p>
        </w:tc>
      </w:tr>
      <w:tr>
        <w:tc>
          <w:tcPr/>
          <w:p>
            <w:pPr>
              <w:pStyle w:val="Compact"/>
            </w:pPr>
            <w:r>
              <w:t xml:space="preserve">2019</w:t>
            </w:r>
          </w:p>
        </w:tc>
        <w:tc>
          <w:tcPr/>
          <w:p>
            <w:pPr>
              <w:pStyle w:val="Compact"/>
            </w:pPr>
            <w:r>
              <w:t xml:space="preserve">39th</w:t>
            </w:r>
          </w:p>
        </w:tc>
        <w:tc>
          <w:tcPr/>
          <w:p>
            <w:pPr>
              <w:pStyle w:val="Compact"/>
            </w:pPr>
            <w:r>
              <w:t xml:space="preserve">220</w:t>
            </w:r>
          </w:p>
        </w:tc>
        <w:tc>
          <w:tcPr/>
          <w:p>
            <w:pPr>
              <w:pStyle w:val="Compact"/>
            </w:pPr>
            <w:r>
              <w:t xml:space="preserve">1, Suppl S</w:t>
            </w:r>
          </w:p>
        </w:tc>
        <w:tc>
          <w:tcPr/>
          <w:p>
            <w:pPr>
              <w:pStyle w:val="Compact"/>
            </w:pPr>
            <w:hyperlink r:id="rId84">
              <w:r>
                <w:rPr>
                  <w:rStyle w:val="Hyperlink"/>
                </w:rPr>
                <w:t xml:space="preserve">https://www.sciencedirect.com/journal/american-journal-of-obstetrics-and-gynecology/vol/220/issue/1/suppl/S</w:t>
              </w:r>
            </w:hyperlink>
          </w:p>
        </w:tc>
        <w:tc>
          <w:tcPr/>
          <w:p>
            <w:pPr>
              <w:pStyle w:val="Compact"/>
            </w:pPr>
            <w:r>
              <w:t xml:space="preserve">10.1016/j.ajog.2018.11.xxx</w:t>
            </w:r>
          </w:p>
        </w:tc>
      </w:tr>
      <w:tr>
        <w:tc>
          <w:tcPr/>
          <w:p>
            <w:pPr>
              <w:pStyle w:val="Compact"/>
            </w:pPr>
            <w:r>
              <w:t xml:space="preserve">2018</w:t>
            </w:r>
          </w:p>
        </w:tc>
        <w:tc>
          <w:tcPr/>
          <w:p>
            <w:pPr>
              <w:pStyle w:val="Compact"/>
            </w:pPr>
            <w:r>
              <w:t xml:space="preserve">38th</w:t>
            </w:r>
          </w:p>
        </w:tc>
        <w:tc>
          <w:tcPr/>
          <w:p>
            <w:pPr>
              <w:pStyle w:val="Compact"/>
            </w:pPr>
            <w:r>
              <w:t xml:space="preserve">218</w:t>
            </w:r>
          </w:p>
        </w:tc>
        <w:tc>
          <w:tcPr/>
          <w:p>
            <w:pPr>
              <w:pStyle w:val="Compact"/>
            </w:pPr>
            <w:r>
              <w:t xml:space="preserve">1, Suppl S</w:t>
            </w:r>
          </w:p>
        </w:tc>
        <w:tc>
          <w:tcPr/>
          <w:p>
            <w:pPr>
              <w:pStyle w:val="Compact"/>
            </w:pPr>
            <w:hyperlink r:id="rId85">
              <w:r>
                <w:rPr>
                  <w:rStyle w:val="Hyperlink"/>
                </w:rPr>
                <w:t xml:space="preserve">https://www.sciencedirect.com/journal/american-journal-of-obstetrics-and-gynecology/vol/218/issue/1/suppl/S</w:t>
              </w:r>
            </w:hyperlink>
          </w:p>
        </w:tc>
        <w:tc>
          <w:tcPr/>
          <w:p>
            <w:pPr>
              <w:pStyle w:val="Compact"/>
            </w:pPr>
            <w:r>
              <w:t xml:space="preserve">10.1016/j.ajog.2017.11.xxx</w:t>
            </w:r>
          </w:p>
        </w:tc>
      </w:tr>
      <w:tr>
        <w:tc>
          <w:tcPr/>
          <w:p>
            <w:pPr>
              <w:pStyle w:val="Compact"/>
            </w:pPr>
            <w:r>
              <w:t xml:space="preserve">2017</w:t>
            </w:r>
          </w:p>
        </w:tc>
        <w:tc>
          <w:tcPr/>
          <w:p>
            <w:pPr>
              <w:pStyle w:val="Compact"/>
            </w:pPr>
            <w:r>
              <w:t xml:space="preserve">37th</w:t>
            </w:r>
          </w:p>
        </w:tc>
        <w:tc>
          <w:tcPr/>
          <w:p>
            <w:pPr>
              <w:pStyle w:val="Compact"/>
            </w:pPr>
            <w:r>
              <w:t xml:space="preserve">216</w:t>
            </w:r>
          </w:p>
        </w:tc>
        <w:tc>
          <w:tcPr/>
          <w:p>
            <w:pPr>
              <w:pStyle w:val="Compact"/>
            </w:pPr>
            <w:r>
              <w:t xml:space="preserve">1, Suppl S</w:t>
            </w:r>
          </w:p>
        </w:tc>
        <w:tc>
          <w:tcPr/>
          <w:p>
            <w:pPr>
              <w:pStyle w:val="Compact"/>
            </w:pPr>
            <w:hyperlink r:id="rId86">
              <w:r>
                <w:rPr>
                  <w:rStyle w:val="Hyperlink"/>
                </w:rPr>
                <w:t xml:space="preserve">https://www.sciencedirect.com/journal/american-journal-of-obstetrics-and-gynecology/vol/216/issue/1/suppl/S</w:t>
              </w:r>
            </w:hyperlink>
          </w:p>
        </w:tc>
        <w:tc>
          <w:tcPr/>
          <w:p>
            <w:pPr>
              <w:pStyle w:val="Compact"/>
            </w:pPr>
            <w:r>
              <w:t xml:space="preserve">10.1016/j.ajog.2016.11.xxx</w:t>
            </w:r>
          </w:p>
        </w:tc>
      </w:tr>
      <w:tr>
        <w:tc>
          <w:tcPr/>
          <w:p>
            <w:pPr>
              <w:pStyle w:val="Compact"/>
            </w:pPr>
            <w:r>
              <w:t xml:space="preserve">2016</w:t>
            </w:r>
          </w:p>
        </w:tc>
        <w:tc>
          <w:tcPr/>
          <w:p>
            <w:pPr>
              <w:pStyle w:val="Compact"/>
            </w:pPr>
            <w:r>
              <w:t xml:space="preserve">36th</w:t>
            </w:r>
          </w:p>
        </w:tc>
        <w:tc>
          <w:tcPr/>
          <w:p>
            <w:pPr>
              <w:pStyle w:val="Compact"/>
            </w:pPr>
            <w:r>
              <w:t xml:space="preserve">214</w:t>
            </w:r>
          </w:p>
        </w:tc>
        <w:tc>
          <w:tcPr/>
          <w:p>
            <w:pPr>
              <w:pStyle w:val="Compact"/>
            </w:pPr>
            <w:r>
              <w:t xml:space="preserve">1, Suppl S</w:t>
            </w:r>
          </w:p>
        </w:tc>
        <w:tc>
          <w:tcPr/>
          <w:p>
            <w:pPr>
              <w:pStyle w:val="Compact"/>
            </w:pPr>
            <w:hyperlink r:id="rId87">
              <w:r>
                <w:rPr>
                  <w:rStyle w:val="Hyperlink"/>
                </w:rPr>
                <w:t xml:space="preserve">https://www.sciencedirect.com/journal/american-journal-of-obstetrics-and-gynecology/vol/214/issue/1/suppl/S</w:t>
              </w:r>
            </w:hyperlink>
          </w:p>
        </w:tc>
        <w:tc>
          <w:tcPr/>
          <w:p>
            <w:pPr>
              <w:pStyle w:val="Compact"/>
            </w:pPr>
            <w:r>
              <w:t xml:space="preserve">10.1016/j.ajog.2015.11.xxx</w:t>
            </w:r>
          </w:p>
        </w:tc>
      </w:tr>
      <w:tr>
        <w:tc>
          <w:tcPr/>
          <w:p>
            <w:pPr>
              <w:pStyle w:val="Compact"/>
            </w:pPr>
            <w:r>
              <w:t xml:space="preserve">2015</w:t>
            </w:r>
          </w:p>
        </w:tc>
        <w:tc>
          <w:tcPr/>
          <w:p>
            <w:pPr>
              <w:pStyle w:val="Compact"/>
            </w:pPr>
            <w:r>
              <w:t xml:space="preserve">35th</w:t>
            </w:r>
          </w:p>
        </w:tc>
        <w:tc>
          <w:tcPr/>
          <w:p>
            <w:pPr>
              <w:pStyle w:val="Compact"/>
            </w:pPr>
            <w:r>
              <w:t xml:space="preserve">212</w:t>
            </w:r>
          </w:p>
        </w:tc>
        <w:tc>
          <w:tcPr/>
          <w:p>
            <w:pPr>
              <w:pStyle w:val="Compact"/>
            </w:pPr>
            <w:r>
              <w:t xml:space="preserve">1, Suppl S</w:t>
            </w:r>
          </w:p>
        </w:tc>
        <w:tc>
          <w:tcPr/>
          <w:p>
            <w:pPr>
              <w:pStyle w:val="Compact"/>
            </w:pPr>
            <w:hyperlink r:id="rId88">
              <w:r>
                <w:rPr>
                  <w:rStyle w:val="Hyperlink"/>
                </w:rPr>
                <w:t xml:space="preserve">https://www.sciencedirect.com/journal/american-journal-of-obstetrics-and-gynecology/vol/212/issue/1/suppl/S</w:t>
              </w:r>
            </w:hyperlink>
          </w:p>
        </w:tc>
        <w:tc>
          <w:tcPr/>
          <w:p>
            <w:pPr>
              <w:pStyle w:val="Compact"/>
            </w:pPr>
            <w:r>
              <w:t xml:space="preserve">10.1016/j.ajog.2014.11.xxx</w:t>
            </w:r>
          </w:p>
        </w:tc>
      </w:tr>
      <w:tr>
        <w:tc>
          <w:tcPr/>
          <w:p>
            <w:pPr>
              <w:pStyle w:val="Compact"/>
            </w:pPr>
            <w:r>
              <w:t xml:space="preserve">2014</w:t>
            </w:r>
          </w:p>
        </w:tc>
        <w:tc>
          <w:tcPr/>
          <w:p>
            <w:pPr>
              <w:pStyle w:val="Compact"/>
            </w:pPr>
            <w:r>
              <w:t xml:space="preserve">34th</w:t>
            </w:r>
          </w:p>
        </w:tc>
        <w:tc>
          <w:tcPr/>
          <w:p>
            <w:pPr>
              <w:pStyle w:val="Compact"/>
            </w:pPr>
            <w:r>
              <w:t xml:space="preserve">210</w:t>
            </w:r>
          </w:p>
        </w:tc>
        <w:tc>
          <w:tcPr/>
          <w:p>
            <w:pPr>
              <w:pStyle w:val="Compact"/>
            </w:pPr>
            <w:r>
              <w:t xml:space="preserve">1, Suppl S</w:t>
            </w:r>
          </w:p>
        </w:tc>
        <w:tc>
          <w:tcPr/>
          <w:p>
            <w:pPr>
              <w:pStyle w:val="Compact"/>
            </w:pPr>
            <w:hyperlink r:id="rId89">
              <w:r>
                <w:rPr>
                  <w:rStyle w:val="Hyperlink"/>
                </w:rPr>
                <w:t xml:space="preserve">https://www.sciencedirect.com/journal/american-journal-of-obstetrics-and-gynecology/vol/210/issue/1/suppl/S</w:t>
              </w:r>
            </w:hyperlink>
          </w:p>
        </w:tc>
        <w:tc>
          <w:tcPr/>
          <w:p>
            <w:pPr>
              <w:pStyle w:val="Compact"/>
            </w:pPr>
            <w:r>
              <w:t xml:space="preserve">10.1016/j.ajog.2013.11.xxx</w:t>
            </w:r>
          </w:p>
        </w:tc>
      </w:tr>
      <w:tr>
        <w:tc>
          <w:tcPr/>
          <w:p>
            <w:pPr>
              <w:pStyle w:val="Compact"/>
            </w:pPr>
            <w:r>
              <w:t xml:space="preserve">2013</w:t>
            </w:r>
          </w:p>
        </w:tc>
        <w:tc>
          <w:tcPr/>
          <w:p>
            <w:pPr>
              <w:pStyle w:val="Compact"/>
            </w:pPr>
            <w:r>
              <w:t xml:space="preserve">33rd</w:t>
            </w:r>
          </w:p>
        </w:tc>
        <w:tc>
          <w:tcPr/>
          <w:p>
            <w:pPr>
              <w:pStyle w:val="Compact"/>
            </w:pPr>
            <w:r>
              <w:t xml:space="preserve">208</w:t>
            </w:r>
          </w:p>
        </w:tc>
        <w:tc>
          <w:tcPr/>
          <w:p>
            <w:pPr>
              <w:pStyle w:val="Compact"/>
            </w:pPr>
            <w:r>
              <w:t xml:space="preserve">1, Suppl S</w:t>
            </w:r>
          </w:p>
        </w:tc>
        <w:tc>
          <w:tcPr/>
          <w:p>
            <w:pPr>
              <w:pStyle w:val="Compact"/>
            </w:pPr>
            <w:hyperlink r:id="rId90">
              <w:r>
                <w:rPr>
                  <w:rStyle w:val="Hyperlink"/>
                </w:rPr>
                <w:t xml:space="preserve">https://www.sciencedirect.com/journal/american-journal-of-obstetrics-and-gynecology/vol/208/issue/1/suppl/S</w:t>
              </w:r>
            </w:hyperlink>
          </w:p>
        </w:tc>
        <w:tc>
          <w:tcPr/>
          <w:p>
            <w:pPr>
              <w:pStyle w:val="Compact"/>
            </w:pPr>
            <w:r>
              <w:t xml:space="preserve">10.1016/j.ajog.2012.11.xxx</w:t>
            </w:r>
          </w:p>
        </w:tc>
      </w:tr>
    </w:tbl>
    <w:p>
      <w:pPr>
        <w:pStyle w:val="BodyText"/>
      </w:pPr>
      <w:r>
        <w:rPr>
          <w:b/>
          <w:bCs/>
        </w:rPr>
        <w:t xml:space="preserve">DOI uniqueness confirmed:</w:t>
      </w:r>
      <w:r>
        <w:t xml:space="preserve"> </w:t>
      </w:r>
      <w:r>
        <w:t xml:space="preserve">Individual abstract DOIs increment sequentially within each supplement. Because AJOG is hosted on ScienceDirect (Elsevier) — the same platform as JMIG — the existing</w:t>
      </w:r>
      <w:r>
        <w:t xml:space="preserve"> </w:t>
      </w:r>
      <w:r>
        <w:rPr>
          <w:rStyle w:val="VerbatimChar"/>
        </w:rPr>
        <w:t xml:space="preserve">backfill_affiliations_from_cache.R</w:t>
      </w:r>
      <w:r>
        <w:t xml:space="preserve">,</w:t>
      </w:r>
      <w:r>
        <w:t xml:space="preserve"> </w:t>
      </w:r>
      <w:r>
        <w:rPr>
          <w:rStyle w:val="VerbatimChar"/>
        </w:rPr>
        <w:t xml:space="preserve">01b_parse_web.R</w:t>
      </w:r>
      <w:r>
        <w:t xml:space="preserve">, and</w:t>
      </w:r>
      <w:r>
        <w:t xml:space="preserve"> </w:t>
      </w:r>
      <w:r>
        <w:rPr>
          <w:rStyle w:val="VerbatimChar"/>
        </w:rPr>
        <w:t xml:space="preserve">03c_doi_chain_search.R</w:t>
      </w:r>
      <w:r>
        <w:t xml:space="preserve"> </w:t>
      </w:r>
      <w:r>
        <w:t xml:space="preserve">scripts can be adapted for SMFM with minimal modification, primarily updating the journal-specific URL patterns and PII extraction logic.</w:t>
      </w:r>
    </w:p>
    <w:p>
      <w:pPr>
        <w:pStyle w:val="BodyText"/>
      </w:pPr>
      <w:r>
        <w:rPr>
          <w:i/>
          <w:iCs/>
        </w:rPr>
        <w:t xml:space="preserve">Sources: ScienceDirect AJOG special issues index;</w:t>
      </w:r>
      <w:r>
        <w:rPr>
          <w:i/>
          <w:iCs/>
        </w:rPr>
        <w:t xml:space="preserve"> </w:t>
      </w:r>
      <w:hyperlink r:id="rId91">
        <w:r>
          <w:rPr>
            <w:rStyle w:val="Hyperlink"/>
            <w:i/>
            <w:iCs/>
          </w:rPr>
          <w:t xml:space="preserve">https://publications.smfm.org/</w:t>
        </w:r>
      </w:hyperlink>
    </w:p>
    <w:bookmarkEnd w:id="92"/>
    <w:bookmarkStart w:id="93" w:name="X0194632da0eacb2919432c7e09a49e6d1a40992"/>
    <w:p>
      <w:pPr>
        <w:pStyle w:val="Heading3"/>
      </w:pPr>
      <w:r>
        <w:t xml:space="preserve">A11.11 ASRM Abstract Supplement URLs (2013–2023)</w:t>
      </w:r>
    </w:p>
    <w:p>
      <w:pPr>
        <w:pStyle w:val="FirstParagraph"/>
      </w:pPr>
      <w:r>
        <w:t xml:space="preserve">ASRM (American Society for Reproductive Medicine) annual meeting abstracts are published as supplement issues of</w:t>
      </w:r>
      <w:r>
        <w:t xml:space="preserve"> </w:t>
      </w:r>
      <w:r>
        <w:rPr>
          <w:i/>
          <w:iCs/>
        </w:rPr>
        <w:t xml:space="preserve">Fertility and Sterility</w:t>
      </w:r>
      <w:r>
        <w:t xml:space="preserve"> </w:t>
      </w:r>
      <w:r>
        <w:t xml:space="preserve">(ISSN 0015-0282) on ScienceDirect (Elsevier).</w:t>
      </w:r>
      <w:r>
        <w:t xml:space="preserve"> </w:t>
      </w:r>
      <w:r>
        <w:rPr>
          <w:b/>
          <w:bCs/>
        </w:rPr>
        <w:t xml:space="preserve">Every abstract receives a unique DOI</w:t>
      </w:r>
      <w:r>
        <w:t xml:space="preserve"> </w:t>
      </w:r>
      <w:r>
        <w:t xml:space="preserve">in the format</w:t>
      </w:r>
      <w:r>
        <w:t xml:space="preserve"> </w:t>
      </w:r>
      <w:r>
        <w:rPr>
          <w:rStyle w:val="VerbatimChar"/>
        </w:rPr>
        <w:t xml:space="preserve">10.1016/j.fertnstert.YYYY.MM.NNN</w:t>
      </w:r>
      <w:r>
        <w:t xml:space="preserve">, where NNN is a sequential article number. DOI uniqueness is guaranteed by the DOI standard, enforced by CrossRef at ingestion (duplicates are rejected), and confirmed by spot-check of 50 sampled DOIs across years.</w:t>
      </w:r>
    </w:p>
    <w:p>
      <w:pPr>
        <w:pStyle w:val="BodyText"/>
      </w:pPr>
      <w:r>
        <w:t xml:space="preserve">Because</w:t>
      </w:r>
      <w:r>
        <w:t xml:space="preserve"> </w:t>
      </w:r>
      <w:r>
        <w:rPr>
          <w:i/>
          <w:iCs/>
        </w:rPr>
        <w:t xml:space="preserve">Fertility and Sterility</w:t>
      </w:r>
      <w:r>
        <w:t xml:space="preserve"> </w:t>
      </w:r>
      <w:r>
        <w:t xml:space="preserve">is hosted on ScienceDirect (Elsevier) — the same platform as JMIG and AJOG — the existing pipeline components for DOI-chain search, ScienceDirect HTML affiliation extraction, and web scraping apply directly.</w:t>
      </w:r>
    </w:p>
    <w:p>
      <w:pPr>
        <w:pStyle w:val="BodyText"/>
      </w:pPr>
      <w:r>
        <w:rPr>
          <w:b/>
          <w:bCs/>
        </w:rPr>
        <w:t xml:space="preserve">Note:</w:t>
      </w:r>
      <w:r>
        <w:t xml:space="preserve"> </w:t>
      </w:r>
      <w:r>
        <w:t xml:space="preserve">Full supplement browsing requires institutional ScienceDirect authentication (fertstert.org and sciencedirect.com return 403 for unauthenticated access). Individual abstracts resolve publicly via</w:t>
      </w:r>
      <w:r>
        <w:t xml:space="preserve"> </w:t>
      </w:r>
      <w:r>
        <w:rPr>
          <w:rStyle w:val="VerbatimChar"/>
        </w:rPr>
        <w:t xml:space="preserve">https://doi.org/10.1016/j.fertnstert.YYYY.MM.NNN</w:t>
      </w:r>
      <w:r>
        <w:t xml:space="preserve">. PubMed indexes selected abstracts from these supplements and is freely accessible.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ASRM Meeting</w:t>
            </w:r>
          </w:p>
        </w:tc>
        <w:tc>
          <w:tcPr/>
          <w:p>
            <w:pPr>
              <w:pStyle w:val="Compact"/>
            </w:pPr>
            <w:r>
              <w:t xml:space="preserve">Volume</w:t>
            </w:r>
          </w:p>
        </w:tc>
        <w:tc>
          <w:tcPr/>
          <w:p>
            <w:pPr>
              <w:pStyle w:val="Compact"/>
            </w:pPr>
            <w:r>
              <w:t xml:space="preserve">Issue</w:t>
            </w:r>
          </w:p>
        </w:tc>
        <w:tc>
          <w:tcPr/>
          <w:p>
            <w:pPr>
              <w:pStyle w:val="Compact"/>
            </w:pPr>
            <w:r>
              <w:t xml:space="preserve">DOI Pattern</w:t>
            </w:r>
          </w:p>
        </w:tc>
      </w:tr>
      <w:tr>
        <w:tc>
          <w:tcPr/>
          <w:p>
            <w:pPr>
              <w:pStyle w:val="Compact"/>
            </w:pPr>
            <w:r>
              <w:t xml:space="preserve">2023</w:t>
            </w:r>
          </w:p>
        </w:tc>
        <w:tc>
          <w:tcPr/>
          <w:p>
            <w:pPr>
              <w:pStyle w:val="Compact"/>
            </w:pPr>
            <w:r>
              <w:t xml:space="preserve">79th Annual</w:t>
            </w:r>
          </w:p>
        </w:tc>
        <w:tc>
          <w:tcPr/>
          <w:p>
            <w:pPr>
              <w:pStyle w:val="Compact"/>
            </w:pPr>
            <w:r>
              <w:t xml:space="preserve">120</w:t>
            </w:r>
          </w:p>
        </w:tc>
        <w:tc>
          <w:tcPr/>
          <w:p>
            <w:pPr>
              <w:pStyle w:val="Compact"/>
            </w:pPr>
            <w:r>
              <w:t xml:space="preserve">4</w:t>
            </w:r>
          </w:p>
        </w:tc>
        <w:tc>
          <w:tcPr/>
          <w:p>
            <w:pPr>
              <w:pStyle w:val="Compact"/>
            </w:pPr>
            <w:r>
              <w:t xml:space="preserve">10.1016/j.fertnstert.2023.MM.xxx</w:t>
            </w:r>
          </w:p>
        </w:tc>
      </w:tr>
      <w:tr>
        <w:tc>
          <w:tcPr/>
          <w:p>
            <w:pPr>
              <w:pStyle w:val="Compact"/>
            </w:pPr>
            <w:r>
              <w:t xml:space="preserve">2022</w:t>
            </w:r>
          </w:p>
        </w:tc>
        <w:tc>
          <w:tcPr/>
          <w:p>
            <w:pPr>
              <w:pStyle w:val="Compact"/>
            </w:pPr>
            <w:r>
              <w:t xml:space="preserve">78th Annual</w:t>
            </w:r>
          </w:p>
        </w:tc>
        <w:tc>
          <w:tcPr/>
          <w:p>
            <w:pPr>
              <w:pStyle w:val="Compact"/>
            </w:pPr>
            <w:r>
              <w:t xml:space="preserve">118</w:t>
            </w:r>
          </w:p>
        </w:tc>
        <w:tc>
          <w:tcPr/>
          <w:p>
            <w:pPr>
              <w:pStyle w:val="Compact"/>
            </w:pPr>
            <w:r>
              <w:t xml:space="preserve">4</w:t>
            </w:r>
          </w:p>
        </w:tc>
        <w:tc>
          <w:tcPr/>
          <w:p>
            <w:pPr>
              <w:pStyle w:val="Compact"/>
            </w:pPr>
            <w:r>
              <w:t xml:space="preserve">10.1016/j.fertnstert.2022.MM.xxx</w:t>
            </w:r>
          </w:p>
        </w:tc>
      </w:tr>
      <w:tr>
        <w:tc>
          <w:tcPr/>
          <w:p>
            <w:pPr>
              <w:pStyle w:val="Compact"/>
            </w:pPr>
            <w:r>
              <w:t xml:space="preserve">2021</w:t>
            </w:r>
          </w:p>
        </w:tc>
        <w:tc>
          <w:tcPr/>
          <w:p>
            <w:pPr>
              <w:pStyle w:val="Compact"/>
            </w:pPr>
            <w:r>
              <w:t xml:space="preserve">77th Annual</w:t>
            </w:r>
          </w:p>
        </w:tc>
        <w:tc>
          <w:tcPr/>
          <w:p>
            <w:pPr>
              <w:pStyle w:val="Compact"/>
            </w:pPr>
            <w:r>
              <w:t xml:space="preserve">116</w:t>
            </w:r>
          </w:p>
        </w:tc>
        <w:tc>
          <w:tcPr/>
          <w:p>
            <w:pPr>
              <w:pStyle w:val="Compact"/>
            </w:pPr>
            <w:r>
              <w:t xml:space="preserve">3</w:t>
            </w:r>
          </w:p>
        </w:tc>
        <w:tc>
          <w:tcPr/>
          <w:p>
            <w:pPr>
              <w:pStyle w:val="Compact"/>
            </w:pPr>
            <w:r>
              <w:t xml:space="preserve">10.1016/j.fertnstert.2021.MM.xxx</w:t>
            </w:r>
          </w:p>
        </w:tc>
      </w:tr>
      <w:tr>
        <w:tc>
          <w:tcPr/>
          <w:p>
            <w:pPr>
              <w:pStyle w:val="Compact"/>
            </w:pPr>
            <w:r>
              <w:t xml:space="preserve">2020</w:t>
            </w:r>
          </w:p>
        </w:tc>
        <w:tc>
          <w:tcPr/>
          <w:p>
            <w:pPr>
              <w:pStyle w:val="Compact"/>
            </w:pPr>
            <w:r>
              <w:t xml:space="preserve">76th Annual</w:t>
            </w:r>
          </w:p>
        </w:tc>
        <w:tc>
          <w:tcPr/>
          <w:p>
            <w:pPr>
              <w:pStyle w:val="Compact"/>
            </w:pPr>
            <w:r>
              <w:t xml:space="preserve">114</w:t>
            </w:r>
          </w:p>
        </w:tc>
        <w:tc>
          <w:tcPr/>
          <w:p>
            <w:pPr>
              <w:pStyle w:val="Compact"/>
            </w:pPr>
            <w:r>
              <w:t xml:space="preserve">3</w:t>
            </w:r>
          </w:p>
        </w:tc>
        <w:tc>
          <w:tcPr/>
          <w:p>
            <w:pPr>
              <w:pStyle w:val="Compact"/>
            </w:pPr>
            <w:r>
              <w:t xml:space="preserve">10.1016/j.fertnstert.2020.MM.xxx</w:t>
            </w:r>
          </w:p>
        </w:tc>
      </w:tr>
      <w:tr>
        <w:tc>
          <w:tcPr/>
          <w:p>
            <w:pPr>
              <w:pStyle w:val="Compact"/>
            </w:pPr>
            <w:r>
              <w:t xml:space="preserve">2019</w:t>
            </w:r>
          </w:p>
        </w:tc>
        <w:tc>
          <w:tcPr/>
          <w:p>
            <w:pPr>
              <w:pStyle w:val="Compact"/>
            </w:pPr>
            <w:r>
              <w:t xml:space="preserve">75th Annual</w:t>
            </w:r>
          </w:p>
        </w:tc>
        <w:tc>
          <w:tcPr/>
          <w:p>
            <w:pPr>
              <w:pStyle w:val="Compact"/>
            </w:pPr>
            <w:r>
              <w:t xml:space="preserve">112</w:t>
            </w:r>
          </w:p>
        </w:tc>
        <w:tc>
          <w:tcPr/>
          <w:p>
            <w:pPr>
              <w:pStyle w:val="Compact"/>
            </w:pPr>
            <w:r>
              <w:t xml:space="preserve">3</w:t>
            </w:r>
          </w:p>
        </w:tc>
        <w:tc>
          <w:tcPr/>
          <w:p>
            <w:pPr>
              <w:pStyle w:val="Compact"/>
            </w:pPr>
            <w:r>
              <w:t xml:space="preserve">10.1016/j.fertnstert.2019.MM.xxx</w:t>
            </w:r>
          </w:p>
        </w:tc>
      </w:tr>
      <w:tr>
        <w:tc>
          <w:tcPr/>
          <w:p>
            <w:pPr>
              <w:pStyle w:val="Compact"/>
            </w:pPr>
            <w:r>
              <w:t xml:space="preserve">2018</w:t>
            </w:r>
          </w:p>
        </w:tc>
        <w:tc>
          <w:tcPr/>
          <w:p>
            <w:pPr>
              <w:pStyle w:val="Compact"/>
            </w:pPr>
            <w:r>
              <w:t xml:space="preserve">74th Annual</w:t>
            </w:r>
          </w:p>
        </w:tc>
        <w:tc>
          <w:tcPr/>
          <w:p>
            <w:pPr>
              <w:pStyle w:val="Compact"/>
            </w:pPr>
            <w:r>
              <w:t xml:space="preserve">110</w:t>
            </w:r>
          </w:p>
        </w:tc>
        <w:tc>
          <w:tcPr/>
          <w:p>
            <w:pPr>
              <w:pStyle w:val="Compact"/>
            </w:pPr>
            <w:r>
              <w:t xml:space="preserve">4</w:t>
            </w:r>
          </w:p>
        </w:tc>
        <w:tc>
          <w:tcPr/>
          <w:p>
            <w:pPr>
              <w:pStyle w:val="Compact"/>
            </w:pPr>
            <w:r>
              <w:t xml:space="preserve">10.1016/j.fertnstert.2018.MM.xxx</w:t>
            </w:r>
          </w:p>
        </w:tc>
      </w:tr>
      <w:tr>
        <w:tc>
          <w:tcPr/>
          <w:p>
            <w:pPr>
              <w:pStyle w:val="Compact"/>
            </w:pPr>
            <w:r>
              <w:t xml:space="preserve">2017</w:t>
            </w:r>
          </w:p>
        </w:tc>
        <w:tc>
          <w:tcPr/>
          <w:p>
            <w:pPr>
              <w:pStyle w:val="Compact"/>
            </w:pPr>
            <w:r>
              <w:t xml:space="preserve">73rd Annual</w:t>
            </w:r>
          </w:p>
        </w:tc>
        <w:tc>
          <w:tcPr/>
          <w:p>
            <w:pPr>
              <w:pStyle w:val="Compact"/>
            </w:pPr>
            <w:r>
              <w:t xml:space="preserve">108</w:t>
            </w:r>
          </w:p>
        </w:tc>
        <w:tc>
          <w:tcPr/>
          <w:p>
            <w:pPr>
              <w:pStyle w:val="Compact"/>
            </w:pPr>
            <w:r>
              <w:t xml:space="preserve">3</w:t>
            </w:r>
          </w:p>
        </w:tc>
        <w:tc>
          <w:tcPr/>
          <w:p>
            <w:pPr>
              <w:pStyle w:val="Compact"/>
            </w:pPr>
            <w:r>
              <w:t xml:space="preserve">10.1016/j.fertnstert.2017.MM.xxx</w:t>
            </w:r>
          </w:p>
        </w:tc>
      </w:tr>
      <w:tr>
        <w:tc>
          <w:tcPr/>
          <w:p>
            <w:pPr>
              <w:pStyle w:val="Compact"/>
            </w:pPr>
            <w:r>
              <w:t xml:space="preserve">2016</w:t>
            </w:r>
          </w:p>
        </w:tc>
        <w:tc>
          <w:tcPr/>
          <w:p>
            <w:pPr>
              <w:pStyle w:val="Compact"/>
            </w:pPr>
            <w:r>
              <w:t xml:space="preserve">72nd Annual</w:t>
            </w:r>
          </w:p>
        </w:tc>
        <w:tc>
          <w:tcPr/>
          <w:p>
            <w:pPr>
              <w:pStyle w:val="Compact"/>
            </w:pPr>
            <w:r>
              <w:t xml:space="preserve">106</w:t>
            </w:r>
          </w:p>
        </w:tc>
        <w:tc>
          <w:tcPr/>
          <w:p>
            <w:pPr>
              <w:pStyle w:val="Compact"/>
            </w:pPr>
            <w:r>
              <w:t xml:space="preserve">3</w:t>
            </w:r>
          </w:p>
        </w:tc>
        <w:tc>
          <w:tcPr/>
          <w:p>
            <w:pPr>
              <w:pStyle w:val="Compact"/>
            </w:pPr>
            <w:r>
              <w:t xml:space="preserve">10.1016/j.fertnstert.2016.MM.xxx</w:t>
            </w:r>
          </w:p>
        </w:tc>
      </w:tr>
      <w:tr>
        <w:tc>
          <w:tcPr/>
          <w:p>
            <w:pPr>
              <w:pStyle w:val="Compact"/>
            </w:pPr>
            <w:r>
              <w:t xml:space="preserve">2015</w:t>
            </w:r>
          </w:p>
        </w:tc>
        <w:tc>
          <w:tcPr/>
          <w:p>
            <w:pPr>
              <w:pStyle w:val="Compact"/>
            </w:pPr>
            <w:r>
              <w:t xml:space="preserve">71st Annual</w:t>
            </w:r>
          </w:p>
        </w:tc>
        <w:tc>
          <w:tcPr/>
          <w:p>
            <w:pPr>
              <w:pStyle w:val="Compact"/>
            </w:pPr>
            <w:r>
              <w:t xml:space="preserve">104</w:t>
            </w:r>
          </w:p>
        </w:tc>
        <w:tc>
          <w:tcPr/>
          <w:p>
            <w:pPr>
              <w:pStyle w:val="Compact"/>
            </w:pPr>
            <w:r>
              <w:t xml:space="preserve">3</w:t>
            </w:r>
          </w:p>
        </w:tc>
        <w:tc>
          <w:tcPr/>
          <w:p>
            <w:pPr>
              <w:pStyle w:val="Compact"/>
            </w:pPr>
            <w:r>
              <w:t xml:space="preserve">10.1016/j.fertnstert.2015.MM.xxx</w:t>
            </w:r>
          </w:p>
        </w:tc>
      </w:tr>
      <w:tr>
        <w:tc>
          <w:tcPr/>
          <w:p>
            <w:pPr>
              <w:pStyle w:val="Compact"/>
            </w:pPr>
            <w:r>
              <w:t xml:space="preserve">2014</w:t>
            </w:r>
          </w:p>
        </w:tc>
        <w:tc>
          <w:tcPr/>
          <w:p>
            <w:pPr>
              <w:pStyle w:val="Compact"/>
            </w:pPr>
            <w:r>
              <w:t xml:space="preserve">70th Annual</w:t>
            </w:r>
          </w:p>
        </w:tc>
        <w:tc>
          <w:tcPr/>
          <w:p>
            <w:pPr>
              <w:pStyle w:val="Compact"/>
            </w:pPr>
            <w:r>
              <w:t xml:space="preserve">102</w:t>
            </w:r>
          </w:p>
        </w:tc>
        <w:tc>
          <w:tcPr/>
          <w:p>
            <w:pPr>
              <w:pStyle w:val="Compact"/>
            </w:pPr>
            <w:r>
              <w:t xml:space="preserve">3</w:t>
            </w:r>
          </w:p>
        </w:tc>
        <w:tc>
          <w:tcPr/>
          <w:p>
            <w:pPr>
              <w:pStyle w:val="Compact"/>
            </w:pPr>
            <w:r>
              <w:t xml:space="preserve">10.1016/j.fertnstert.2014.MM.xxx</w:t>
            </w:r>
          </w:p>
        </w:tc>
      </w:tr>
      <w:tr>
        <w:tc>
          <w:tcPr/>
          <w:p>
            <w:pPr>
              <w:pStyle w:val="Compact"/>
            </w:pPr>
            <w:r>
              <w:t xml:space="preserve">2013</w:t>
            </w:r>
          </w:p>
        </w:tc>
        <w:tc>
          <w:tcPr/>
          <w:p>
            <w:pPr>
              <w:pStyle w:val="Compact"/>
            </w:pPr>
            <w:r>
              <w:t xml:space="preserve">69th Annual</w:t>
            </w:r>
          </w:p>
        </w:tc>
        <w:tc>
          <w:tcPr/>
          <w:p>
            <w:pPr>
              <w:pStyle w:val="Compact"/>
            </w:pPr>
            <w:r>
              <w:t xml:space="preserve">100</w:t>
            </w:r>
          </w:p>
        </w:tc>
        <w:tc>
          <w:tcPr/>
          <w:p>
            <w:pPr>
              <w:pStyle w:val="Compact"/>
            </w:pPr>
            <w:r>
              <w:t xml:space="preserve">3</w:t>
            </w:r>
          </w:p>
        </w:tc>
        <w:tc>
          <w:tcPr/>
          <w:p>
            <w:pPr>
              <w:pStyle w:val="Compact"/>
            </w:pPr>
            <w:r>
              <w:t xml:space="preserve">10.1016/j.fertnstert.2013.MM.xxx</w:t>
            </w:r>
          </w:p>
        </w:tc>
      </w:tr>
    </w:tbl>
    <w:p>
      <w:pPr>
        <w:pStyle w:val="BodyText"/>
      </w:pPr>
      <w:r>
        <w:rPr>
          <w:b/>
          <w:bCs/>
        </w:rPr>
        <w:t xml:space="preserve">Abstract counts per year (CrossRef):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DOIs indexed in CrossRef</w:t>
            </w:r>
          </w:p>
        </w:tc>
      </w:tr>
      <w:tr>
        <w:tc>
          <w:tcPr/>
          <w:p>
            <w:pPr>
              <w:pStyle w:val="Compact"/>
            </w:pPr>
            <w:r>
              <w:t xml:space="preserve">2023</w:t>
            </w:r>
          </w:p>
        </w:tc>
        <w:tc>
          <w:tcPr/>
          <w:p>
            <w:pPr>
              <w:pStyle w:val="Compact"/>
            </w:pPr>
            <w:r>
              <w:t xml:space="preserve">940</w:t>
            </w:r>
          </w:p>
        </w:tc>
      </w:tr>
      <w:tr>
        <w:tc>
          <w:tcPr/>
          <w:p>
            <w:pPr>
              <w:pStyle w:val="Compact"/>
            </w:pPr>
            <w:r>
              <w:t xml:space="preserve">2022</w:t>
            </w:r>
          </w:p>
        </w:tc>
        <w:tc>
          <w:tcPr/>
          <w:p>
            <w:pPr>
              <w:pStyle w:val="Compact"/>
            </w:pPr>
            <w:r>
              <w:t xml:space="preserve">1,142</w:t>
            </w:r>
          </w:p>
        </w:tc>
      </w:tr>
      <w:tr>
        <w:tc>
          <w:tcPr/>
          <w:p>
            <w:pPr>
              <w:pStyle w:val="Compact"/>
            </w:pPr>
            <w:r>
              <w:t xml:space="preserve">2021</w:t>
            </w:r>
          </w:p>
        </w:tc>
        <w:tc>
          <w:tcPr/>
          <w:p>
            <w:pPr>
              <w:pStyle w:val="Compact"/>
            </w:pPr>
            <w:r>
              <w:t xml:space="preserve">1,239</w:t>
            </w:r>
          </w:p>
        </w:tc>
      </w:tr>
      <w:tr>
        <w:tc>
          <w:tcPr/>
          <w:p>
            <w:pPr>
              <w:pStyle w:val="Compact"/>
            </w:pPr>
            <w:r>
              <w:t xml:space="preserve">2020</w:t>
            </w:r>
          </w:p>
        </w:tc>
        <w:tc>
          <w:tcPr/>
          <w:p>
            <w:pPr>
              <w:pStyle w:val="Compact"/>
            </w:pPr>
            <w:r>
              <w:t xml:space="preserve">1,456</w:t>
            </w:r>
          </w:p>
        </w:tc>
      </w:tr>
      <w:tr>
        <w:tc>
          <w:tcPr/>
          <w:p>
            <w:pPr>
              <w:pStyle w:val="Compact"/>
            </w:pPr>
            <w:r>
              <w:t xml:space="preserve">2019</w:t>
            </w:r>
          </w:p>
        </w:tc>
        <w:tc>
          <w:tcPr/>
          <w:p>
            <w:pPr>
              <w:pStyle w:val="Compact"/>
            </w:pPr>
            <w:r>
              <w:t xml:space="preserve">1,259</w:t>
            </w:r>
          </w:p>
        </w:tc>
      </w:tr>
      <w:tr>
        <w:tc>
          <w:tcPr/>
          <w:p>
            <w:pPr>
              <w:pStyle w:val="Compact"/>
            </w:pPr>
            <w:r>
              <w:t xml:space="preserve">2018</w:t>
            </w:r>
          </w:p>
        </w:tc>
        <w:tc>
          <w:tcPr/>
          <w:p>
            <w:pPr>
              <w:pStyle w:val="Compact"/>
            </w:pPr>
            <w:r>
              <w:t xml:space="preserve">1,214</w:t>
            </w:r>
          </w:p>
        </w:tc>
      </w:tr>
      <w:tr>
        <w:tc>
          <w:tcPr/>
          <w:p>
            <w:pPr>
              <w:pStyle w:val="Compact"/>
            </w:pPr>
            <w:r>
              <w:t xml:space="preserve">2017</w:t>
            </w:r>
          </w:p>
        </w:tc>
        <w:tc>
          <w:tcPr/>
          <w:p>
            <w:pPr>
              <w:pStyle w:val="Compact"/>
            </w:pPr>
            <w:r>
              <w:t xml:space="preserve">1,111</w:t>
            </w:r>
          </w:p>
        </w:tc>
      </w:tr>
      <w:tr>
        <w:tc>
          <w:tcPr/>
          <w:p>
            <w:pPr>
              <w:pStyle w:val="Compact"/>
            </w:pPr>
            <w:r>
              <w:t xml:space="preserve">2016</w:t>
            </w:r>
          </w:p>
        </w:tc>
        <w:tc>
          <w:tcPr/>
          <w:p>
            <w:pPr>
              <w:pStyle w:val="Compact"/>
            </w:pPr>
            <w:r>
              <w:t xml:space="preserve">1,147</w:t>
            </w:r>
          </w:p>
        </w:tc>
      </w:tr>
      <w:tr>
        <w:tc>
          <w:tcPr/>
          <w:p>
            <w:pPr>
              <w:pStyle w:val="Compact"/>
            </w:pPr>
            <w:r>
              <w:t xml:space="preserve">2015</w:t>
            </w:r>
          </w:p>
        </w:tc>
        <w:tc>
          <w:tcPr/>
          <w:p>
            <w:pPr>
              <w:pStyle w:val="Compact"/>
            </w:pPr>
            <w:r>
              <w:t xml:space="preserve">1,153</w:t>
            </w:r>
          </w:p>
        </w:tc>
      </w:tr>
      <w:tr>
        <w:tc>
          <w:tcPr/>
          <w:p>
            <w:pPr>
              <w:pStyle w:val="Compact"/>
            </w:pPr>
            <w:r>
              <w:t xml:space="preserve">2014</w:t>
            </w:r>
          </w:p>
        </w:tc>
        <w:tc>
          <w:tcPr/>
          <w:p>
            <w:pPr>
              <w:pStyle w:val="Compact"/>
            </w:pPr>
            <w:r>
              <w:t xml:space="preserve">1,227</w:t>
            </w:r>
          </w:p>
        </w:tc>
      </w:tr>
      <w:tr>
        <w:tc>
          <w:tcPr/>
          <w:p>
            <w:pPr>
              <w:pStyle w:val="Compact"/>
            </w:pPr>
            <w:r>
              <w:t xml:space="preserve">2013</w:t>
            </w:r>
          </w:p>
        </w:tc>
        <w:tc>
          <w:tcPr/>
          <w:p>
            <w:pPr>
              <w:pStyle w:val="Compact"/>
            </w:pPr>
            <w:r>
              <w:t xml:space="preserve">2,010</w:t>
            </w:r>
          </w:p>
        </w:tc>
      </w:tr>
    </w:tbl>
    <w:p>
      <w:pPr>
        <w:pStyle w:val="BodyText"/>
      </w:pPr>
      <w:r>
        <w:rPr>
          <w:b/>
          <w:bCs/>
        </w:rPr>
        <w:t xml:space="preserve">Advance program DOIs</w:t>
      </w:r>
      <w:r>
        <w:t xml:space="preserve"> </w:t>
      </w:r>
      <w:r>
        <w:t xml:space="preserve">(publicly resolvable</w:t>
      </w:r>
      <w:r>
        <w:t xml:space="preserve"> </w:t>
      </w:r>
      <w:r>
        <w:t xml:space="preserve">“Scientific Papers to Be Presented”</w:t>
      </w:r>
      <w:r>
        <w:t xml:space="preserve"> </w:t>
      </w:r>
      <w:r>
        <w:t xml:space="preserve">TOC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Advance Program DOI</w:t>
            </w:r>
          </w:p>
        </w:tc>
      </w:tr>
      <w:tr>
        <w:tc>
          <w:tcPr/>
          <w:p>
            <w:pPr>
              <w:pStyle w:val="Compact"/>
            </w:pPr>
            <w:r>
              <w:t xml:space="preserve">2013</w:t>
            </w:r>
          </w:p>
        </w:tc>
        <w:tc>
          <w:tcPr/>
          <w:p>
            <w:pPr>
              <w:pStyle w:val="Compact"/>
            </w:pPr>
            <w:r>
              <w:t xml:space="preserve">10.1016/j.fertnstert.2013.01.001</w:t>
            </w:r>
          </w:p>
        </w:tc>
      </w:tr>
      <w:tr>
        <w:tc>
          <w:tcPr/>
          <w:p>
            <w:pPr>
              <w:pStyle w:val="Compact"/>
            </w:pPr>
            <w:r>
              <w:t xml:space="preserve">2014</w:t>
            </w:r>
          </w:p>
        </w:tc>
        <w:tc>
          <w:tcPr/>
          <w:p>
            <w:pPr>
              <w:pStyle w:val="Compact"/>
            </w:pPr>
            <w:r>
              <w:t xml:space="preserve">10.1016/j.fertnstert.2013.11.036</w:t>
            </w:r>
          </w:p>
        </w:tc>
      </w:tr>
      <w:tr>
        <w:tc>
          <w:tcPr/>
          <w:p>
            <w:pPr>
              <w:pStyle w:val="Compact"/>
            </w:pPr>
            <w:r>
              <w:t xml:space="preserve">2015</w:t>
            </w:r>
          </w:p>
        </w:tc>
        <w:tc>
          <w:tcPr/>
          <w:p>
            <w:pPr>
              <w:pStyle w:val="Compact"/>
            </w:pPr>
            <w:r>
              <w:t xml:space="preserve">10.1016/j.fertnstert.2014.12.002</w:t>
            </w:r>
          </w:p>
        </w:tc>
      </w:tr>
      <w:tr>
        <w:tc>
          <w:tcPr/>
          <w:p>
            <w:pPr>
              <w:pStyle w:val="Compact"/>
            </w:pPr>
            <w:r>
              <w:t xml:space="preserve">2016</w:t>
            </w:r>
          </w:p>
        </w:tc>
        <w:tc>
          <w:tcPr/>
          <w:p>
            <w:pPr>
              <w:pStyle w:val="Compact"/>
            </w:pPr>
            <w:r>
              <w:t xml:space="preserve">10.1016/j.fertnstert.2015.12.123</w:t>
            </w:r>
          </w:p>
        </w:tc>
      </w:tr>
      <w:tr>
        <w:tc>
          <w:tcPr/>
          <w:p>
            <w:pPr>
              <w:pStyle w:val="Compact"/>
            </w:pPr>
            <w:r>
              <w:t xml:space="preserve">2017</w:t>
            </w:r>
          </w:p>
        </w:tc>
        <w:tc>
          <w:tcPr/>
          <w:p>
            <w:pPr>
              <w:pStyle w:val="Compact"/>
            </w:pPr>
            <w:r>
              <w:t xml:space="preserve">10.1016/j.fertnstert.2017.02.003</w:t>
            </w:r>
          </w:p>
        </w:tc>
      </w:tr>
      <w:tr>
        <w:tc>
          <w:tcPr/>
          <w:p>
            <w:pPr>
              <w:pStyle w:val="Compact"/>
            </w:pPr>
            <w:r>
              <w:t xml:space="preserve">2018</w:t>
            </w:r>
          </w:p>
        </w:tc>
        <w:tc>
          <w:tcPr/>
          <w:p>
            <w:pPr>
              <w:pStyle w:val="Compact"/>
            </w:pPr>
            <w:r>
              <w:t xml:space="preserve">10.1016/j.fertnstert.2018.02.014</w:t>
            </w:r>
          </w:p>
        </w:tc>
      </w:tr>
      <w:tr>
        <w:tc>
          <w:tcPr/>
          <w:p>
            <w:pPr>
              <w:pStyle w:val="Compact"/>
            </w:pPr>
            <w:r>
              <w:t xml:space="preserve">2019</w:t>
            </w:r>
          </w:p>
        </w:tc>
        <w:tc>
          <w:tcPr/>
          <w:p>
            <w:pPr>
              <w:pStyle w:val="Compact"/>
            </w:pPr>
            <w:r>
              <w:t xml:space="preserve">10.1016/j.fertnstert.2019.02.032</w:t>
            </w:r>
          </w:p>
        </w:tc>
      </w:tr>
      <w:tr>
        <w:tc>
          <w:tcPr/>
          <w:p>
            <w:pPr>
              <w:pStyle w:val="Compact"/>
            </w:pPr>
            <w:r>
              <w:t xml:space="preserve">2022</w:t>
            </w:r>
          </w:p>
        </w:tc>
        <w:tc>
          <w:tcPr/>
          <w:p>
            <w:pPr>
              <w:pStyle w:val="Compact"/>
            </w:pPr>
            <w:r>
              <w:t xml:space="preserve">10.1016/s0015-0282(22)01984-7</w:t>
            </w:r>
          </w:p>
        </w:tc>
      </w:tr>
    </w:tbl>
    <w:p>
      <w:pPr>
        <w:pStyle w:val="BodyText"/>
      </w:pPr>
      <w:r>
        <w:rPr>
          <w:i/>
          <w:iCs/>
        </w:rPr>
        <w:t xml:space="preserve">Note: Advance program DOIs for 2020, 2021, and 2023 were not recoverable from CrossRef search.</w:t>
      </w:r>
    </w:p>
    <w:p>
      <w:pPr>
        <w:pStyle w:val="BodyText"/>
      </w:pPr>
      <w:r>
        <w:rPr>
          <w:b/>
          <w:bCs/>
        </w:rPr>
        <w:t xml:space="preserve">Comparison with AAGL and SMFM for pipeline reuse:</w:t>
      </w:r>
    </w:p>
    <w:tbl>
      <w:tblPr>
        <w:tblStyle w:val="Table"/>
        <w:tblW w:type="pct" w:w="5000"/>
        <w:tblLayout w:type="fixed"/>
        <w:tblLook w:firstRow="1" w:lastRow="0" w:firstColumn="0" w:lastColumn="0" w:noHBand="0" w:noVBand="0" w:val="0020"/>
      </w:tblPr>
      <w:tblGrid>
        <w:gridCol w:w="1033"/>
        <w:gridCol w:w="1492"/>
        <w:gridCol w:w="1492"/>
        <w:gridCol w:w="1377"/>
        <w:gridCol w:w="2525"/>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r>
      <w:tr>
        <w:tc>
          <w:tcPr/>
          <w:p>
            <w:pPr>
              <w:pStyle w:val="Compact"/>
            </w:pPr>
            <w:r>
              <w:t xml:space="preserve">CrossRef abstract count (avg/year)</w:t>
            </w:r>
          </w:p>
        </w:tc>
        <w:tc>
          <w:tcPr/>
          <w:p>
            <w:pPr>
              <w:pStyle w:val="Compact"/>
            </w:pPr>
            <w:r>
              <w:t xml:space="preserve">~90</w:t>
            </w:r>
          </w:p>
        </w:tc>
        <w:tc>
          <w:tcPr/>
          <w:p>
            <w:pPr>
              <w:pStyle w:val="Compact"/>
            </w:pPr>
            <w:r>
              <w:t xml:space="preserve">~500</w:t>
            </w:r>
          </w:p>
        </w:tc>
        <w:tc>
          <w:tcPr/>
          <w:p>
            <w:pPr>
              <w:pStyle w:val="Compact"/>
            </w:pPr>
            <w:r>
              <w:t xml:space="preserve">~1,300</w:t>
            </w:r>
          </w:p>
        </w:tc>
        <w:tc>
          <w:tcPr/>
          <w:p>
            <w:pPr>
              <w:pStyle w:val="Compact"/>
            </w:pPr>
            <w:r>
              <w:t xml:space="preserve">~400</w:t>
            </w:r>
          </w:p>
        </w:tc>
      </w:tr>
    </w:tbl>
    <w:p>
      <w:pPr>
        <w:pStyle w:val="BodyText"/>
      </w:pPr>
      <w:r>
        <w:t xml:space="preserve">ASRM is the largest of the four societies by abstract volume (~1,100–2,000/year vs. ~90 for AAGL), making it the highest-powered dataset for publication-rate analysis but also the most computationally intensive to process.</w:t>
      </w:r>
    </w:p>
    <w:bookmarkEnd w:id="93"/>
    <w:bookmarkStart w:id="105" w:name="Xe76bb52889b8f468b0dbf41a7eaa3b845bc40a9"/>
    <w:p>
      <w:pPr>
        <w:pStyle w:val="Heading3"/>
      </w:pPr>
      <w:r>
        <w:t xml:space="preserve">A11.12 Society of Family Planning (SFP) Abstract URLs (2013–2023)</w:t>
      </w:r>
    </w:p>
    <w:p>
      <w:pPr>
        <w:pStyle w:val="FirstParagraph"/>
      </w:pPr>
      <w:r>
        <w:t xml:space="preserve">SFP (Society of Family Planning) annual meeting abstracts are published in</w:t>
      </w:r>
      <w:r>
        <w:t xml:space="preserve"> </w:t>
      </w:r>
      <w:r>
        <w:rPr>
          <w:i/>
          <w:iCs/>
        </w:rPr>
        <w:t xml:space="preserve">Contraception</w:t>
      </w:r>
      <w:r>
        <w:t xml:space="preserve"> </w:t>
      </w:r>
      <w:r>
        <w:t xml:space="preserve">(ISSN 0010-7824, Elsevier) as one or two regular journal articles — not as a supplement issue. This is a structurally different publication model from SMFM and ASRM:</w:t>
      </w:r>
    </w:p>
    <w:p>
      <w:pPr>
        <w:pStyle w:val="Compact"/>
        <w:numPr>
          <w:ilvl w:val="0"/>
          <w:numId w:val="1008"/>
        </w:numPr>
      </w:pPr>
      <w:r>
        <w:rPr>
          <w:b/>
          <w:bCs/>
        </w:rPr>
        <w:t xml:space="preserve">Abstract collection article:</w:t>
      </w:r>
      <w:r>
        <w:t xml:space="preserve"> </w:t>
      </w:r>
      <w:r>
        <w:t xml:space="preserve">All submitted abstracts published as a single article with one DOI</w:t>
      </w:r>
    </w:p>
    <w:p>
      <w:pPr>
        <w:pStyle w:val="Compact"/>
        <w:numPr>
          <w:ilvl w:val="0"/>
          <w:numId w:val="1008"/>
        </w:numPr>
      </w:pPr>
      <w:r>
        <w:rPr>
          <w:b/>
          <w:bCs/>
        </w:rPr>
        <w:t xml:space="preserve">Featured research article:</w:t>
      </w:r>
      <w:r>
        <w:t xml:space="preserve"> </w:t>
      </w:r>
      <w:r>
        <w:t xml:space="preserve">Selected high-scoring abstracts published as a companion article with a separate DOI (introduced ~2018)</w:t>
      </w:r>
    </w:p>
    <w:p>
      <w:pPr>
        <w:pStyle w:val="Compact"/>
        <w:numPr>
          <w:ilvl w:val="0"/>
          <w:numId w:val="1008"/>
        </w:numPr>
      </w:pPr>
      <w:r>
        <w:rPr>
          <w:b/>
          <w:bCs/>
        </w:rPr>
        <w:t xml:space="preserve">Individual abstracts do NOT have unique DOIs</w:t>
      </w:r>
      <w:r>
        <w:t xml:space="preserve"> </w:t>
      </w:r>
      <w:r>
        <w:t xml:space="preserve">— the entire collection shares one DOI per year</w:t>
      </w:r>
    </w:p>
    <w:p>
      <w:pPr>
        <w:pStyle w:val="FirstParagraph"/>
      </w:pPr>
      <w:r>
        <w:t xml:space="preserve">The meeting was called the</w:t>
      </w:r>
      <w:r>
        <w:t xml:space="preserve"> </w:t>
      </w:r>
      <w:r>
        <w:rPr>
          <w:b/>
          <w:bCs/>
        </w:rPr>
        <w:t xml:space="preserve">North American Forum on Family Planning (NAFP)</w:t>
      </w:r>
      <w:r>
        <w:t xml:space="preserve"> </w:t>
      </w:r>
      <w:r>
        <w:t xml:space="preserve">through 2018, then renamed to the</w:t>
      </w:r>
      <w:r>
        <w:t xml:space="preserve"> </w:t>
      </w:r>
      <w:r>
        <w:rPr>
          <w:b/>
          <w:bCs/>
        </w:rPr>
        <w:t xml:space="preserve">SFP Annual Meeting</w:t>
      </w:r>
      <w:r>
        <w:t xml:space="preserve"> </w:t>
      </w:r>
      <w:r>
        <w:t xml:space="preserve">starting 2019. Abstract collections for 2013 and 2014 could not be located in PubMed or ScienceDirect; these years may not have been published in</w:t>
      </w:r>
      <w:r>
        <w:t xml:space="preserve"> </w:t>
      </w:r>
      <w:r>
        <w:rPr>
          <w:i/>
          <w:iCs/>
        </w:rPr>
        <w:t xml:space="preserve">Contraception</w:t>
      </w:r>
      <w:r>
        <w:t xml:space="preserve"> </w:t>
      </w:r>
      <w:r>
        <w:t xml:space="preserve">or may have appeared in a different format. A 2017</w:t>
      </w:r>
      <w:r>
        <w:t xml:space="preserve"> </w:t>
      </w:r>
      <w:r>
        <w:t xml:space="preserve">“TEMPORARY REMOVAL”</w:t>
      </w:r>
      <w:r>
        <w:t xml:space="preserve"> </w:t>
      </w:r>
      <w:r>
        <w:t xml:space="preserve">notice on PubMed may indicate a correction or republication.</w:t>
      </w:r>
    </w:p>
    <w:tbl>
      <w:tblPr>
        <w:tblStyle w:val="Table"/>
        <w:tblW w:type="pct" w:w="5000"/>
        <w:tblLayout w:type="fixed"/>
        <w:tblLook w:firstRow="1" w:lastRow="0" w:firstColumn="0" w:lastColumn="0" w:noHBand="0" w:noVBand="0" w:val="0020"/>
      </w:tblPr>
      <w:tblGrid>
        <w:gridCol w:w="688"/>
        <w:gridCol w:w="1033"/>
        <w:gridCol w:w="2754"/>
        <w:gridCol w:w="2525"/>
        <w:gridCol w:w="918"/>
      </w:tblGrid>
      <w:tr>
        <w:trPr>
          <w:tblHeader w:val="on"/>
        </w:trPr>
        <w:tc>
          <w:tcPr/>
          <w:p>
            <w:pPr>
              <w:pStyle w:val="Compact"/>
            </w:pPr>
            <w:r>
              <w:t xml:space="preserve">Year</w:t>
            </w:r>
          </w:p>
        </w:tc>
        <w:tc>
          <w:tcPr/>
          <w:p>
            <w:pPr>
              <w:pStyle w:val="Compact"/>
            </w:pPr>
            <w:r>
              <w:t xml:space="preserve">Meeting</w:t>
            </w:r>
          </w:p>
        </w:tc>
        <w:tc>
          <w:tcPr/>
          <w:p>
            <w:pPr>
              <w:pStyle w:val="Compact"/>
            </w:pPr>
            <w:r>
              <w:t xml:space="preserve">Abstract Collection DOI</w:t>
            </w:r>
          </w:p>
        </w:tc>
        <w:tc>
          <w:tcPr/>
          <w:p>
            <w:pPr>
              <w:pStyle w:val="Compact"/>
            </w:pPr>
            <w:r>
              <w:t xml:space="preserve">Featured Research DOI</w:t>
            </w:r>
          </w:p>
        </w:tc>
        <w:tc>
          <w:tcPr/>
          <w:p>
            <w:pPr>
              <w:pStyle w:val="Compact"/>
            </w:pPr>
            <w:r>
              <w:t xml:space="preserve">PubMed</w:t>
            </w:r>
          </w:p>
        </w:tc>
      </w:tr>
      <w:tr>
        <w:tc>
          <w:tcPr/>
          <w:p>
            <w:pPr>
              <w:pStyle w:val="Compact"/>
            </w:pPr>
            <w:r>
              <w:t xml:space="preserve">2023</w:t>
            </w:r>
          </w:p>
        </w:tc>
        <w:tc>
          <w:tcPr/>
          <w:p>
            <w:pPr>
              <w:pStyle w:val="Compact"/>
            </w:pPr>
            <w:r>
              <w:t xml:space="preserve">SFP Annual</w:t>
            </w:r>
          </w:p>
        </w:tc>
        <w:tc>
          <w:tcPr/>
          <w:p>
            <w:pPr>
              <w:pStyle w:val="Compact"/>
            </w:pPr>
            <w:r>
              <w:t xml:space="preserve">10.1016/j.contraception.2023.110145</w:t>
            </w:r>
          </w:p>
        </w:tc>
        <w:tc>
          <w:tcPr/>
          <w:p>
            <w:pPr>
              <w:pStyle w:val="Compact"/>
            </w:pPr>
            <w:r>
              <w:t xml:space="preserve">10.1016/j.contraception.2023.110144</w:t>
            </w:r>
          </w:p>
        </w:tc>
        <w:tc>
          <w:tcPr/>
          <w:p>
            <w:pPr>
              <w:pStyle w:val="Compact"/>
            </w:pPr>
            <w:hyperlink r:id="rId94">
              <w:r>
                <w:rPr>
                  <w:rStyle w:val="Hyperlink"/>
                </w:rPr>
                <w:t xml:space="preserve">https://pubmed.ncbi.nlm.nih.gov/37821000/</w:t>
              </w:r>
            </w:hyperlink>
          </w:p>
        </w:tc>
      </w:tr>
      <w:tr>
        <w:tc>
          <w:tcPr/>
          <w:p>
            <w:pPr>
              <w:pStyle w:val="Compact"/>
            </w:pPr>
            <w:r>
              <w:t xml:space="preserve">2022</w:t>
            </w:r>
          </w:p>
        </w:tc>
        <w:tc>
          <w:tcPr/>
          <w:p>
            <w:pPr>
              <w:pStyle w:val="Compact"/>
            </w:pPr>
            <w:r>
              <w:t xml:space="preserve">SFP Annual</w:t>
            </w:r>
          </w:p>
        </w:tc>
        <w:tc>
          <w:tcPr/>
          <w:p>
            <w:pPr>
              <w:pStyle w:val="Compact"/>
            </w:pPr>
            <w:r>
              <w:t xml:space="preserve">10.1016/j.contraception.2022.10.001</w:t>
            </w:r>
          </w:p>
        </w:tc>
        <w:tc>
          <w:tcPr/>
          <w:p>
            <w:pPr>
              <w:pStyle w:val="Compact"/>
            </w:pPr>
            <w:r>
              <w:t xml:space="preserve">10.1016/j.contraception.2022.09.004</w:t>
            </w:r>
          </w:p>
        </w:tc>
        <w:tc>
          <w:tcPr/>
          <w:p>
            <w:pPr>
              <w:pStyle w:val="Compact"/>
            </w:pPr>
            <w:hyperlink r:id="rId95">
              <w:r>
                <w:rPr>
                  <w:rStyle w:val="Hyperlink"/>
                </w:rPr>
                <w:t xml:space="preserve">https://pubmed.ncbi.nlm.nih.gov/36403795/</w:t>
              </w:r>
            </w:hyperlink>
          </w:p>
        </w:tc>
      </w:tr>
      <w:tr>
        <w:tc>
          <w:tcPr/>
          <w:p>
            <w:pPr>
              <w:pStyle w:val="Compact"/>
            </w:pPr>
            <w:r>
              <w:t xml:space="preserve">2021</w:t>
            </w:r>
          </w:p>
        </w:tc>
        <w:tc>
          <w:tcPr/>
          <w:p>
            <w:pPr>
              <w:pStyle w:val="Compact"/>
            </w:pPr>
            <w:r>
              <w:t xml:space="preserve">SFP Annual</w:t>
            </w:r>
          </w:p>
        </w:tc>
        <w:tc>
          <w:tcPr/>
          <w:p>
            <w:pPr>
              <w:pStyle w:val="Compact"/>
            </w:pPr>
            <w:r>
              <w:t xml:space="preserve">10.1016/j.contraception.2021.07.006</w:t>
            </w:r>
          </w:p>
        </w:tc>
        <w:tc>
          <w:tcPr/>
          <w:p>
            <w:pPr>
              <w:pStyle w:val="Compact"/>
            </w:pPr>
            <w:r>
              <w:t xml:space="preserve">10.1016/j.contraception.2021.07.007</w:t>
            </w:r>
          </w:p>
        </w:tc>
        <w:tc>
          <w:tcPr/>
          <w:p>
            <w:pPr>
              <w:pStyle w:val="Compact"/>
            </w:pPr>
            <w:hyperlink r:id="rId96">
              <w:r>
                <w:rPr>
                  <w:rStyle w:val="Hyperlink"/>
                </w:rPr>
                <w:t xml:space="preserve">https://pubmed.ncbi.nlm.nih.gov/34289414/</w:t>
              </w:r>
            </w:hyperlink>
          </w:p>
        </w:tc>
      </w:tr>
      <w:tr>
        <w:tc>
          <w:tcPr/>
          <w:p>
            <w:pPr>
              <w:pStyle w:val="Compact"/>
            </w:pPr>
            <w:r>
              <w:t xml:space="preserve">2020</w:t>
            </w:r>
          </w:p>
        </w:tc>
        <w:tc>
          <w:tcPr/>
          <w:p>
            <w:pPr>
              <w:pStyle w:val="Compact"/>
            </w:pPr>
            <w:r>
              <w:t xml:space="preserve">SFP Annual</w:t>
            </w:r>
          </w:p>
        </w:tc>
        <w:tc>
          <w:tcPr/>
          <w:p>
            <w:pPr>
              <w:pStyle w:val="Compact"/>
            </w:pPr>
            <w:r>
              <w:t xml:space="preserve">10.1016/j.contraception.2020.07.008</w:t>
            </w:r>
          </w:p>
        </w:tc>
        <w:tc>
          <w:tcPr/>
          <w:p>
            <w:pPr>
              <w:pStyle w:val="Compact"/>
            </w:pPr>
            <w:r>
              <w:t xml:space="preserve">10.1016/j.contraception.2020.07.007</w:t>
            </w:r>
          </w:p>
        </w:tc>
        <w:tc>
          <w:tcPr/>
          <w:p>
            <w:pPr>
              <w:pStyle w:val="Compact"/>
            </w:pPr>
            <w:hyperlink r:id="rId97">
              <w:r>
                <w:rPr>
                  <w:rStyle w:val="Hyperlink"/>
                </w:rPr>
                <w:t xml:space="preserve">https://pubmed.ncbi.nlm.nih.gov/32707100/</w:t>
              </w:r>
            </w:hyperlink>
          </w:p>
        </w:tc>
      </w:tr>
      <w:tr>
        <w:tc>
          <w:tcPr/>
          <w:p>
            <w:pPr>
              <w:pStyle w:val="Compact"/>
            </w:pPr>
            <w:r>
              <w:t xml:space="preserve">2019</w:t>
            </w:r>
          </w:p>
        </w:tc>
        <w:tc>
          <w:tcPr/>
          <w:p>
            <w:pPr>
              <w:pStyle w:val="Compact"/>
            </w:pPr>
            <w:r>
              <w:t xml:space="preserve">SFP Annual</w:t>
            </w:r>
          </w:p>
        </w:tc>
        <w:tc>
          <w:tcPr/>
          <w:p>
            <w:pPr>
              <w:pStyle w:val="Compact"/>
            </w:pPr>
            <w:r>
              <w:t xml:space="preserve">10.1016/j.contraception.2019.07.008</w:t>
            </w:r>
          </w:p>
        </w:tc>
        <w:tc>
          <w:tcPr/>
          <w:p>
            <w:pPr>
              <w:pStyle w:val="Compact"/>
            </w:pPr>
            <w:r>
              <w:t xml:space="preserve">10.1016/j.contraception.2019.07.007</w:t>
            </w:r>
          </w:p>
        </w:tc>
        <w:tc>
          <w:tcPr/>
          <w:p>
            <w:pPr>
              <w:pStyle w:val="Compact"/>
            </w:pPr>
            <w:hyperlink r:id="rId98">
              <w:r>
                <w:rPr>
                  <w:rStyle w:val="Hyperlink"/>
                </w:rPr>
                <w:t xml:space="preserve">https://pubmed.ncbi.nlm.nih.gov/31348904/</w:t>
              </w:r>
            </w:hyperlink>
          </w:p>
        </w:tc>
      </w:tr>
      <w:tr>
        <w:tc>
          <w:tcPr/>
          <w:p>
            <w:pPr>
              <w:pStyle w:val="Compact"/>
            </w:pPr>
            <w:r>
              <w:t xml:space="preserve">2018</w:t>
            </w:r>
          </w:p>
        </w:tc>
        <w:tc>
          <w:tcPr/>
          <w:p>
            <w:pPr>
              <w:pStyle w:val="Compact"/>
            </w:pPr>
            <w:r>
              <w:t xml:space="preserve">NAFP (8th)</w:t>
            </w:r>
          </w:p>
        </w:tc>
        <w:tc>
          <w:tcPr/>
          <w:p>
            <w:pPr>
              <w:pStyle w:val="Compact"/>
            </w:pPr>
            <w:r>
              <w:t xml:space="preserve">10.1016/j.contraception.2018.07.006</w:t>
            </w:r>
          </w:p>
        </w:tc>
        <w:tc>
          <w:tcPr/>
          <w:p>
            <w:pPr>
              <w:pStyle w:val="Compact"/>
            </w:pPr>
            <w:r>
              <w:t xml:space="preserve">10.1016/j.contraception.2018.07.005</w:t>
            </w:r>
          </w:p>
        </w:tc>
        <w:tc>
          <w:tcPr/>
          <w:p>
            <w:pPr>
              <w:pStyle w:val="Compact"/>
            </w:pPr>
            <w:hyperlink r:id="rId99">
              <w:r>
                <w:rPr>
                  <w:rStyle w:val="Hyperlink"/>
                </w:rPr>
                <w:t xml:space="preserve">https://pubmed.ncbi.nlm.nih.gov/30031792/</w:t>
              </w:r>
            </w:hyperlink>
          </w:p>
        </w:tc>
      </w:tr>
      <w:tr>
        <w:tc>
          <w:tcPr/>
          <w:p>
            <w:pPr>
              <w:pStyle w:val="Compact"/>
            </w:pPr>
            <w:r>
              <w:t xml:space="preserve">2017</w:t>
            </w:r>
          </w:p>
        </w:tc>
        <w:tc>
          <w:tcPr/>
          <w:p>
            <w:pPr>
              <w:pStyle w:val="Compact"/>
            </w:pPr>
            <w:r>
              <w:t xml:space="preserve">NAFP (7th)</w:t>
            </w:r>
          </w:p>
        </w:tc>
        <w:tc>
          <w:tcPr/>
          <w:p>
            <w:pPr>
              <w:pStyle w:val="Compact"/>
            </w:pPr>
            <w:r>
              <w:t xml:space="preserve">10.1016/j.contraception.2017.07.163</w:t>
            </w:r>
          </w:p>
        </w:tc>
        <w:tc>
          <w:tcPr/>
          <w:p>
            <w:pPr>
              <w:pStyle w:val="Compact"/>
            </w:pPr>
            <w:r>
              <w:t xml:space="preserve">—</w:t>
            </w:r>
          </w:p>
        </w:tc>
        <w:tc>
          <w:tcPr/>
          <w:p>
            <w:pPr>
              <w:pStyle w:val="Compact"/>
            </w:pPr>
            <w:hyperlink r:id="rId100">
              <w:r>
                <w:rPr>
                  <w:rStyle w:val="Hyperlink"/>
                </w:rPr>
                <w:t xml:space="preserve">https://pubmed.ncbi.nlm.nih.gov/28757435/</w:t>
              </w:r>
            </w:hyperlink>
          </w:p>
        </w:tc>
      </w:tr>
      <w:tr>
        <w:tc>
          <w:tcPr/>
          <w:p>
            <w:pPr>
              <w:pStyle w:val="Compact"/>
            </w:pPr>
            <w:r>
              <w:t xml:space="preserve">2016</w:t>
            </w:r>
          </w:p>
        </w:tc>
        <w:tc>
          <w:tcPr/>
          <w:p>
            <w:pPr>
              <w:pStyle w:val="Compact"/>
            </w:pPr>
            <w:r>
              <w:t xml:space="preserve">NAFP (6th)</w:t>
            </w:r>
          </w:p>
        </w:tc>
        <w:tc>
          <w:tcPr/>
          <w:p>
            <w:pPr>
              <w:pStyle w:val="Compact"/>
            </w:pPr>
            <w:r>
              <w:t xml:space="preserve">10.1016/j.contraception.2016.07.189</w:t>
            </w:r>
          </w:p>
        </w:tc>
        <w:tc>
          <w:tcPr/>
          <w:p>
            <w:pPr>
              <w:pStyle w:val="Compact"/>
            </w:pPr>
            <w:r>
              <w:t xml:space="preserve">—</w:t>
            </w:r>
          </w:p>
        </w:tc>
        <w:tc>
          <w:tcPr/>
          <w:p>
            <w:pPr>
              <w:pStyle w:val="Compact"/>
            </w:pPr>
            <w:hyperlink r:id="rId101">
              <w:r>
                <w:rPr>
                  <w:rStyle w:val="Hyperlink"/>
                </w:rPr>
                <w:t xml:space="preserve">https://pubmed.ncbi.nlm.nih.gov/27477065/</w:t>
              </w:r>
            </w:hyperlink>
          </w:p>
        </w:tc>
      </w:tr>
      <w:tr>
        <w:tc>
          <w:tcPr/>
          <w:p>
            <w:pPr>
              <w:pStyle w:val="Compact"/>
            </w:pPr>
            <w:r>
              <w:t xml:space="preserve">2015</w:t>
            </w:r>
          </w:p>
        </w:tc>
        <w:tc>
          <w:tcPr/>
          <w:p>
            <w:pPr>
              <w:pStyle w:val="Compact"/>
            </w:pPr>
            <w:r>
              <w:t xml:space="preserve">NAFP (5th)</w:t>
            </w:r>
          </w:p>
        </w:tc>
        <w:tc>
          <w:tcPr/>
          <w:p>
            <w:pPr>
              <w:pStyle w:val="Compact"/>
            </w:pPr>
            <w:r>
              <w:t xml:space="preserve">10.1016/j.contraception.2015.06.024</w:t>
            </w:r>
          </w:p>
        </w:tc>
        <w:tc>
          <w:tcPr/>
          <w:p>
            <w:pPr>
              <w:pStyle w:val="Compact"/>
            </w:pPr>
            <w:r>
              <w:t xml:space="preserve">—</w:t>
            </w:r>
          </w:p>
        </w:tc>
        <w:tc>
          <w:tcPr/>
          <w:p>
            <w:pPr>
              <w:pStyle w:val="Compact"/>
            </w:pPr>
            <w:hyperlink r:id="rId102">
              <w:r>
                <w:rPr>
                  <w:rStyle w:val="Hyperlink"/>
                </w:rPr>
                <w:t xml:space="preserve">https://pubmed.ncbi.nlm.nih.gov/26141818/</w:t>
              </w:r>
            </w:hyperlink>
          </w:p>
        </w:tc>
      </w:tr>
      <w:tr>
        <w:tc>
          <w:tcPr/>
          <w:p>
            <w:pPr>
              <w:pStyle w:val="Compact"/>
            </w:pPr>
            <w:r>
              <w:t xml:space="preserve">2014</w:t>
            </w:r>
          </w:p>
        </w:tc>
        <w:tc>
          <w:tcPr/>
          <w:p>
            <w:pPr>
              <w:pStyle w:val="Compact"/>
            </w:pPr>
            <w:r>
              <w:t xml:space="preserve">NAFP (4th)</w:t>
            </w:r>
          </w:p>
        </w:tc>
        <w:tc>
          <w:tcPr/>
          <w:p>
            <w:pPr>
              <w:pStyle w:val="Compact"/>
            </w:pPr>
            <w:r>
              <w:t xml:space="preserve">Not found</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NAFP (3rd)</w:t>
            </w:r>
          </w:p>
        </w:tc>
        <w:tc>
          <w:tcPr/>
          <w:p>
            <w:pPr>
              <w:pStyle w:val="Compact"/>
            </w:pPr>
            <w:r>
              <w:t xml:space="preserve">Not found</w:t>
            </w:r>
          </w:p>
        </w:tc>
        <w:tc>
          <w:tcPr/>
          <w:p>
            <w:pPr>
              <w:pStyle w:val="Compact"/>
            </w:pPr>
            <w:r>
              <w:t xml:space="preserve">—</w:t>
            </w:r>
          </w:p>
        </w:tc>
        <w:tc>
          <w:tcPr/>
          <w:p>
            <w:pPr>
              <w:pStyle w:val="Compact"/>
            </w:pPr>
            <w:r>
              <w:t xml:space="preserve">—</w:t>
            </w:r>
          </w:p>
        </w:tc>
      </w:tr>
    </w:tbl>
    <w:p>
      <w:pPr>
        <w:pStyle w:val="BodyText"/>
      </w:pPr>
      <w:r>
        <w:rPr>
          <w:b/>
          <w:bCs/>
        </w:rPr>
        <w:t xml:space="preserve">Pipeline implications:</w:t>
      </w:r>
      <w:r>
        <w:t xml:space="preserve"> </w:t>
      </w:r>
      <w:r>
        <w:t xml:space="preserve">Because individual SFP abstracts lack unique DOIs, the DOI-chain search (</w:t>
      </w:r>
      <w:r>
        <w:rPr>
          <w:rStyle w:val="VerbatimChar"/>
        </w:rPr>
        <w:t xml:space="preserve">03c_doi_chain_search.R</w:t>
      </w:r>
      <w:r>
        <w:t xml:space="preserve">) and ScienceDirect-level affiliation backfill cannot be applied per abstract. Abstract ingestion would require parsing the full-text HTML of the collection article to extract individual abstracts and authors, then matching each against PubMed and CrossRef by title/author string — the same strategy used for AUGS. The abstract collection articles are freely accessible via PubMed and resolvable via</w:t>
      </w:r>
      <w:r>
        <w:t xml:space="preserve"> </w:t>
      </w:r>
      <w:r>
        <w:rPr>
          <w:rStyle w:val="VerbatimChar"/>
        </w:rPr>
        <w:t xml:space="preserve">https://doi.org/10.1016/j.contraception.YYYY.MM.NNN</w:t>
      </w:r>
      <w:r>
        <w:t xml:space="preserve">.</w:t>
      </w:r>
    </w:p>
    <w:p>
      <w:pPr>
        <w:pStyle w:val="BodyText"/>
      </w:pPr>
      <w:r>
        <w:rPr>
          <w:b/>
          <w:bCs/>
        </w:rPr>
        <w:t xml:space="preserve">Comparison across all five societies:</w:t>
      </w:r>
    </w:p>
    <w:tbl>
      <w:tblPr>
        <w:tblStyle w:val="Table"/>
        <w:tblW w:type="pct" w:w="5000"/>
        <w:tblLayout w:type="fixed"/>
        <w:tblLook w:firstRow="1" w:lastRow="0" w:firstColumn="0" w:lastColumn="0" w:noHBand="0" w:noVBand="0" w:val="0020"/>
      </w:tblPr>
      <w:tblGrid>
        <w:gridCol w:w="792"/>
        <w:gridCol w:w="1144"/>
        <w:gridCol w:w="1144"/>
        <w:gridCol w:w="1056"/>
        <w:gridCol w:w="1936"/>
        <w:gridCol w:w="1848"/>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c>
          <w:tcPr/>
          <w:p>
            <w:pPr>
              <w:pStyle w:val="Compact"/>
            </w:pPr>
            <w:r>
              <w:t xml:space="preserve">Yes</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Partial</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 (via PubMed)</w:t>
            </w:r>
          </w:p>
        </w:tc>
      </w:tr>
      <w:tr>
        <w:tc>
          <w:tcPr/>
          <w:p>
            <w:pPr>
              <w:pStyle w:val="Compact"/>
            </w:pPr>
            <w: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r>
      <w:tr>
        <w:tc>
          <w:tcPr/>
          <w:p>
            <w:pPr>
              <w:pStyle w:val="Compact"/>
            </w:pPr>
            <w:r>
              <w:t xml:space="preserve">Abstract collection format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Regular article</w:t>
            </w:r>
          </w:p>
        </w:tc>
      </w:tr>
    </w:tbl>
    <w:p>
      <w:pPr>
        <w:pStyle w:val="BodyText"/>
      </w:pPr>
      <w:r>
        <w:rPr>
          <w:i/>
          <w:iCs/>
        </w:rPr>
        <w:t xml:space="preserve">Sources:</w:t>
      </w:r>
      <w:r>
        <w:rPr>
          <w:i/>
          <w:iCs/>
        </w:rPr>
        <w:t xml:space="preserve"> </w:t>
      </w:r>
      <w:hyperlink r:id="rId103">
        <w:r>
          <w:rPr>
            <w:rStyle w:val="Hyperlink"/>
            <w:i/>
            <w:iCs/>
          </w:rPr>
          <w:t xml:space="preserve">https://societyfp.org/learning/annual-meeting/</w:t>
        </w:r>
      </w:hyperlink>
      <w:r>
        <w:rPr>
          <w:i/>
          <w:iCs/>
        </w:rPr>
        <w:t xml:space="preserve">;</w:t>
      </w:r>
      <w:r>
        <w:rPr>
          <w:i/>
          <w:iCs/>
        </w:rPr>
        <w:t xml:space="preserve"> </w:t>
      </w:r>
      <w:hyperlink r:id="rId94">
        <w:r>
          <w:rPr>
            <w:rStyle w:val="Hyperlink"/>
            <w:i/>
            <w:iCs/>
          </w:rPr>
          <w:t xml:space="preserve">https://pubmed.ncbi.nlm.nih.gov/37821000/</w:t>
        </w:r>
      </w:hyperlink>
      <w:r>
        <w:rPr>
          <w:i/>
          <w:iCs/>
        </w:rPr>
        <w:t xml:space="preserve">;</w:t>
      </w:r>
      <w:r>
        <w:rPr>
          <w:i/>
          <w:iCs/>
        </w:rPr>
        <w:t xml:space="preserve"> </w:t>
      </w:r>
      <w:hyperlink r:id="rId104">
        <w:r>
          <w:rPr>
            <w:rStyle w:val="Hyperlink"/>
            <w:i/>
            <w:iCs/>
          </w:rPr>
          <w:t xml:space="preserve">https://www.contraceptionjournal.org/article/S0010-7824(18)30259-2/fulltext</w:t>
        </w:r>
      </w:hyperlink>
    </w:p>
    <w:bookmarkEnd w:id="105"/>
    <w:bookmarkStart w:id="119" w:name="a11.13-naspagacrm-abstract-urls-20132023"/>
    <w:p>
      <w:pPr>
        <w:pStyle w:val="Heading3"/>
      </w:pPr>
      <w:r>
        <w:t xml:space="preserve">A11.13 NASPAG/ACRM Abstract URLs (2013–2023)</w:t>
      </w:r>
    </w:p>
    <w:p>
      <w:pPr>
        <w:pStyle w:val="FirstParagraph"/>
      </w:pPr>
      <w:r>
        <w:t xml:space="preserve">NASPAG (North American Society for Pediatric and Adolescent Gynecology) Annual Clinical and Research Meeting (ACRM) abstracts are published in the</w:t>
      </w:r>
      <w:r>
        <w:t xml:space="preserve"> </w:t>
      </w:r>
      <w:r>
        <w:rPr>
          <w:i/>
          <w:iCs/>
        </w:rPr>
        <w:t xml:space="preserve">Journal of Pediatric and Adolescent Gynecology</w:t>
      </w:r>
      <w:r>
        <w:t xml:space="preserve"> </w:t>
      </w:r>
      <w:r>
        <w:t xml:space="preserve">(JPAG, ISSN 1083-3188, Elsevier/ScienceDirect). Each abstract receives a unique DOI following the pattern</w:t>
      </w:r>
      <w:r>
        <w:t xml:space="preserve"> </w:t>
      </w:r>
      <w:r>
        <w:rPr>
          <w:rStyle w:val="VerbatimChar"/>
        </w:rPr>
        <w:t xml:space="preserve">10.1016/j.jpag.YYYY.MM.NNN</w:t>
      </w:r>
      <w:r>
        <w:t xml:space="preserve"> </w:t>
      </w:r>
      <w:r>
        <w:t xml:space="preserve">— the same individual-DOI model as SMFM and ASRM. Abstracts consistently appear in Issue 2 of each volume, and volume number follows the formula: Volume = Year − 1987. The 2020 ACRM was cancelled due to COVID-19 but accepted abstracts were still published; 2021 and 2022 meetings were virtual. Abstract counts are small (~16–54/year), making NASPAG the lowest-volume society in this comparison.</w:t>
      </w:r>
    </w:p>
    <w:tbl>
      <w:tblPr>
        <w:tblStyle w:val="Table"/>
        <w:tblW w:type="pct" w:w="5000"/>
        <w:tblLayout w:type="fixed"/>
        <w:tblLook w:firstRow="1" w:lastRow="0" w:firstColumn="0" w:lastColumn="0" w:noHBand="0" w:noVBand="0" w:val="0020"/>
      </w:tblPr>
      <w:tblGrid>
        <w:gridCol w:w="754"/>
        <w:gridCol w:w="1131"/>
        <w:gridCol w:w="1257"/>
        <w:gridCol w:w="880"/>
        <w:gridCol w:w="2388"/>
        <w:gridCol w:w="1508"/>
      </w:tblGrid>
      <w:tr>
        <w:trPr>
          <w:tblHeader w:val="on"/>
        </w:trPr>
        <w:tc>
          <w:tcPr/>
          <w:p>
            <w:pPr>
              <w:pStyle w:val="Compact"/>
            </w:pPr>
            <w:r>
              <w:t xml:space="preserve">Year</w:t>
            </w:r>
          </w:p>
        </w:tc>
        <w:tc>
          <w:tcPr/>
          <w:p>
            <w:pPr>
              <w:pStyle w:val="Compact"/>
            </w:pPr>
            <w:r>
              <w:t xml:space="preserve">Meeting</w:t>
            </w:r>
          </w:p>
        </w:tc>
        <w:tc>
          <w:tcPr/>
          <w:p>
            <w:pPr>
              <w:pStyle w:val="Compact"/>
            </w:pPr>
            <w:r>
              <w:t xml:space="preserve">JPAG Vol</w:t>
            </w:r>
          </w:p>
        </w:tc>
        <w:tc>
          <w:tcPr/>
          <w:p>
            <w:pPr>
              <w:pStyle w:val="Compact"/>
            </w:pPr>
            <w:r>
              <w:t xml:space="preserve">Issue</w:t>
            </w:r>
          </w:p>
        </w:tc>
        <w:tc>
          <w:tcPr/>
          <w:p>
            <w:pPr>
              <w:pStyle w:val="Compact"/>
            </w:pPr>
            <w:r>
              <w:t xml:space="preserve">ScienceDirect URL</w:t>
            </w:r>
          </w:p>
        </w:tc>
        <w:tc>
          <w:tcPr/>
          <w:p>
            <w:pPr>
              <w:pStyle w:val="Compact"/>
            </w:pPr>
            <w:r>
              <w:t xml:space="preserve">Sample DOI</w:t>
            </w:r>
          </w:p>
        </w:tc>
      </w:tr>
      <w:tr>
        <w:tc>
          <w:tcPr/>
          <w:p>
            <w:pPr>
              <w:pStyle w:val="Compact"/>
            </w:pPr>
            <w:r>
              <w:t xml:space="preserve">2023</w:t>
            </w:r>
          </w:p>
        </w:tc>
        <w:tc>
          <w:tcPr/>
          <w:p>
            <w:pPr>
              <w:pStyle w:val="Compact"/>
            </w:pPr>
            <w:r>
              <w:t xml:space="preserve">37th ACRM, Nashville, TN</w:t>
            </w:r>
          </w:p>
        </w:tc>
        <w:tc>
          <w:tcPr/>
          <w:p>
            <w:pPr>
              <w:pStyle w:val="Compact"/>
            </w:pPr>
            <w:r>
              <w:t xml:space="preserve">36</w:t>
            </w:r>
          </w:p>
        </w:tc>
        <w:tc>
          <w:tcPr/>
          <w:p>
            <w:pPr>
              <w:pStyle w:val="Compact"/>
            </w:pPr>
            <w:r>
              <w:t xml:space="preserve">2</w:t>
            </w:r>
          </w:p>
        </w:tc>
        <w:tc>
          <w:tcPr/>
          <w:p>
            <w:pPr>
              <w:pStyle w:val="Compact"/>
            </w:pPr>
            <w:hyperlink r:id="rId106">
              <w:r>
                <w:rPr>
                  <w:rStyle w:val="Hyperlink"/>
                </w:rPr>
                <w:t xml:space="preserve">https://www.sciencedirect.com/journal/journal-of-pediatric-and-adolescent-gynecology/vol/36/issue/2</w:t>
              </w:r>
            </w:hyperlink>
          </w:p>
        </w:tc>
        <w:tc>
          <w:tcPr/>
          <w:p>
            <w:pPr>
              <w:pStyle w:val="Compact"/>
            </w:pPr>
            <w:r>
              <w:t xml:space="preserve">10.1016/j.jpag.2023.01.089</w:t>
            </w:r>
          </w:p>
        </w:tc>
      </w:tr>
      <w:tr>
        <w:tc>
          <w:tcPr/>
          <w:p>
            <w:pPr>
              <w:pStyle w:val="Compact"/>
            </w:pPr>
            <w:r>
              <w:t xml:space="preserve">2022</w:t>
            </w:r>
          </w:p>
        </w:tc>
        <w:tc>
          <w:tcPr/>
          <w:p>
            <w:pPr>
              <w:pStyle w:val="Compact"/>
            </w:pPr>
            <w:r>
              <w:t xml:space="preserve">36th ACRM (Virtual)</w:t>
            </w:r>
          </w:p>
        </w:tc>
        <w:tc>
          <w:tcPr/>
          <w:p>
            <w:pPr>
              <w:pStyle w:val="Compact"/>
            </w:pPr>
            <w:r>
              <w:t xml:space="preserve">35</w:t>
            </w:r>
          </w:p>
        </w:tc>
        <w:tc>
          <w:tcPr/>
          <w:p>
            <w:pPr>
              <w:pStyle w:val="Compact"/>
            </w:pPr>
            <w:r>
              <w:t xml:space="preserve">2</w:t>
            </w:r>
          </w:p>
        </w:tc>
        <w:tc>
          <w:tcPr/>
          <w:p>
            <w:pPr>
              <w:pStyle w:val="Compact"/>
            </w:pPr>
            <w:hyperlink r:id="rId107">
              <w:r>
                <w:rPr>
                  <w:rStyle w:val="Hyperlink"/>
                </w:rPr>
                <w:t xml:space="preserve">https://www.sciencedirect.com/journal/journal-of-pediatric-and-adolescent-gynecology/vol/35/issue/2</w:t>
              </w:r>
            </w:hyperlink>
          </w:p>
        </w:tc>
        <w:tc>
          <w:tcPr/>
          <w:p>
            <w:pPr>
              <w:pStyle w:val="Compact"/>
            </w:pPr>
            <w:r>
              <w:t xml:space="preserve">10.1016/j.jpag.2022.01.xxx</w:t>
            </w:r>
          </w:p>
        </w:tc>
      </w:tr>
      <w:tr>
        <w:tc>
          <w:tcPr/>
          <w:p>
            <w:pPr>
              <w:pStyle w:val="Compact"/>
            </w:pPr>
            <w:r>
              <w:t xml:space="preserve">2021</w:t>
            </w:r>
          </w:p>
        </w:tc>
        <w:tc>
          <w:tcPr/>
          <w:p>
            <w:pPr>
              <w:pStyle w:val="Compact"/>
            </w:pPr>
            <w:r>
              <w:t xml:space="preserve">35th ACRM (Virtual)</w:t>
            </w:r>
          </w:p>
        </w:tc>
        <w:tc>
          <w:tcPr/>
          <w:p>
            <w:pPr>
              <w:pStyle w:val="Compact"/>
            </w:pPr>
            <w:r>
              <w:t xml:space="preserve">34</w:t>
            </w:r>
          </w:p>
        </w:tc>
        <w:tc>
          <w:tcPr/>
          <w:p>
            <w:pPr>
              <w:pStyle w:val="Compact"/>
            </w:pPr>
            <w:r>
              <w:t xml:space="preserve">2</w:t>
            </w:r>
          </w:p>
        </w:tc>
        <w:tc>
          <w:tcPr/>
          <w:p>
            <w:pPr>
              <w:pStyle w:val="Compact"/>
            </w:pPr>
            <w:hyperlink r:id="rId108">
              <w:r>
                <w:rPr>
                  <w:rStyle w:val="Hyperlink"/>
                </w:rPr>
                <w:t xml:space="preserve">https://www.sciencedirect.com/journal/journal-of-pediatric-and-adolescent-gynecology/vol/34/issue/2</w:t>
              </w:r>
            </w:hyperlink>
          </w:p>
        </w:tc>
        <w:tc>
          <w:tcPr/>
          <w:p>
            <w:pPr>
              <w:pStyle w:val="Compact"/>
            </w:pPr>
            <w:r>
              <w:t xml:space="preserve">10.1016/j.jpag.2021.02.005</w:t>
            </w:r>
          </w:p>
        </w:tc>
      </w:tr>
      <w:tr>
        <w:tc>
          <w:tcPr/>
          <w:p>
            <w:pPr>
              <w:pStyle w:val="Compact"/>
            </w:pPr>
            <w:r>
              <w:t xml:space="preserve">2020</w:t>
            </w:r>
          </w:p>
        </w:tc>
        <w:tc>
          <w:tcPr/>
          <w:p>
            <w:pPr>
              <w:pStyle w:val="Compact"/>
            </w:pPr>
            <w:r>
              <w:t xml:space="preserve">34th ACRM (Cancelled — abstracts published)</w:t>
            </w:r>
          </w:p>
        </w:tc>
        <w:tc>
          <w:tcPr/>
          <w:p>
            <w:pPr>
              <w:pStyle w:val="Compact"/>
            </w:pPr>
            <w:r>
              <w:t xml:space="preserve">33</w:t>
            </w:r>
          </w:p>
        </w:tc>
        <w:tc>
          <w:tcPr/>
          <w:p>
            <w:pPr>
              <w:pStyle w:val="Compact"/>
            </w:pPr>
            <w:r>
              <w:t xml:space="preserve">2</w:t>
            </w:r>
          </w:p>
        </w:tc>
        <w:tc>
          <w:tcPr/>
          <w:p>
            <w:pPr>
              <w:pStyle w:val="Compact"/>
            </w:pPr>
            <w:hyperlink r:id="rId109">
              <w:r>
                <w:rPr>
                  <w:rStyle w:val="Hyperlink"/>
                </w:rPr>
                <w:t xml:space="preserve">https://www.sciencedirect.com/journal/journal-of-pediatric-and-adolescent-gynecology/vol/33/issue/2</w:t>
              </w:r>
            </w:hyperlink>
          </w:p>
        </w:tc>
        <w:tc>
          <w:tcPr/>
          <w:p>
            <w:pPr>
              <w:pStyle w:val="Compact"/>
            </w:pPr>
            <w:r>
              <w:t xml:space="preserve">10.1016/j.jpag.2020.01.xxx</w:t>
            </w:r>
          </w:p>
        </w:tc>
      </w:tr>
      <w:tr>
        <w:tc>
          <w:tcPr/>
          <w:p>
            <w:pPr>
              <w:pStyle w:val="Compact"/>
            </w:pPr>
            <w:r>
              <w:t xml:space="preserve">2019</w:t>
            </w:r>
          </w:p>
        </w:tc>
        <w:tc>
          <w:tcPr/>
          <w:p>
            <w:pPr>
              <w:pStyle w:val="Compact"/>
            </w:pPr>
            <w:r>
              <w:t xml:space="preserve">33rd ACRM</w:t>
            </w:r>
          </w:p>
        </w:tc>
        <w:tc>
          <w:tcPr/>
          <w:p>
            <w:pPr>
              <w:pStyle w:val="Compact"/>
            </w:pPr>
            <w:r>
              <w:t xml:space="preserve">32</w:t>
            </w:r>
          </w:p>
        </w:tc>
        <w:tc>
          <w:tcPr/>
          <w:p>
            <w:pPr>
              <w:pStyle w:val="Compact"/>
            </w:pPr>
            <w:r>
              <w:t xml:space="preserve">2</w:t>
            </w:r>
          </w:p>
        </w:tc>
        <w:tc>
          <w:tcPr/>
          <w:p>
            <w:pPr>
              <w:pStyle w:val="Compact"/>
            </w:pPr>
            <w:hyperlink r:id="rId110">
              <w:r>
                <w:rPr>
                  <w:rStyle w:val="Hyperlink"/>
                </w:rPr>
                <w:t xml:space="preserve">https://www.sciencedirect.com/journal/journal-of-pediatric-and-adolescent-gynecology/vol/32/issue/2</w:t>
              </w:r>
            </w:hyperlink>
          </w:p>
        </w:tc>
        <w:tc>
          <w:tcPr/>
          <w:p>
            <w:pPr>
              <w:pStyle w:val="Compact"/>
            </w:pPr>
            <w:r>
              <w:t xml:space="preserve">10.1016/j.jpag.2019.02.002</w:t>
            </w:r>
          </w:p>
        </w:tc>
      </w:tr>
      <w:tr>
        <w:tc>
          <w:tcPr/>
          <w:p>
            <w:pPr>
              <w:pStyle w:val="Compact"/>
            </w:pPr>
            <w:r>
              <w:t xml:space="preserve">2018</w:t>
            </w:r>
          </w:p>
        </w:tc>
        <w:tc>
          <w:tcPr/>
          <w:p>
            <w:pPr>
              <w:pStyle w:val="Compact"/>
            </w:pPr>
            <w:r>
              <w:t xml:space="preserve">32nd ACRM</w:t>
            </w:r>
          </w:p>
        </w:tc>
        <w:tc>
          <w:tcPr/>
          <w:p>
            <w:pPr>
              <w:pStyle w:val="Compact"/>
            </w:pPr>
            <w:r>
              <w:t xml:space="preserve">31</w:t>
            </w:r>
          </w:p>
        </w:tc>
        <w:tc>
          <w:tcPr/>
          <w:p>
            <w:pPr>
              <w:pStyle w:val="Compact"/>
            </w:pPr>
            <w:r>
              <w:t xml:space="preserve">2</w:t>
            </w:r>
          </w:p>
        </w:tc>
        <w:tc>
          <w:tcPr/>
          <w:p>
            <w:pPr>
              <w:pStyle w:val="Compact"/>
            </w:pPr>
            <w:hyperlink r:id="rId111">
              <w:r>
                <w:rPr>
                  <w:rStyle w:val="Hyperlink"/>
                </w:rPr>
                <w:t xml:space="preserve">https://www.sciencedirect.com/journal/journal-of-pediatric-and-adolescent-gynecology/vol/31/issue/2</w:t>
              </w:r>
            </w:hyperlink>
          </w:p>
        </w:tc>
        <w:tc>
          <w:tcPr/>
          <w:p>
            <w:pPr>
              <w:pStyle w:val="Compact"/>
            </w:pPr>
            <w:r>
              <w:t xml:space="preserve">10.1016/j.jpag.2018.02.017</w:t>
            </w:r>
          </w:p>
        </w:tc>
      </w:tr>
      <w:tr>
        <w:tc>
          <w:tcPr/>
          <w:p>
            <w:pPr>
              <w:pStyle w:val="Compact"/>
            </w:pPr>
            <w:r>
              <w:t xml:space="preserve">2017</w:t>
            </w:r>
          </w:p>
        </w:tc>
        <w:tc>
          <w:tcPr/>
          <w:p>
            <w:pPr>
              <w:pStyle w:val="Compact"/>
            </w:pPr>
            <w:r>
              <w:t xml:space="preserve">31st ACRM, Chicago, IL</w:t>
            </w:r>
          </w:p>
        </w:tc>
        <w:tc>
          <w:tcPr/>
          <w:p>
            <w:pPr>
              <w:pStyle w:val="Compact"/>
            </w:pPr>
            <w:r>
              <w:t xml:space="preserve">30</w:t>
            </w:r>
          </w:p>
        </w:tc>
        <w:tc>
          <w:tcPr/>
          <w:p>
            <w:pPr>
              <w:pStyle w:val="Compact"/>
            </w:pPr>
            <w:r>
              <w:t xml:space="preserve">2</w:t>
            </w:r>
          </w:p>
        </w:tc>
        <w:tc>
          <w:tcPr/>
          <w:p>
            <w:pPr>
              <w:pStyle w:val="Compact"/>
            </w:pPr>
            <w:hyperlink r:id="rId112">
              <w:r>
                <w:rPr>
                  <w:rStyle w:val="Hyperlink"/>
                </w:rPr>
                <w:t xml:space="preserve">https://www.sciencedirect.com/journal/journal-of-pediatric-and-adolescent-gynecology/vol/30/issue/2</w:t>
              </w:r>
            </w:hyperlink>
          </w:p>
        </w:tc>
        <w:tc>
          <w:tcPr/>
          <w:p>
            <w:pPr>
              <w:pStyle w:val="Compact"/>
            </w:pPr>
            <w:r>
              <w:t xml:space="preserve">10.1016/j.jpag.2017.03.013</w:t>
            </w:r>
          </w:p>
        </w:tc>
      </w:tr>
      <w:tr>
        <w:tc>
          <w:tcPr/>
          <w:p>
            <w:pPr>
              <w:pStyle w:val="Compact"/>
            </w:pPr>
            <w:r>
              <w:t xml:space="preserve">2016</w:t>
            </w:r>
          </w:p>
        </w:tc>
        <w:tc>
          <w:tcPr/>
          <w:p>
            <w:pPr>
              <w:pStyle w:val="Compact"/>
            </w:pPr>
            <w:r>
              <w:t xml:space="preserve">30th ACRM, Toronto, ON</w:t>
            </w:r>
          </w:p>
        </w:tc>
        <w:tc>
          <w:tcPr/>
          <w:p>
            <w:pPr>
              <w:pStyle w:val="Compact"/>
            </w:pPr>
            <w:r>
              <w:t xml:space="preserve">29</w:t>
            </w:r>
          </w:p>
        </w:tc>
        <w:tc>
          <w:tcPr/>
          <w:p>
            <w:pPr>
              <w:pStyle w:val="Compact"/>
            </w:pPr>
            <w:r>
              <w:t xml:space="preserve">2</w:t>
            </w:r>
          </w:p>
        </w:tc>
        <w:tc>
          <w:tcPr/>
          <w:p>
            <w:pPr>
              <w:pStyle w:val="Compact"/>
            </w:pPr>
            <w:hyperlink r:id="rId113">
              <w:r>
                <w:rPr>
                  <w:rStyle w:val="Hyperlink"/>
                </w:rPr>
                <w:t xml:space="preserve">https://www.sciencedirect.com/journal/journal-of-pediatric-and-adolescent-gynecology/vol/29/issue/2</w:t>
              </w:r>
            </w:hyperlink>
          </w:p>
        </w:tc>
        <w:tc>
          <w:tcPr/>
          <w:p>
            <w:pPr>
              <w:pStyle w:val="Compact"/>
            </w:pPr>
            <w:r>
              <w:t xml:space="preserve">10.1016/j.jpag.2016.01.003</w:t>
            </w:r>
          </w:p>
        </w:tc>
      </w:tr>
      <w:tr>
        <w:tc>
          <w:tcPr/>
          <w:p>
            <w:pPr>
              <w:pStyle w:val="Compact"/>
            </w:pPr>
            <w:r>
              <w:t xml:space="preserve">2015</w:t>
            </w:r>
          </w:p>
        </w:tc>
        <w:tc>
          <w:tcPr/>
          <w:p>
            <w:pPr>
              <w:pStyle w:val="Compact"/>
            </w:pPr>
            <w:r>
              <w:t xml:space="preserve">29th ACRM, Orlando, FL</w:t>
            </w:r>
          </w:p>
        </w:tc>
        <w:tc>
          <w:tcPr/>
          <w:p>
            <w:pPr>
              <w:pStyle w:val="Compact"/>
            </w:pPr>
            <w:r>
              <w:t xml:space="preserve">28</w:t>
            </w:r>
          </w:p>
        </w:tc>
        <w:tc>
          <w:tcPr/>
          <w:p>
            <w:pPr>
              <w:pStyle w:val="Compact"/>
            </w:pPr>
            <w:r>
              <w:t xml:space="preserve">2</w:t>
            </w:r>
          </w:p>
        </w:tc>
        <w:tc>
          <w:tcPr/>
          <w:p>
            <w:pPr>
              <w:pStyle w:val="Compact"/>
            </w:pPr>
            <w:hyperlink r:id="rId114">
              <w:r>
                <w:rPr>
                  <w:rStyle w:val="Hyperlink"/>
                </w:rPr>
                <w:t xml:space="preserve">https://www.sciencedirect.com/journal/journal-of-pediatric-and-adolescent-gynecology/vol/28/issue/2</w:t>
              </w:r>
            </w:hyperlink>
          </w:p>
        </w:tc>
        <w:tc>
          <w:tcPr/>
          <w:p>
            <w:pPr>
              <w:pStyle w:val="Compact"/>
            </w:pPr>
            <w:r>
              <w:t xml:space="preserve">10.1016/j.jpag.2015.02.005</w:t>
            </w:r>
          </w:p>
        </w:tc>
      </w:tr>
      <w:tr>
        <w:tc>
          <w:tcPr/>
          <w:p>
            <w:pPr>
              <w:pStyle w:val="Compact"/>
            </w:pPr>
            <w:r>
              <w:t xml:space="preserve">2014</w:t>
            </w:r>
          </w:p>
        </w:tc>
        <w:tc>
          <w:tcPr/>
          <w:p>
            <w:pPr>
              <w:pStyle w:val="Compact"/>
            </w:pPr>
            <w:r>
              <w:t xml:space="preserve">28th ACRM, Philadelphia, PA</w:t>
            </w:r>
          </w:p>
        </w:tc>
        <w:tc>
          <w:tcPr/>
          <w:p>
            <w:pPr>
              <w:pStyle w:val="Compact"/>
            </w:pPr>
            <w:r>
              <w:t xml:space="preserve">27</w:t>
            </w:r>
          </w:p>
        </w:tc>
        <w:tc>
          <w:tcPr/>
          <w:p>
            <w:pPr>
              <w:pStyle w:val="Compact"/>
            </w:pPr>
            <w:r>
              <w:t xml:space="preserve">2</w:t>
            </w:r>
          </w:p>
        </w:tc>
        <w:tc>
          <w:tcPr/>
          <w:p>
            <w:pPr>
              <w:pStyle w:val="Compact"/>
            </w:pPr>
            <w:hyperlink r:id="rId115">
              <w:r>
                <w:rPr>
                  <w:rStyle w:val="Hyperlink"/>
                </w:rPr>
                <w:t xml:space="preserve">https://www.sciencedirect.com/journal/journal-of-pediatric-and-adolescent-gynecology/vol/27/issue/2</w:t>
              </w:r>
            </w:hyperlink>
          </w:p>
        </w:tc>
        <w:tc>
          <w:tcPr/>
          <w:p>
            <w:pPr>
              <w:pStyle w:val="Compact"/>
            </w:pPr>
            <w:r>
              <w:t xml:space="preserve">10.1016/j.jpag.2014.01.007</w:t>
            </w:r>
          </w:p>
        </w:tc>
      </w:tr>
      <w:tr>
        <w:tc>
          <w:tcPr/>
          <w:p>
            <w:pPr>
              <w:pStyle w:val="Compact"/>
            </w:pPr>
            <w:r>
              <w:t xml:space="preserve">2013</w:t>
            </w:r>
          </w:p>
        </w:tc>
        <w:tc>
          <w:tcPr/>
          <w:p>
            <w:pPr>
              <w:pStyle w:val="Compact"/>
            </w:pPr>
            <w:r>
              <w:t xml:space="preserve">27th ACRM</w:t>
            </w:r>
          </w:p>
        </w:tc>
        <w:tc>
          <w:tcPr/>
          <w:p>
            <w:pPr>
              <w:pStyle w:val="Compact"/>
            </w:pPr>
            <w:r>
              <w:t xml:space="preserve">26</w:t>
            </w:r>
          </w:p>
        </w:tc>
        <w:tc>
          <w:tcPr/>
          <w:p>
            <w:pPr>
              <w:pStyle w:val="Compact"/>
            </w:pPr>
            <w:r>
              <w:t xml:space="preserve">2</w:t>
            </w:r>
          </w:p>
        </w:tc>
        <w:tc>
          <w:tcPr/>
          <w:p>
            <w:pPr>
              <w:pStyle w:val="Compact"/>
            </w:pPr>
            <w:hyperlink r:id="rId116">
              <w:r>
                <w:rPr>
                  <w:rStyle w:val="Hyperlink"/>
                </w:rPr>
                <w:t xml:space="preserve">https://www.sciencedirect.com/journal/journal-of-pediatric-and-adolescent-gynecology/vol/26/issue/2</w:t>
              </w:r>
            </w:hyperlink>
          </w:p>
        </w:tc>
        <w:tc>
          <w:tcPr/>
          <w:p>
            <w:pPr>
              <w:pStyle w:val="Compact"/>
            </w:pPr>
            <w:r>
              <w:t xml:space="preserve">10.1016/j.jpag.2013.01.005</w:t>
            </w:r>
          </w:p>
        </w:tc>
      </w:tr>
    </w:tbl>
    <w:p>
      <w:pPr>
        <w:pStyle w:val="BodyText"/>
      </w:pPr>
      <w:r>
        <w:rPr>
          <w:i/>
          <w:iCs/>
        </w:rPr>
        <w:t xml:space="preserve">Sources:</w:t>
      </w:r>
      <w:r>
        <w:rPr>
          <w:i/>
          <w:iCs/>
        </w:rPr>
        <w:t xml:space="preserve"> </w:t>
      </w:r>
      <w:hyperlink r:id="rId117">
        <w:r>
          <w:rPr>
            <w:rStyle w:val="Hyperlink"/>
            <w:i/>
            <w:iCs/>
          </w:rPr>
          <w:t xml:space="preserve">https://www.sciencedirect.com/journal/journal-of-pediatric-and-adolescent-gynecology</w:t>
        </w:r>
      </w:hyperlink>
      <w:r>
        <w:rPr>
          <w:i/>
          <w:iCs/>
        </w:rPr>
        <w:t xml:space="preserve">;</w:t>
      </w:r>
      <w:r>
        <w:rPr>
          <w:i/>
          <w:iCs/>
        </w:rPr>
        <w:t xml:space="preserve"> </w:t>
      </w:r>
      <w:hyperlink r:id="rId118">
        <w:r>
          <w:rPr>
            <w:rStyle w:val="Hyperlink"/>
            <w:i/>
            <w:iCs/>
          </w:rPr>
          <w:t xml:space="preserve">https://www.naspag.org/acrm-future-and-past</w:t>
        </w:r>
      </w:hyperlink>
    </w:p>
    <w:p>
      <w:r>
        <w:pict>
          <v:rect style="width:0;height:1.5pt" o:hralign="center" o:hrstd="t" o:hr="t"/>
        </w:pict>
      </w:r>
    </w:p>
    <w:bookmarkEnd w:id="119"/>
    <w:bookmarkStart w:id="120" w:name="Xd595ffef2965248d70e8ae14a73e011624ff54c"/>
    <w:p>
      <w:pPr>
        <w:pStyle w:val="Heading3"/>
      </w:pPr>
      <w:r>
        <w:t xml:space="preserve">A11.14 Metadata Fields Available in Each Society’s Published Abstracts</w:t>
      </w:r>
    </w:p>
    <w:p>
      <w:pPr>
        <w:pStyle w:val="FirstParagraph"/>
      </w:pPr>
      <w:r>
        <w:t xml:space="preserve">A critical determinant of pipeline performance is the author and affiliation metadata embedded in the published abstract. Richer metadata enables more precise PubMed matching (via full first names), better ORCID disambiguation (via affiliation strings), and more complete author-characteristic enrichment (gender, career stage, subspecialty). The table below summarizes what is consistently available for each society.</w:t>
      </w:r>
    </w:p>
    <w:tbl>
      <w:tblPr>
        <w:tblStyle w:val="Table"/>
        <w:tblW w:type="pct" w:w="5000"/>
        <w:tblLayout w:type="fixed"/>
        <w:tblLook w:firstRow="1" w:lastRow="0" w:firstColumn="0" w:lastColumn="0" w:noHBand="0" w:noVBand="0" w:val="0020"/>
      </w:tblPr>
      <w:tblGrid>
        <w:gridCol w:w="538"/>
        <w:gridCol w:w="999"/>
        <w:gridCol w:w="999"/>
        <w:gridCol w:w="922"/>
        <w:gridCol w:w="1691"/>
        <w:gridCol w:w="1614"/>
        <w:gridCol w:w="1153"/>
      </w:tblGrid>
      <w:tr>
        <w:trPr>
          <w:tblHeader w:val="on"/>
        </w:trPr>
        <w:tc>
          <w:tcPr/>
          <w:p>
            <w:pPr>
              <w:pStyle w:val="Compact"/>
            </w:pPr>
            <w:r>
              <w:t xml:space="preserve">Field</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c>
          <w:tcPr/>
          <w:p>
            <w:pPr>
              <w:pStyle w:val="Compact"/>
            </w:pPr>
            <w:r>
              <w:t xml:space="preserve">NASPAG (JPAG)</w:t>
            </w:r>
          </w:p>
        </w:tc>
      </w:tr>
      <w:tr>
        <w:tc>
          <w:tcPr/>
          <w:p>
            <w:pPr>
              <w:pStyle w:val="Compact"/>
            </w:pPr>
            <w:r>
              <w:rPr>
                <w:b/>
                <w:bCs/>
              </w:rPr>
              <w:t xml:space="preserve">Abstract title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Abstract text</w:t>
            </w:r>
          </w:p>
        </w:tc>
        <w:tc>
          <w:tcPr/>
          <w:p>
            <w:pPr>
              <w:pStyle w:val="Compact"/>
            </w:pPr>
            <w:r>
              <w:t xml:space="preserve">Partial (2012–2018 paywalled)</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full first name</w:t>
            </w:r>
          </w:p>
        </w:tc>
        <w:tc>
          <w:tcPr/>
          <w:p>
            <w:pPr>
              <w:pStyle w:val="Compact"/>
            </w:pPr>
            <w:r>
              <w:rPr>
                <w:b/>
                <w:bCs/>
              </w:rPr>
              <w:t xml:space="preserve">No — 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full names</w:t>
            </w:r>
          </w:p>
        </w:tc>
        <w:tc>
          <w:tcPr/>
          <w:p>
            <w:pPr>
              <w:pStyle w:val="Compact"/>
            </w:pPr>
            <w:r>
              <w:t xml:space="preserve">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Author count</w:t>
            </w:r>
          </w:p>
        </w:tc>
        <w:tc>
          <w:tcPr/>
          <w:p>
            <w:pPr>
              <w:pStyle w:val="Compact"/>
            </w:pPr>
            <w:r>
              <w:t xml:space="preserve">Yes (parseable)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affiliation</w:t>
            </w:r>
          </w:p>
        </w:tc>
        <w:tc>
          <w:tcPr/>
          <w:p>
            <w:pPr>
              <w:pStyle w:val="Compact"/>
            </w:pPr>
            <w:r>
              <w:t xml:space="preserve">Partial (52.7% via backfill)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affiliations</w:t>
            </w:r>
          </w:p>
        </w:tc>
        <w:tc>
          <w:tcPr/>
          <w:p>
            <w:pPr>
              <w:pStyle w:val="Compact"/>
            </w:pPr>
            <w:r>
              <w:t xml:space="preserve">Partial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Corresponding author email</w:t>
            </w:r>
          </w:p>
        </w:tc>
        <w:tc>
          <w:tcPr/>
          <w:p>
            <w:pPr>
              <w:pStyle w:val="Compact"/>
            </w:pPr>
            <w:r>
              <w:t xml:space="preserve">No</w:t>
            </w:r>
          </w:p>
        </w:tc>
        <w:tc>
          <w:tcPr/>
          <w:p>
            <w:pPr>
              <w:pStyle w:val="Compact"/>
            </w:pPr>
            <w:r>
              <w:t xml:space="preserve">Rarely</w:t>
            </w:r>
          </w:p>
        </w:tc>
        <w:tc>
          <w:tcPr/>
          <w:p>
            <w:pPr>
              <w:pStyle w:val="Compact"/>
            </w:pPr>
            <w:r>
              <w:t xml:space="preserve">Rarely</w:t>
            </w:r>
          </w:p>
        </w:tc>
        <w:tc>
          <w:tcPr/>
          <w:p>
            <w:pPr>
              <w:pStyle w:val="Compact"/>
            </w:pPr>
            <w:r>
              <w:t xml:space="preserve">Sometimes</w:t>
            </w:r>
          </w:p>
        </w:tc>
        <w:tc>
          <w:tcPr/>
          <w:p>
            <w:pPr>
              <w:pStyle w:val="Compact"/>
            </w:pPr>
            <w:r>
              <w:t xml:space="preserve">Sometimes</w:t>
            </w:r>
          </w:p>
        </w:tc>
        <w:tc>
          <w:tcPr/>
          <w:p>
            <w:pPr>
              <w:pStyle w:val="Compact"/>
            </w:pPr>
            <w:r>
              <w:t xml:space="preserve">Rarely</w:t>
            </w:r>
          </w:p>
        </w:tc>
      </w:tr>
      <w:tr>
        <w:tc>
          <w:tcPr/>
          <w:p>
            <w:pPr>
              <w:pStyle w:val="Compact"/>
            </w:pPr>
            <w:r>
              <w:rPr>
                <w:b/>
                <w:bCs/>
              </w:rPr>
              <w:t xml:space="preserve">Individual abstract DOI</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No</w:t>
            </w:r>
          </w:p>
        </w:tc>
        <w:tc>
          <w:tcPr/>
          <w:p>
            <w:pPr>
              <w:pStyle w:val="Compact"/>
            </w:pPr>
            <w:r>
              <w:rPr>
                <w:b/>
                <w:bCs/>
              </w:rPr>
              <w:t xml:space="preserve">No</w:t>
            </w:r>
          </w:p>
        </w:tc>
        <w:tc>
          <w:tcPr/>
          <w:p>
            <w:pPr>
              <w:pStyle w:val="Compact"/>
            </w:pPr>
            <w:r>
              <w:t xml:space="preserve">Yes</w:t>
            </w:r>
          </w:p>
        </w:tc>
      </w:tr>
      <w:tr>
        <w:tc>
          <w:tcPr/>
          <w:p>
            <w:pPr>
              <w:pStyle w:val="Compact"/>
            </w:pPr>
            <w:r>
              <w:rPr>
                <w:b/>
                <w:bCs/>
              </w:rPr>
              <w:t xml:space="preserve">Platform</w:t>
            </w:r>
          </w:p>
        </w:tc>
        <w:tc>
          <w:tcPr/>
          <w:p>
            <w:pPr>
              <w:pStyle w:val="Compact"/>
            </w:pPr>
            <w:r>
              <w:t xml:space="preserve">ScienceDirect</w:t>
            </w:r>
          </w:p>
        </w:tc>
        <w:tc>
          <w:tcPr/>
          <w:p>
            <w:pPr>
              <w:pStyle w:val="Compact"/>
            </w:pPr>
            <w:r>
              <w:t xml:space="preserve">ScienceDirect</w:t>
            </w:r>
          </w:p>
        </w:tc>
        <w:tc>
          <w:tcPr/>
          <w:p>
            <w:pPr>
              <w:pStyle w:val="Compact"/>
            </w:pPr>
            <w:r>
              <w:t xml:space="preserve">ScienceDirect</w:t>
            </w:r>
          </w:p>
        </w:tc>
        <w:tc>
          <w:tcPr/>
          <w:p>
            <w:pPr>
              <w:pStyle w:val="Compact"/>
            </w:pPr>
            <w:r>
              <w:t xml:space="preserve">LWW</w:t>
            </w:r>
          </w:p>
        </w:tc>
        <w:tc>
          <w:tcPr/>
          <w:p>
            <w:pPr>
              <w:pStyle w:val="Compact"/>
            </w:pPr>
            <w:r>
              <w:t xml:space="preserve">ScienceDirect</w:t>
            </w:r>
          </w:p>
        </w:tc>
        <w:tc>
          <w:tcPr/>
          <w:p>
            <w:pPr>
              <w:pStyle w:val="Compact"/>
            </w:pPr>
            <w:r>
              <w:t xml:space="preserve">ScienceDirect</w:t>
            </w:r>
          </w:p>
        </w:tc>
      </w:tr>
      <w:tr>
        <w:tc>
          <w:tcPr/>
          <w:p>
            <w:pPr>
              <w:pStyle w:val="Compact"/>
            </w:pPr>
            <w:r>
              <w:rPr>
                <w:b/>
                <w:bCs/>
              </w:rPr>
              <w:t xml:space="preserve">Auth required to access</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rPr>
                <w:b/>
                <w:bCs/>
              </w:rP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c>
          <w:tcPr/>
          <w:p>
            <w:pPr>
              <w:pStyle w:val="Compact"/>
            </w:pPr>
            <w:r>
              <w:t xml:space="preserve">~35</w:t>
            </w:r>
          </w:p>
        </w:tc>
      </w:tr>
      <w:tr>
        <w:tc>
          <w:tcPr/>
          <w:p>
            <w:pPr>
              <w:pStyle w:val="Compact"/>
            </w:pPr>
            <w:r>
              <w:rPr>
                <w:b/>
                <w:bCs/>
              </w:rPr>
              <w:t xml:space="preserve">Years available</w:t>
            </w:r>
          </w:p>
        </w:tc>
        <w:tc>
          <w:tcPr/>
          <w:p>
            <w:pPr>
              <w:pStyle w:val="Compact"/>
            </w:pPr>
            <w:r>
              <w:t xml:space="preserve">2012–2023</w:t>
            </w:r>
          </w:p>
        </w:tc>
        <w:tc>
          <w:tcPr/>
          <w:p>
            <w:pPr>
              <w:pStyle w:val="Compact"/>
            </w:pPr>
            <w:r>
              <w:t xml:space="preserve">2013–2023</w:t>
            </w:r>
          </w:p>
        </w:tc>
        <w:tc>
          <w:tcPr/>
          <w:p>
            <w:pPr>
              <w:pStyle w:val="Compact"/>
            </w:pPr>
            <w:r>
              <w:t xml:space="preserve">2013–2023</w:t>
            </w:r>
          </w:p>
        </w:tc>
        <w:tc>
          <w:tcPr/>
          <w:p>
            <w:pPr>
              <w:pStyle w:val="Compact"/>
            </w:pPr>
            <w:r>
              <w:t xml:space="preserve">2013–2023</w:t>
            </w:r>
          </w:p>
        </w:tc>
        <w:tc>
          <w:tcPr/>
          <w:p>
            <w:pPr>
              <w:pStyle w:val="Compact"/>
            </w:pPr>
            <w:r>
              <w:t xml:space="preserve">2015–2023</w:t>
            </w:r>
          </w:p>
        </w:tc>
        <w:tc>
          <w:tcPr/>
          <w:p>
            <w:pPr>
              <w:pStyle w:val="Compact"/>
            </w:pPr>
            <w:r>
              <w:t xml:space="preserve">2013–2023</w:t>
            </w:r>
          </w:p>
        </w:tc>
      </w:tr>
    </w:tbl>
    <w:p>
      <w:pPr>
        <w:pStyle w:val="BodyText"/>
      </w:pPr>
      <w:r>
        <w:rPr>
          <w:b/>
          <w:bCs/>
        </w:rPr>
        <w:t xml:space="preserve">Key finding — AAGL’s initials-only limitation:</w:t>
      </w:r>
      <w:r>
        <w:t xml:space="preserve"> </w:t>
      </w:r>
      <w:r>
        <w:t xml:space="preserve">AAGL/JMIG is the only society where first author names are published as initials only (e.g.,</w:t>
      </w:r>
      <w:r>
        <w:t xml:space="preserve"> </w:t>
      </w:r>
      <w:r>
        <w:t xml:space="preserve">“R.S. Guido”</w:t>
      </w:r>
      <w:r>
        <w:t xml:space="preserve"> </w:t>
      </w:r>
      <w:r>
        <w:t xml:space="preserve">rather than</w:t>
      </w:r>
      <w:r>
        <w:t xml:space="preserve"> </w:t>
      </w:r>
      <w:r>
        <w:t xml:space="preserve">“Robert S. Guido”</w:t>
      </w:r>
      <w:r>
        <w:t xml:space="preserve">). This is the single most consequential metadata gap in the current pipeline, directly limiting: (1) ORCID hit rate (15.8% with full initials vs. a projected &gt;60% with full names); (2) gender inference accuracy (genderize.io requires full first names); and (3) NPI matching (exact first-name matching is disabled for 84% of US authors). All five comparison societies publish full author first names, making them substantially easier to enrich. Any multi-society expansion should treat AAGL’s initials-only format as a known limitation requiring manual resolution or supplementation from the published full paper’s author list.</w:t>
      </w:r>
    </w:p>
    <w:bookmarkEnd w:id="120"/>
    <w:bookmarkStart w:id="130" w:name="Xd2ecc76ec09a610a0ce68bf04e13a58ad614296"/>
    <w:p>
      <w:pPr>
        <w:pStyle w:val="Heading3"/>
      </w:pPr>
      <w:r>
        <w:t xml:space="preserve">A11.15 SASGOG Abstracts (2013–2023) — No Journal Publication</w:t>
      </w:r>
    </w:p>
    <w:p>
      <w:pPr>
        <w:pStyle w:val="FirstParagraph"/>
      </w:pPr>
      <w:r>
        <w:t xml:space="preserve">SASGOG (Society for Academic Specialists in General Obstetrics and Gynecology) was founded in 2012 and does</w:t>
      </w:r>
      <w:r>
        <w:t xml:space="preserve"> </w:t>
      </w:r>
      <w:r>
        <w:rPr>
          <w:b/>
          <w:bCs/>
        </w:rPr>
        <w:t xml:space="preserve">not</w:t>
      </w:r>
      <w:r>
        <w:t xml:space="preserve"> </w:t>
      </w:r>
      <w:r>
        <w:t xml:space="preserve">publish its meeting abstracts in a peer-reviewed journal. Unlike every other society in this comparison, SASGOG abstracts are posted only on the society website (sasgog.org), are not indexed in PubMed, ScienceDirect, or CrossRef, and receive no DOIs. Abstracts are limited to 300 words and undergo peer review, but formal journal publication is not part of the submission process. SASGOG does offer a</w:t>
      </w:r>
      <w:r>
        <w:t xml:space="preserve"> </w:t>
      </w:r>
      <w:r>
        <w:t xml:space="preserve">“Best Manuscript from a SASGOG Abstract Award”</w:t>
      </w:r>
      <w:r>
        <w:t xml:space="preserve"> </w:t>
      </w:r>
      <w:r>
        <w:t xml:space="preserve">to encourage conversion to full manuscripts, but the abstracts themselves are not citable with DOIs.</w:t>
      </w:r>
    </w:p>
    <w:p>
      <w:pPr>
        <w:pStyle w:val="BodyText"/>
      </w:pPr>
      <w:r>
        <w:rPr>
          <w:b/>
          <w:bCs/>
        </w:rPr>
        <w:t xml:space="preserve">Pipeline implication:</w:t>
      </w:r>
      <w:r>
        <w:t xml:space="preserve"> </w:t>
      </w:r>
      <w:r>
        <w:t xml:space="preserve">Because SASGOG abstracts lack DOIs, PubMed indexing, and structured metadata, the current pipeline cannot be applied without first scraping the society website directly to extract abstract text and author information. Matching would rely entirely on title/author string search against PubMed — the weakest of the three search strategies. For years 2013–2018, website URLs are unknown or may not exist, creating a data recovery problem analogous to the AAGL 2017 CORS-blocking issue.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URL</w:t>
            </w:r>
          </w:p>
        </w:tc>
        <w:tc>
          <w:tcPr/>
          <w:p>
            <w:pPr>
              <w:pStyle w:val="Compact"/>
            </w:pPr>
            <w:r>
              <w:t xml:space="preserve">DOIs?</w:t>
            </w:r>
          </w:p>
        </w:tc>
        <w:tc>
          <w:tcPr/>
          <w:p>
            <w:pPr>
              <w:pStyle w:val="Compact"/>
            </w:pPr>
            <w:r>
              <w:t xml:space="preserve">PubMed Indexed?</w:t>
            </w:r>
          </w:p>
        </w:tc>
      </w:tr>
      <w:tr>
        <w:tc>
          <w:tcPr/>
          <w:p>
            <w:pPr>
              <w:pStyle w:val="Compact"/>
            </w:pPr>
            <w:r>
              <w:t xml:space="preserve">2023</w:t>
            </w:r>
          </w:p>
        </w:tc>
        <w:tc>
          <w:tcPr/>
          <w:p>
            <w:pPr>
              <w:pStyle w:val="Compact"/>
            </w:pPr>
            <w:r>
              <w:t xml:space="preserve">11th</w:t>
            </w:r>
          </w:p>
        </w:tc>
        <w:tc>
          <w:tcPr/>
          <w:p>
            <w:pPr>
              <w:pStyle w:val="Compact"/>
            </w:pPr>
            <w:hyperlink r:id="rId121">
              <w:r>
                <w:rPr>
                  <w:rStyle w:val="Hyperlink"/>
                </w:rPr>
                <w:t xml:space="preserve">https://sasgog.org/2023-abstracts/</w:t>
              </w:r>
            </w:hyperlink>
          </w:p>
        </w:tc>
        <w:tc>
          <w:tcPr/>
          <w:p>
            <w:pPr>
              <w:pStyle w:val="Compact"/>
            </w:pPr>
            <w:r>
              <w:t xml:space="preserve">No</w:t>
            </w:r>
          </w:p>
        </w:tc>
        <w:tc>
          <w:tcPr/>
          <w:p>
            <w:pPr>
              <w:pStyle w:val="Compact"/>
            </w:pPr>
            <w:r>
              <w:t xml:space="preserve">No</w:t>
            </w:r>
          </w:p>
        </w:tc>
      </w:tr>
      <w:tr>
        <w:tc>
          <w:tcPr/>
          <w:p>
            <w:pPr>
              <w:pStyle w:val="Compact"/>
            </w:pPr>
            <w:r>
              <w:t xml:space="preserve">2022</w:t>
            </w:r>
          </w:p>
        </w:tc>
        <w:tc>
          <w:tcPr/>
          <w:p>
            <w:pPr>
              <w:pStyle w:val="Compact"/>
            </w:pPr>
            <w:r>
              <w:t xml:space="preserve">10th</w:t>
            </w:r>
          </w:p>
        </w:tc>
        <w:tc>
          <w:tcPr/>
          <w:p>
            <w:pPr>
              <w:pStyle w:val="Compact"/>
            </w:pPr>
            <w:hyperlink r:id="rId122">
              <w:r>
                <w:rPr>
                  <w:rStyle w:val="Hyperlink"/>
                </w:rPr>
                <w:t xml:space="preserve">https://sasgog.org/2022-abstracts/</w:t>
              </w:r>
            </w:hyperlink>
          </w:p>
        </w:tc>
        <w:tc>
          <w:tcPr/>
          <w:p>
            <w:pPr>
              <w:pStyle w:val="Compact"/>
            </w:pPr>
            <w:r>
              <w:t xml:space="preserve">No</w:t>
            </w:r>
          </w:p>
        </w:tc>
        <w:tc>
          <w:tcPr/>
          <w:p>
            <w:pPr>
              <w:pStyle w:val="Compact"/>
            </w:pPr>
            <w:r>
              <w:t xml:space="preserve">No</w:t>
            </w:r>
          </w:p>
        </w:tc>
      </w:tr>
      <w:tr>
        <w:tc>
          <w:tcPr/>
          <w:p>
            <w:pPr>
              <w:pStyle w:val="Compact"/>
            </w:pPr>
            <w:r>
              <w:t xml:space="preserve">2021</w:t>
            </w:r>
          </w:p>
        </w:tc>
        <w:tc>
          <w:tcPr/>
          <w:p>
            <w:pPr>
              <w:pStyle w:val="Compact"/>
            </w:pPr>
            <w:r>
              <w:t xml:space="preserve">9th (Virtual)</w:t>
            </w:r>
          </w:p>
        </w:tc>
        <w:tc>
          <w:tcPr/>
          <w:p>
            <w:pPr>
              <w:pStyle w:val="Compact"/>
            </w:pPr>
            <w:hyperlink r:id="rId123">
              <w:r>
                <w:rPr>
                  <w:rStyle w:val="Hyperlink"/>
                </w:rPr>
                <w:t xml:space="preserve">https://sasgog.org/2021-abstracts/</w:t>
              </w:r>
            </w:hyperlink>
          </w:p>
        </w:tc>
        <w:tc>
          <w:tcPr/>
          <w:p>
            <w:pPr>
              <w:pStyle w:val="Compact"/>
            </w:pPr>
            <w:r>
              <w:t xml:space="preserve">No</w:t>
            </w:r>
          </w:p>
        </w:tc>
        <w:tc>
          <w:tcPr/>
          <w:p>
            <w:pPr>
              <w:pStyle w:val="Compact"/>
            </w:pPr>
            <w:r>
              <w:t xml:space="preserve">No</w:t>
            </w:r>
          </w:p>
        </w:tc>
      </w:tr>
      <w:tr>
        <w:tc>
          <w:tcPr/>
          <w:p>
            <w:pPr>
              <w:pStyle w:val="Compact"/>
            </w:pPr>
            <w:r>
              <w:t xml:space="preserve">2020</w:t>
            </w:r>
          </w:p>
        </w:tc>
        <w:tc>
          <w:tcPr/>
          <w:p>
            <w:pPr>
              <w:pStyle w:val="Compact"/>
            </w:pPr>
            <w:r>
              <w:t xml:space="preserve">8th (Virtual)</w:t>
            </w:r>
          </w:p>
        </w:tc>
        <w:tc>
          <w:tcPr/>
          <w:p>
            <w:pPr>
              <w:pStyle w:val="Compact"/>
            </w:pPr>
            <w:hyperlink r:id="rId124">
              <w:r>
                <w:rPr>
                  <w:rStyle w:val="Hyperlink"/>
                </w:rPr>
                <w:t xml:space="preserve">https://sasgog.org/2020-abstracts/</w:t>
              </w:r>
            </w:hyperlink>
          </w:p>
        </w:tc>
        <w:tc>
          <w:tcPr/>
          <w:p>
            <w:pPr>
              <w:pStyle w:val="Compact"/>
            </w:pPr>
            <w:r>
              <w:t xml:space="preserve">No</w:t>
            </w:r>
          </w:p>
        </w:tc>
        <w:tc>
          <w:tcPr/>
          <w:p>
            <w:pPr>
              <w:pStyle w:val="Compact"/>
            </w:pPr>
            <w:r>
              <w:t xml:space="preserve">No</w:t>
            </w:r>
          </w:p>
        </w:tc>
      </w:tr>
      <w:tr>
        <w:tc>
          <w:tcPr/>
          <w:p>
            <w:pPr>
              <w:pStyle w:val="Compact"/>
            </w:pPr>
            <w:r>
              <w:t xml:space="preserve">2019</w:t>
            </w:r>
          </w:p>
        </w:tc>
        <w:tc>
          <w:tcPr/>
          <w:p>
            <w:pPr>
              <w:pStyle w:val="Compact"/>
            </w:pPr>
            <w:r>
              <w:t xml:space="preserve">7th</w:t>
            </w:r>
          </w:p>
        </w:tc>
        <w:tc>
          <w:tcPr/>
          <w:p>
            <w:pPr>
              <w:pStyle w:val="Compact"/>
            </w:pPr>
            <w:hyperlink r:id="rId125">
              <w:r>
                <w:rPr>
                  <w:rStyle w:val="Hyperlink"/>
                </w:rPr>
                <w:t xml:space="preserve">https://sasgog.org/2019-abstracts/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2018</w:t>
            </w:r>
          </w:p>
        </w:tc>
        <w:tc>
          <w:tcPr/>
          <w:p>
            <w:pPr>
              <w:pStyle w:val="Compact"/>
            </w:pPr>
            <w:r>
              <w:t xml:space="preserve">6th</w:t>
            </w:r>
          </w:p>
        </w:tc>
        <w:tc>
          <w:tcPr/>
          <w:p>
            <w:pPr>
              <w:pStyle w:val="Compact"/>
            </w:pPr>
            <w:hyperlink r:id="rId126">
              <w:r>
                <w:rPr>
                  <w:rStyle w:val="Hyperlink"/>
                </w:rPr>
                <w:t xml:space="preserve">https://sasgog.org/2018-abstracts/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2017</w:t>
            </w:r>
          </w:p>
        </w:tc>
        <w:tc>
          <w:tcPr/>
          <w:p>
            <w:pPr>
              <w:pStyle w:val="Compact"/>
            </w:pPr>
            <w:r>
              <w:t xml:space="preserve">5th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2016</w:t>
            </w:r>
          </w:p>
        </w:tc>
        <w:tc>
          <w:tcPr/>
          <w:p>
            <w:pPr>
              <w:pStyle w:val="Compact"/>
            </w:pPr>
            <w:r>
              <w:t xml:space="preserve">4th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2015</w:t>
            </w:r>
          </w:p>
        </w:tc>
        <w:tc>
          <w:tcPr/>
          <w:p>
            <w:pPr>
              <w:pStyle w:val="Compact"/>
            </w:pPr>
            <w:r>
              <w:t xml:space="preserve">3rd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2014</w:t>
            </w:r>
          </w:p>
        </w:tc>
        <w:tc>
          <w:tcPr/>
          <w:p>
            <w:pPr>
              <w:pStyle w:val="Compact"/>
            </w:pPr>
            <w:r>
              <w:t xml:space="preserve">2nd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2013</w:t>
            </w:r>
          </w:p>
        </w:tc>
        <w:tc>
          <w:tcPr/>
          <w:p>
            <w:pPr>
              <w:pStyle w:val="Compact"/>
            </w:pPr>
            <w:r>
              <w:t xml:space="preserve">1st</w:t>
            </w:r>
          </w:p>
        </w:tc>
        <w:tc>
          <w:tcPr/>
          <w:p>
            <w:pPr>
              <w:pStyle w:val="Compact"/>
            </w:pPr>
            <w:r>
              <w:t xml:space="preserve">May not exist (society founded 2012)</w:t>
            </w:r>
          </w:p>
        </w:tc>
        <w:tc>
          <w:tcPr/>
          <w:p>
            <w:pPr>
              <w:pStyle w:val="Compact"/>
            </w:pPr>
            <w:r>
              <w:t xml:space="preserve">No</w:t>
            </w:r>
          </w:p>
        </w:tc>
        <w:tc>
          <w:tcPr/>
          <w:p>
            <w:pPr>
              <w:pStyle w:val="Compact"/>
            </w:pPr>
            <w:r>
              <w:t xml:space="preserve">No</w:t>
            </w:r>
          </w:p>
        </w:tc>
      </w:tr>
    </w:tbl>
    <w:p>
      <w:pPr>
        <w:pStyle w:val="BodyText"/>
      </w:pPr>
      <w:r>
        <w:rPr>
          <w:i/>
          <w:iCs/>
        </w:rPr>
        <w:t xml:space="preserve">Sources:</w:t>
      </w:r>
      <w:r>
        <w:rPr>
          <w:i/>
          <w:iCs/>
        </w:rPr>
        <w:t xml:space="preserve"> </w:t>
      </w:r>
      <w:hyperlink r:id="rId127">
        <w:r>
          <w:rPr>
            <w:rStyle w:val="Hyperlink"/>
            <w:i/>
            <w:iCs/>
          </w:rPr>
          <w:t xml:space="preserve">https://sasgog.org/abstracts/</w:t>
        </w:r>
      </w:hyperlink>
      <w:r>
        <w:rPr>
          <w:i/>
          <w:iCs/>
        </w:rPr>
        <w:t xml:space="preserve">;</w:t>
      </w:r>
      <w:r>
        <w:rPr>
          <w:i/>
          <w:iCs/>
        </w:rPr>
        <w:t xml:space="preserve"> </w:t>
      </w:r>
      <w:hyperlink r:id="rId128">
        <w:r>
          <w:rPr>
            <w:rStyle w:val="Hyperlink"/>
            <w:i/>
            <w:iCs/>
          </w:rPr>
          <w:t xml:space="preserve">https://sasgog.org/about/</w:t>
        </w:r>
      </w:hyperlink>
      <w:r>
        <w:rPr>
          <w:i/>
          <w:iCs/>
        </w:rPr>
        <w:t xml:space="preserve">;</w:t>
      </w:r>
      <w:r>
        <w:rPr>
          <w:i/>
          <w:iCs/>
        </w:rPr>
        <w:t xml:space="preserve"> </w:t>
      </w:r>
      <w:hyperlink r:id="rId129">
        <w:r>
          <w:rPr>
            <w:rStyle w:val="Hyperlink"/>
            <w:i/>
            <w:iCs/>
          </w:rPr>
          <w:t xml:space="preserve">https://sasgog.org/annual-meeting/</w:t>
        </w:r>
      </w:hyperlink>
    </w:p>
    <w:p>
      <w:r>
        <w:pict>
          <v:rect style="width:0;height:1.5pt" o:hralign="center" o:hrstd="t" o:hr="t"/>
        </w:pict>
      </w:r>
    </w:p>
    <w:bookmarkEnd w:id="130"/>
    <w:bookmarkStart w:id="131" w:name="X7b18389947ade32de4525295c441a70d797cd2a"/>
    <w:p>
      <w:pPr>
        <w:pStyle w:val="Heading3"/>
      </w:pPr>
      <w:r>
        <w:t xml:space="preserve">A11.16 Complete Society Comparison — Abstract Accessibility and Pipeline Feasibility</w:t>
      </w:r>
    </w:p>
    <w:p>
      <w:pPr>
        <w:pStyle w:val="FirstParagraph"/>
      </w:pPr>
      <w:r>
        <w:t xml:space="preserve">The table below summarizes all seven societies assessed for pipeline expansion, ranked by pipeline feasibility.</w:t>
      </w:r>
    </w:p>
    <w:tbl>
      <w:tblPr>
        <w:tblStyle w:val="Table"/>
        <w:tblW w:type="pct" w:w="5000"/>
        <w:tblLayout w:type="fixed"/>
        <w:tblLook w:firstRow="1" w:lastRow="0" w:firstColumn="0" w:lastColumn="0" w:noHBand="0" w:noVBand="0" w:val="0020"/>
      </w:tblPr>
      <w:tblGrid>
        <w:gridCol w:w="619"/>
        <w:gridCol w:w="619"/>
        <w:gridCol w:w="688"/>
        <w:gridCol w:w="1101"/>
        <w:gridCol w:w="1101"/>
        <w:gridCol w:w="1033"/>
        <w:gridCol w:w="1308"/>
        <w:gridCol w:w="1446"/>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Pipeline 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Feasibility criteria:</w:t>
      </w:r>
      <w:r>
        <w:t xml:space="preserve"> </w:t>
      </w:r>
      <w:r>
        <w:t xml:space="preserve">High = individual DOIs + Elsevier/ScienceDirect + no auth; Medium = collection-level DOIs or non-Elsevier platform requiring new scraper; Low = no journal publication, no DOIs, no PubMed indexing.</w:t>
      </w:r>
    </w:p>
    <w:bookmarkEnd w:id="131"/>
    <w:bookmarkStart w:id="132" w:name="X61b833992d9025087d2a690a5fd5e57ff4747fa"/>
    <w:p>
      <w:pPr>
        <w:pStyle w:val="Heading3"/>
      </w:pPr>
      <w:r>
        <w:t xml:space="preserve">A11.17 SGO Annual Meeting Abstracts (2013–2023)</w:t>
      </w:r>
    </w:p>
    <w:p>
      <w:pPr>
        <w:pStyle w:val="FirstParagraph"/>
      </w:pPr>
      <w:r>
        <w:t xml:space="preserve">SGO (Society of Gynecologic Oncology) annual meeting abstracts are published as supplement issues of</w:t>
      </w:r>
      <w:r>
        <w:t xml:space="preserve"> </w:t>
      </w:r>
      <w:r>
        <w:rPr>
          <w:i/>
          <w:iCs/>
        </w:rPr>
        <w:t xml:space="preserve">Gynecologic Oncology</w:t>
      </w:r>
      <w:r>
        <w:t xml:space="preserve"> </w:t>
      </w:r>
      <w:r>
        <w:t xml:space="preserve">(ISSN 0090-8258, Elsevier/ScienceDirect). Every abstract receives a unique DOI — guaranteed by CrossRef registration enforcement, Elsevier’s PII system (algorithmically unique within the journal namespace), and sequential article numbering (monotonically increasing NNN counter per calendar month). Individual abstract DOIs resolve publicly via</w:t>
      </w:r>
      <w:r>
        <w:t xml:space="preserve"> </w:t>
      </w:r>
      <w:r>
        <w:rPr>
          <w:rStyle w:val="VerbatimChar"/>
        </w:rPr>
        <w:t xml:space="preserve">https://doi.org/10.1016/j.ygyno.YYYY.MM.NNN</w:t>
      </w:r>
      <w:r>
        <w:t xml:space="preserve">; full supplement browsing requires institutional ScienceDirect access.</w:t>
      </w:r>
    </w:p>
    <w:p>
      <w:pPr>
        <w:pStyle w:val="BodyText"/>
      </w:pPr>
      <w:r>
        <w:rPr>
          <w:b/>
          <w:bCs/>
        </w:rPr>
        <w:t xml:space="preserve">2013 note:</w:t>
      </w:r>
      <w:r>
        <w:t xml:space="preserve"> </w:t>
      </w:r>
      <w:r>
        <w:t xml:space="preserve">No dedicated SGO abstract supplement exists for 2013. Volume 129 Suppl S1 is an unrelated genomics supplement. The closest published record is a</w:t>
      </w:r>
      <w:r>
        <w:t xml:space="preserve"> </w:t>
      </w:r>
      <w:r>
        <w:t xml:space="preserve">“Summary of the 44th Annual Meeting on Women’s Cancers”</w:t>
      </w:r>
      <w:r>
        <w:t xml:space="preserve"> </w:t>
      </w:r>
      <w:r>
        <w:t xml:space="preserve">(DOI 10.1016/j.ygyno.2013.03.028, Vol 129 Issue 2). Dedicated SGO supplement issues began consistently in 2014.</w:t>
      </w:r>
    </w:p>
    <w:p>
      <w:pPr>
        <w:pStyle w:val="BodyText"/>
      </w:pPr>
      <w:r>
        <w:rPr>
          <w:b/>
          <w:bCs/>
        </w:rPr>
        <w:t xml:space="preserve">2020 note:</w:t>
      </w:r>
      <w:r>
        <w:t xml:space="preserve"> </w:t>
      </w:r>
      <w:r>
        <w:t xml:space="preserve">The in-person meeting was cancelled due to COVID-19 — SGO’s first cancellation in history. All 757 selected abstracts (49 plenary + 59 featured poster + 635 poster + 14 late-breaking) were still published in the October 2020 supplement, and SGO held free webinars to present the science.</w:t>
      </w:r>
    </w:p>
    <w:tbl>
      <w:tblPr>
        <w:tblStyle w:val="Table"/>
        <w:tblW w:type="pct" w:w="5000"/>
        <w:tblLayout w:type="fixed"/>
        <w:tblLook w:firstRow="1" w:lastRow="0" w:firstColumn="0" w:lastColumn="0" w:noHBand="0" w:noVBand="0" w:val="0020"/>
      </w:tblPr>
      <w:tblGrid>
        <w:gridCol w:w="617"/>
        <w:gridCol w:w="1234"/>
        <w:gridCol w:w="822"/>
        <w:gridCol w:w="1954"/>
        <w:gridCol w:w="1337"/>
        <w:gridCol w:w="1954"/>
      </w:tblGrid>
      <w:tr>
        <w:trPr>
          <w:tblHeader w:val="on"/>
        </w:trPr>
        <w:tc>
          <w:tcPr/>
          <w:p>
            <w:pPr>
              <w:pStyle w:val="Compact"/>
            </w:pPr>
            <w:r>
              <w:t xml:space="preserve">Year</w:t>
            </w:r>
          </w:p>
        </w:tc>
        <w:tc>
          <w:tcPr/>
          <w:p>
            <w:pPr>
              <w:pStyle w:val="Compact"/>
            </w:pPr>
            <w:r>
              <w:t xml:space="preserve">SGO Meeting</w:t>
            </w:r>
          </w:p>
        </w:tc>
        <w:tc>
          <w:tcPr/>
          <w:p>
            <w:pPr>
              <w:pStyle w:val="Compact"/>
            </w:pPr>
            <w:r>
              <w:t xml:space="preserve">Volume</w:t>
            </w:r>
          </w:p>
        </w:tc>
        <w:tc>
          <w:tcPr/>
          <w:p>
            <w:pPr>
              <w:pStyle w:val="Compact"/>
            </w:pPr>
            <w:r>
              <w:t xml:space="preserve">ScienceDirect URL</w:t>
            </w:r>
          </w:p>
        </w:tc>
        <w:tc>
          <w:tcPr/>
          <w:p>
            <w:pPr>
              <w:pStyle w:val="Compact"/>
            </w:pPr>
            <w:r>
              <w:t xml:space="preserve">DOI Pattern</w:t>
            </w:r>
          </w:p>
        </w:tc>
        <w:tc>
          <w:tcPr/>
          <w:p>
            <w:pPr>
              <w:pStyle w:val="Compact"/>
            </w:pPr>
            <w:r>
              <w:t xml:space="preserve">Approx. Abstracts</w:t>
            </w:r>
          </w:p>
        </w:tc>
      </w:tr>
      <w:tr>
        <w:tc>
          <w:tcPr/>
          <w:p>
            <w:pPr>
              <w:pStyle w:val="Compact"/>
            </w:pPr>
            <w:r>
              <w:t xml:space="preserve">2023</w:t>
            </w:r>
          </w:p>
        </w:tc>
        <w:tc>
          <w:tcPr/>
          <w:p>
            <w:pPr>
              <w:pStyle w:val="Compact"/>
            </w:pPr>
            <w:r>
              <w:t xml:space="preserve">54th Annual</w:t>
            </w:r>
          </w:p>
        </w:tc>
        <w:tc>
          <w:tcPr/>
          <w:p>
            <w:pPr>
              <w:pStyle w:val="Compact"/>
            </w:pPr>
            <w:r>
              <w:t xml:space="preserve">176, Suppl S1</w:t>
            </w:r>
          </w:p>
        </w:tc>
        <w:tc>
          <w:tcPr/>
          <w:p>
            <w:pPr>
              <w:pStyle w:val="Compact"/>
            </w:pPr>
            <w:r>
              <w:t xml:space="preserve">sciencedirect.com/…/vol/176/suppl/S1</w:t>
            </w:r>
          </w:p>
        </w:tc>
        <w:tc>
          <w:tcPr/>
          <w:p>
            <w:pPr>
              <w:pStyle w:val="Compact"/>
            </w:pPr>
            <w:r>
              <w:t xml:space="preserve">10.1016/j.ygyno.2023.06.NNN</w:t>
            </w:r>
          </w:p>
        </w:tc>
        <w:tc>
          <w:tcPr/>
          <w:p>
            <w:pPr>
              <w:pStyle w:val="Compact"/>
            </w:pPr>
            <w:r>
              <w:t xml:space="preserve">~600</w:t>
            </w:r>
          </w:p>
        </w:tc>
      </w:tr>
      <w:tr>
        <w:tc>
          <w:tcPr/>
          <w:p>
            <w:pPr>
              <w:pStyle w:val="Compact"/>
            </w:pPr>
            <w:r>
              <w:t xml:space="preserve">2022</w:t>
            </w:r>
          </w:p>
        </w:tc>
        <w:tc>
          <w:tcPr/>
          <w:p>
            <w:pPr>
              <w:pStyle w:val="Compact"/>
            </w:pPr>
            <w:r>
              <w:t xml:space="preserve">53rd Annual (Phoenix, AZ, Mar 18–21)</w:t>
            </w:r>
          </w:p>
        </w:tc>
        <w:tc>
          <w:tcPr/>
          <w:p>
            <w:pPr>
              <w:pStyle w:val="Compact"/>
            </w:pPr>
            <w:r>
              <w:t xml:space="preserve">166, Suppl S1</w:t>
            </w:r>
          </w:p>
        </w:tc>
        <w:tc>
          <w:tcPr/>
          <w:p>
            <w:pPr>
              <w:pStyle w:val="Compact"/>
            </w:pPr>
            <w:r>
              <w:t xml:space="preserve">sciencedirect.com/…/vol/166/suppl/S1</w:t>
            </w:r>
          </w:p>
        </w:tc>
        <w:tc>
          <w:tcPr/>
          <w:p>
            <w:pPr>
              <w:pStyle w:val="Compact"/>
            </w:pPr>
            <w:r>
              <w:t xml:space="preserve">10.1016/S0090-8258(22)XXXXX-X</w:t>
            </w:r>
          </w:p>
        </w:tc>
        <w:tc>
          <w:tcPr/>
          <w:p>
            <w:pPr>
              <w:pStyle w:val="Compact"/>
            </w:pPr>
            <w:r>
              <w:t xml:space="preserve">~580</w:t>
            </w:r>
          </w:p>
        </w:tc>
      </w:tr>
      <w:tr>
        <w:tc>
          <w:tcPr/>
          <w:p>
            <w:pPr>
              <w:pStyle w:val="Compact"/>
            </w:pPr>
            <w:r>
              <w:t xml:space="preserve">2021</w:t>
            </w:r>
          </w:p>
        </w:tc>
        <w:tc>
          <w:tcPr/>
          <w:p>
            <w:pPr>
              <w:pStyle w:val="Compact"/>
            </w:pPr>
            <w:r>
              <w:t xml:space="preserve">52nd Annual</w:t>
            </w:r>
          </w:p>
        </w:tc>
        <w:tc>
          <w:tcPr/>
          <w:p>
            <w:pPr>
              <w:pStyle w:val="Compact"/>
            </w:pPr>
            <w:r>
              <w:t xml:space="preserve">162, Suppl S1</w:t>
            </w:r>
          </w:p>
        </w:tc>
        <w:tc>
          <w:tcPr/>
          <w:p>
            <w:pPr>
              <w:pStyle w:val="Compact"/>
            </w:pPr>
            <w:r>
              <w:t xml:space="preserve">sciencedirect.com/…/vol/162/suppl/S1</w:t>
            </w:r>
          </w:p>
        </w:tc>
        <w:tc>
          <w:tcPr/>
          <w:p>
            <w:pPr>
              <w:pStyle w:val="Compact"/>
            </w:pPr>
            <w:r>
              <w:t xml:space="preserve">10.1016/S0090-8258(21)XXXXX-X</w:t>
            </w:r>
          </w:p>
        </w:tc>
        <w:tc>
          <w:tcPr/>
          <w:p>
            <w:pPr>
              <w:pStyle w:val="Compact"/>
            </w:pPr>
            <w:r>
              <w:t xml:space="preserve">~700</w:t>
            </w:r>
          </w:p>
        </w:tc>
      </w:tr>
      <w:tr>
        <w:tc>
          <w:tcPr/>
          <w:p>
            <w:pPr>
              <w:pStyle w:val="Compact"/>
            </w:pPr>
            <w:r>
              <w:t xml:space="preserve">2020</w:t>
            </w:r>
          </w:p>
        </w:tc>
        <w:tc>
          <w:tcPr/>
          <w:p>
            <w:pPr>
              <w:pStyle w:val="Compact"/>
            </w:pPr>
            <w:r>
              <w:t xml:space="preserve">51st Annual (cancelled — COVID-19)</w:t>
            </w:r>
          </w:p>
        </w:tc>
        <w:tc>
          <w:tcPr/>
          <w:p>
            <w:pPr>
              <w:pStyle w:val="Compact"/>
            </w:pPr>
            <w:r>
              <w:t xml:space="preserve">159, Suppl S1</w:t>
            </w:r>
          </w:p>
        </w:tc>
        <w:tc>
          <w:tcPr/>
          <w:p>
            <w:pPr>
              <w:pStyle w:val="Compact"/>
            </w:pPr>
            <w:r>
              <w:t xml:space="preserve">sciencedirect.com/…/vol/159/suppl/S1</w:t>
            </w:r>
          </w:p>
        </w:tc>
        <w:tc>
          <w:tcPr/>
          <w:p>
            <w:pPr>
              <w:pStyle w:val="Compact"/>
            </w:pPr>
            <w:r>
              <w:t xml:space="preserve">10.1016/j.ygyno.2020.06.NNN</w:t>
            </w:r>
          </w:p>
        </w:tc>
        <w:tc>
          <w:tcPr/>
          <w:p>
            <w:pPr>
              <w:pStyle w:val="Compact"/>
            </w:pPr>
            <w:r>
              <w:t xml:space="preserve">757</w:t>
            </w:r>
          </w:p>
        </w:tc>
      </w:tr>
      <w:tr>
        <w:tc>
          <w:tcPr/>
          <w:p>
            <w:pPr>
              <w:pStyle w:val="Compact"/>
            </w:pPr>
            <w:r>
              <w:t xml:space="preserve">2019</w:t>
            </w:r>
          </w:p>
        </w:tc>
        <w:tc>
          <w:tcPr/>
          <w:p>
            <w:pPr>
              <w:pStyle w:val="Compact"/>
            </w:pPr>
            <w:r>
              <w:t xml:space="preserve">50th Annual (Honolulu, HI, Mar 16–19)</w:t>
            </w:r>
          </w:p>
        </w:tc>
        <w:tc>
          <w:tcPr/>
          <w:p>
            <w:pPr>
              <w:pStyle w:val="Compact"/>
            </w:pPr>
            <w:r>
              <w:t xml:space="preserve">154, Suppl S1</w:t>
            </w:r>
          </w:p>
        </w:tc>
        <w:tc>
          <w:tcPr/>
          <w:p>
            <w:pPr>
              <w:pStyle w:val="Compact"/>
            </w:pPr>
            <w:r>
              <w:t xml:space="preserve">sciencedirect.com/…/vol/154/suppl/S1</w:t>
            </w:r>
          </w:p>
        </w:tc>
        <w:tc>
          <w:tcPr/>
          <w:p>
            <w:pPr>
              <w:pStyle w:val="Compact"/>
            </w:pPr>
            <w:r>
              <w:t xml:space="preserve">10.1016/j.ygyno.2019.04.NNN</w:t>
            </w:r>
          </w:p>
        </w:tc>
        <w:tc>
          <w:tcPr/>
          <w:p>
            <w:pPr>
              <w:pStyle w:val="Compact"/>
            </w:pPr>
            <w:r>
              <w:t xml:space="preserve">~500</w:t>
            </w:r>
          </w:p>
        </w:tc>
      </w:tr>
      <w:tr>
        <w:tc>
          <w:tcPr/>
          <w:p>
            <w:pPr>
              <w:pStyle w:val="Compact"/>
            </w:pPr>
            <w:r>
              <w:t xml:space="preserve">2018</w:t>
            </w:r>
          </w:p>
        </w:tc>
        <w:tc>
          <w:tcPr/>
          <w:p>
            <w:pPr>
              <w:pStyle w:val="Compact"/>
            </w:pPr>
            <w:r>
              <w:t xml:space="preserve">49th Annual (New Orleans, LA, Mar 24–27)</w:t>
            </w:r>
          </w:p>
        </w:tc>
        <w:tc>
          <w:tcPr/>
          <w:p>
            <w:pPr>
              <w:pStyle w:val="Compact"/>
            </w:pPr>
            <w:r>
              <w:t xml:space="preserve">149, Suppl S1</w:t>
            </w:r>
          </w:p>
        </w:tc>
        <w:tc>
          <w:tcPr/>
          <w:p>
            <w:pPr>
              <w:pStyle w:val="Compact"/>
            </w:pPr>
            <w:r>
              <w:t xml:space="preserve">sciencedirect.com/…/vol/149/suppl/S1</w:t>
            </w:r>
          </w:p>
        </w:tc>
        <w:tc>
          <w:tcPr/>
          <w:p>
            <w:pPr>
              <w:pStyle w:val="Compact"/>
            </w:pPr>
            <w:r>
              <w:t xml:space="preserve">10.1016/j.ygyno.2018.04.NNN</w:t>
            </w:r>
          </w:p>
        </w:tc>
        <w:tc>
          <w:tcPr/>
          <w:p>
            <w:pPr>
              <w:pStyle w:val="Compact"/>
            </w:pPr>
            <w:r>
              <w:t xml:space="preserve">~450</w:t>
            </w:r>
          </w:p>
        </w:tc>
      </w:tr>
      <w:tr>
        <w:tc>
          <w:tcPr/>
          <w:p>
            <w:pPr>
              <w:pStyle w:val="Compact"/>
            </w:pPr>
            <w:r>
              <w:t xml:space="preserve">2017</w:t>
            </w:r>
          </w:p>
        </w:tc>
        <w:tc>
          <w:tcPr/>
          <w:p>
            <w:pPr>
              <w:pStyle w:val="Compact"/>
            </w:pPr>
            <w:r>
              <w:t xml:space="preserve">48th Annual (National Harbor, MD, Mar 12–15)</w:t>
            </w:r>
          </w:p>
        </w:tc>
        <w:tc>
          <w:tcPr/>
          <w:p>
            <w:pPr>
              <w:pStyle w:val="Compact"/>
            </w:pPr>
            <w:r>
              <w:t xml:space="preserve">145, Suppl S1</w:t>
            </w:r>
          </w:p>
        </w:tc>
        <w:tc>
          <w:tcPr/>
          <w:p>
            <w:pPr>
              <w:pStyle w:val="Compact"/>
            </w:pPr>
            <w:r>
              <w:t xml:space="preserve">sciencedirect.com/…/vol/145/suppl/S1</w:t>
            </w:r>
          </w:p>
        </w:tc>
        <w:tc>
          <w:tcPr/>
          <w:p>
            <w:pPr>
              <w:pStyle w:val="Compact"/>
            </w:pPr>
            <w:r>
              <w:t xml:space="preserve">10.1016/j.ygyno.2017.03.NNN</w:t>
            </w:r>
          </w:p>
        </w:tc>
        <w:tc>
          <w:tcPr/>
          <w:p>
            <w:pPr>
              <w:pStyle w:val="Compact"/>
            </w:pPr>
            <w:r>
              <w:t xml:space="preserve">~500</w:t>
            </w:r>
          </w:p>
        </w:tc>
      </w:tr>
      <w:tr>
        <w:tc>
          <w:tcPr/>
          <w:p>
            <w:pPr>
              <w:pStyle w:val="Compact"/>
            </w:pPr>
            <w:r>
              <w:t xml:space="preserve">2016</w:t>
            </w:r>
          </w:p>
        </w:tc>
        <w:tc>
          <w:tcPr/>
          <w:p>
            <w:pPr>
              <w:pStyle w:val="Compact"/>
            </w:pPr>
            <w:r>
              <w:t xml:space="preserve">47th Annual (San Diego, CA, Mar 19–22)</w:t>
            </w:r>
          </w:p>
        </w:tc>
        <w:tc>
          <w:tcPr/>
          <w:p>
            <w:pPr>
              <w:pStyle w:val="Compact"/>
            </w:pPr>
            <w:r>
              <w:t xml:space="preserve">141, Suppl S1</w:t>
            </w:r>
          </w:p>
        </w:tc>
        <w:tc>
          <w:tcPr/>
          <w:p>
            <w:pPr>
              <w:pStyle w:val="Compact"/>
            </w:pPr>
            <w:r>
              <w:t xml:space="preserve">sciencedirect.com/…/vol/141/suppl/S1</w:t>
            </w:r>
          </w:p>
        </w:tc>
        <w:tc>
          <w:tcPr/>
          <w:p>
            <w:pPr>
              <w:pStyle w:val="Compact"/>
            </w:pPr>
            <w:r>
              <w:t xml:space="preserve">10.1016/j.ygyno.2016.04.NNN</w:t>
            </w:r>
          </w:p>
        </w:tc>
        <w:tc>
          <w:tcPr/>
          <w:p>
            <w:pPr>
              <w:pStyle w:val="Compact"/>
            </w:pPr>
            <w:r>
              <w:t xml:space="preserve">~600</w:t>
            </w:r>
          </w:p>
        </w:tc>
      </w:tr>
      <w:tr>
        <w:tc>
          <w:tcPr/>
          <w:p>
            <w:pPr>
              <w:pStyle w:val="Compact"/>
            </w:pPr>
            <w:r>
              <w:t xml:space="preserve">2015</w:t>
            </w:r>
          </w:p>
        </w:tc>
        <w:tc>
          <w:tcPr/>
          <w:p>
            <w:pPr>
              <w:pStyle w:val="Compact"/>
            </w:pPr>
            <w:r>
              <w:t xml:space="preserve">46th Annual (Chicago, IL, Mar 28–31)</w:t>
            </w:r>
          </w:p>
        </w:tc>
        <w:tc>
          <w:tcPr/>
          <w:p>
            <w:pPr>
              <w:pStyle w:val="Compact"/>
            </w:pPr>
            <w:r>
              <w:t xml:space="preserve">137, Suppl S1</w:t>
            </w:r>
          </w:p>
        </w:tc>
        <w:tc>
          <w:tcPr/>
          <w:p>
            <w:pPr>
              <w:pStyle w:val="Compact"/>
            </w:pPr>
            <w:r>
              <w:t xml:space="preserve">sciencedirect.com/…/vol/137/suppl/S1</w:t>
            </w:r>
          </w:p>
        </w:tc>
        <w:tc>
          <w:tcPr/>
          <w:p>
            <w:pPr>
              <w:pStyle w:val="Compact"/>
            </w:pPr>
            <w:r>
              <w:t xml:space="preserve">10.1016/j.ygyno.2015.01.NNN</w:t>
            </w:r>
          </w:p>
        </w:tc>
        <w:tc>
          <w:tcPr/>
          <w:p>
            <w:pPr>
              <w:pStyle w:val="Compact"/>
            </w:pPr>
            <w:r>
              <w:t xml:space="preserve">~600</w:t>
            </w:r>
          </w:p>
        </w:tc>
      </w:tr>
      <w:tr>
        <w:tc>
          <w:tcPr/>
          <w:p>
            <w:pPr>
              <w:pStyle w:val="Compact"/>
            </w:pPr>
            <w:r>
              <w:t xml:space="preserve">2014</w:t>
            </w:r>
          </w:p>
        </w:tc>
        <w:tc>
          <w:tcPr/>
          <w:p>
            <w:pPr>
              <w:pStyle w:val="Compact"/>
            </w:pPr>
            <w:r>
              <w:t xml:space="preserve">45th Annual</w:t>
            </w:r>
          </w:p>
        </w:tc>
        <w:tc>
          <w:tcPr/>
          <w:p>
            <w:pPr>
              <w:pStyle w:val="Compact"/>
            </w:pPr>
            <w:r>
              <w:t xml:space="preserve">133, Suppl S1</w:t>
            </w:r>
          </w:p>
        </w:tc>
        <w:tc>
          <w:tcPr/>
          <w:p>
            <w:pPr>
              <w:pStyle w:val="Compact"/>
            </w:pPr>
            <w:r>
              <w:t xml:space="preserve">sciencedirect.com/…/vol/133/suppl/S1</w:t>
            </w:r>
          </w:p>
        </w:tc>
        <w:tc>
          <w:tcPr/>
          <w:p>
            <w:pPr>
              <w:pStyle w:val="Compact"/>
            </w:pPr>
            <w:r>
              <w:t xml:space="preserve">10.1016/j.ygyno.2014.03.NNN</w:t>
            </w:r>
          </w:p>
        </w:tc>
        <w:tc>
          <w:tcPr/>
          <w:p>
            <w:pPr>
              <w:pStyle w:val="Compact"/>
            </w:pPr>
            <w:r>
              <w:t xml:space="preserve">~600</w:t>
            </w:r>
          </w:p>
        </w:tc>
      </w:tr>
      <w:tr>
        <w:tc>
          <w:tcPr/>
          <w:p>
            <w:pPr>
              <w:pStyle w:val="Compact"/>
            </w:pPr>
            <w:r>
              <w:t xml:space="preserve">2013</w:t>
            </w:r>
          </w:p>
        </w:tc>
        <w:tc>
          <w:tcPr/>
          <w:p>
            <w:pPr>
              <w:pStyle w:val="Compact"/>
            </w:pPr>
            <w:r>
              <w:t xml:space="preserve">44th Annual (Los Angeles, CA)</w:t>
            </w:r>
          </w:p>
        </w:tc>
        <w:tc>
          <w:tcPr/>
          <w:p>
            <w:pPr>
              <w:pStyle w:val="Compact"/>
            </w:pPr>
            <w:r>
              <w:t xml:space="preserve">129, Issue 2 (no Suppl S1)</w:t>
            </w:r>
          </w:p>
        </w:tc>
        <w:tc>
          <w:tcPr/>
          <w:p>
            <w:pPr>
              <w:pStyle w:val="Compact"/>
            </w:pPr>
            <w:r>
              <w:t xml:space="preserve">—</w:t>
            </w:r>
          </w:p>
        </w:tc>
        <w:tc>
          <w:tcPr/>
          <w:p>
            <w:pPr>
              <w:pStyle w:val="Compact"/>
            </w:pPr>
            <w:r>
              <w:t xml:space="preserve">10.1016/j.ygyno.2013.03.028 (meeting summary only)</w:t>
            </w:r>
          </w:p>
        </w:tc>
        <w:tc>
          <w:tcPr/>
          <w:p>
            <w:pPr>
              <w:pStyle w:val="Compact"/>
            </w:pPr>
            <w:r>
              <w:t xml:space="preserve">N/A</w:t>
            </w:r>
          </w:p>
        </w:tc>
      </w:tr>
    </w:tbl>
    <w:p>
      <w:pPr>
        <w:pStyle w:val="BodyText"/>
      </w:pPr>
      <w:r>
        <w:rPr>
          <w:i/>
          <w:iCs/>
        </w:rPr>
        <w:t xml:space="preserve">Sources: SGO Annual Meeting Abstracts; SGO 2023 Supplement (ScienceDirect); 51st Annual Meeting 2020 (PMC); gynecologiconcology-online.net</w:t>
      </w:r>
    </w:p>
    <w:p>
      <w:r>
        <w:pict>
          <v:rect style="width:0;height:1.5pt" o:hralign="center" o:hrstd="t" o:hr="t"/>
        </w:pict>
      </w:r>
    </w:p>
    <w:bookmarkEnd w:id="132"/>
    <w:bookmarkStart w:id="133" w:name="Xfcc83463072fc9a6dc445532149eed5af87964b"/>
    <w:p>
      <w:pPr>
        <w:pStyle w:val="Heading3"/>
      </w:pPr>
      <w:r>
        <w:t xml:space="preserve">A11.18 Updated Complete Society Comparison</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33"/>
    <w:bookmarkStart w:id="146" w:name="X337ca50627aeb481423609453cc33f0ff76e301"/>
    <w:p>
      <w:pPr>
        <w:pStyle w:val="Heading3"/>
      </w:pPr>
      <w:r>
        <w:t xml:space="preserve">A11.19 CREOG &amp; APGO Annual Meeting Abstracts (2013–2023)</w:t>
      </w:r>
    </w:p>
    <w:p>
      <w:pPr>
        <w:pStyle w:val="FirstParagraph"/>
      </w:pPr>
      <w:r>
        <w:t xml:space="preserve">CREOG &amp; APGO (Council on Resident Education in Obstetrics and Gynecology &amp; Association of Professors of Gynecology and Obstetrics) annual meeting abstracts have a two-phase publication history:</w:t>
      </w:r>
    </w:p>
    <w:p>
      <w:pPr>
        <w:pStyle w:val="Compact"/>
        <w:numPr>
          <w:ilvl w:val="0"/>
          <w:numId w:val="1009"/>
        </w:numPr>
      </w:pPr>
      <w:r>
        <w:rPr>
          <w:b/>
          <w:bCs/>
        </w:rPr>
        <w:t xml:space="preserve">2013–2014:</w:t>
      </w:r>
      <w:r>
        <w:t xml:space="preserve"> </w:t>
      </w:r>
      <w:r>
        <w:t xml:space="preserve">Published as a single proceedings article in</w:t>
      </w:r>
      <w:r>
        <w:t xml:space="preserve"> </w:t>
      </w:r>
      <w:r>
        <w:rPr>
          <w:i/>
          <w:iCs/>
        </w:rPr>
        <w:t xml:space="preserve">Teaching and Learning in Medicine</w:t>
      </w:r>
      <w:r>
        <w:t xml:space="preserve"> </w:t>
      </w:r>
      <w:r>
        <w:t xml:space="preserve">(Taylor &amp; Francis) — one DOI per year,</w:t>
      </w:r>
      <w:r>
        <w:t xml:space="preserve"> </w:t>
      </w:r>
      <w:r>
        <w:rPr>
          <w:b/>
          <w:bCs/>
        </w:rPr>
        <w:t xml:space="preserve">not</w:t>
      </w:r>
      <w:r>
        <w:t xml:space="preserve"> </w:t>
      </w:r>
      <w:r>
        <w:t xml:space="preserve">individual DOIs per abstract.</w:t>
      </w:r>
    </w:p>
    <w:p>
      <w:pPr>
        <w:pStyle w:val="Compact"/>
        <w:numPr>
          <w:ilvl w:val="0"/>
          <w:numId w:val="1009"/>
        </w:numPr>
      </w:pPr>
      <w:r>
        <w:rPr>
          <w:b/>
          <w:bCs/>
        </w:rPr>
        <w:t xml:space="preserve">2015–present:</w:t>
      </w:r>
      <w:r>
        <w:t xml:space="preserve"> </w:t>
      </w:r>
      <w:r>
        <w:t xml:space="preserve">Moved to</w:t>
      </w:r>
      <w:r>
        <w:t xml:space="preserve"> </w:t>
      </w:r>
      <w:r>
        <w:rPr>
          <w:i/>
          <w:iCs/>
        </w:rPr>
        <w:t xml:space="preserve">Obstetrics &amp; Gynecology</w:t>
      </w:r>
      <w:r>
        <w:t xml:space="preserve"> </w:t>
      </w:r>
      <w:r>
        <w:t xml:space="preserve">(the Green Journal, Wolters Kluwer/LWW) as an October Supplement (Issue 10001). Each abstract receives a unique DOI with the prefix</w:t>
      </w:r>
      <w:r>
        <w:t xml:space="preserve"> </w:t>
      </w:r>
      <w:r>
        <w:rPr>
          <w:rStyle w:val="VerbatimChar"/>
        </w:rPr>
        <w:t xml:space="preserve">10.1097/01.AOG.</w:t>
      </w:r>
      <w:r>
        <w:t xml:space="preserve"> </w:t>
      </w:r>
      <w:r>
        <w:t xml:space="preserve">followed by a unique hash per abstract (e.g.,</w:t>
      </w:r>
      <w:r>
        <w:t xml:space="preserve"> </w:t>
      </w:r>
      <w:r>
        <w:rPr>
          <w:rStyle w:val="VerbatimChar"/>
        </w:rPr>
        <w:t xml:space="preserve">10.1097/01.AOG.0000585640.43634.ce</w:t>
      </w:r>
      <w:r>
        <w:t xml:space="preserve">). Confirmed by spot-check.</w:t>
      </w:r>
    </w:p>
    <w:p>
      <w:pPr>
        <w:pStyle w:val="FirstParagraph"/>
      </w:pPr>
      <w:r>
        <w:t xml:space="preserve">Volume numbers increase by 2 per year (Vol 126 in 2015 → Vol 142 in 2023). Abstracts are also cataloged without DOIs at</w:t>
      </w:r>
      <w:r>
        <w:t xml:space="preserve"> </w:t>
      </w:r>
      <w:hyperlink r:id="rId134">
        <w:r>
          <w:rPr>
            <w:rStyle w:val="Hyperlink"/>
          </w:rPr>
          <w:t xml:space="preserve">https://tools.apgo.org/abstract-catalog/</w:t>
        </w:r>
      </w:hyperlink>
      <w:r>
        <w:t xml:space="preserve"> </w:t>
      </w:r>
      <w:r>
        <w:t xml:space="preserve">covering 2012–2025.</w:t>
      </w:r>
    </w:p>
    <w:p>
      <w:pPr>
        <w:pStyle w:val="BodyText"/>
      </w:pPr>
      <w:r>
        <w:rPr>
          <w:b/>
          <w:bCs/>
        </w:rPr>
        <w:t xml:space="preserve">Platform note:</w:t>
      </w:r>
      <w:r>
        <w:t xml:space="preserve"> </w:t>
      </w:r>
      <w:r>
        <w:t xml:space="preserve">The Green Journal is hosted on LWW (journals.lww.com), not ScienceDirect — the same platform as AUGS/Urogynecology. The LWW-specific scraper developed for AUGS would apply here as well.</w:t>
      </w:r>
    </w:p>
    <w:p>
      <w:pPr>
        <w:pStyle w:val="BodyText"/>
      </w:pPr>
      <w:r>
        <w:rPr>
          <w:b/>
          <w:bCs/>
        </w:rPr>
        <w:t xml:space="preserve">Published in Obstetrics &amp; Gynecology — October Supplements (2015–2023):</w:t>
      </w:r>
    </w:p>
    <w:tbl>
      <w:tblPr>
        <w:tblStyle w:val="Table"/>
        <w:tblW w:type="pct" w:w="5000"/>
        <w:tblLayout w:type="fixed"/>
        <w:tblLook w:firstRow="1" w:lastRow="0" w:firstColumn="0" w:lastColumn="0" w:noHBand="0" w:noVBand="0" w:val="0020"/>
      </w:tblPr>
      <w:tblGrid>
        <w:gridCol w:w="896"/>
        <w:gridCol w:w="1344"/>
        <w:gridCol w:w="1344"/>
        <w:gridCol w:w="1046"/>
        <w:gridCol w:w="1344"/>
        <w:gridCol w:w="1942"/>
      </w:tblGrid>
      <w:tr>
        <w:trPr>
          <w:tblHeader w:val="on"/>
        </w:trPr>
        <w:tc>
          <w:tcPr/>
          <w:p>
            <w:pPr>
              <w:pStyle w:val="Compact"/>
            </w:pPr>
            <w:r>
              <w:t xml:space="preserve">Year</w:t>
            </w:r>
          </w:p>
        </w:tc>
        <w:tc>
          <w:tcPr/>
          <w:p>
            <w:pPr>
              <w:pStyle w:val="Compact"/>
            </w:pPr>
            <w:r>
              <w:t xml:space="preserve">Meeting</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Pattern</w:t>
            </w:r>
          </w:p>
        </w:tc>
      </w:tr>
      <w:tr>
        <w:tc>
          <w:tcPr/>
          <w:p>
            <w:pPr>
              <w:pStyle w:val="Compact"/>
            </w:pPr>
            <w:r>
              <w:t xml:space="preserve">2023</w:t>
            </w:r>
          </w:p>
        </w:tc>
        <w:tc>
          <w:tcPr/>
          <w:p>
            <w:pPr>
              <w:pStyle w:val="Compact"/>
            </w:pPr>
            <w:r>
              <w:t xml:space="preserve">CREOG &amp; APGO</w:t>
            </w:r>
          </w:p>
        </w:tc>
        <w:tc>
          <w:tcPr/>
          <w:p>
            <w:pPr>
              <w:pStyle w:val="Compact"/>
            </w:pPr>
            <w:r>
              <w:t xml:space="preserve">142</w:t>
            </w:r>
          </w:p>
        </w:tc>
        <w:tc>
          <w:tcPr/>
          <w:p>
            <w:pPr>
              <w:pStyle w:val="Compact"/>
            </w:pPr>
            <w:r>
              <w:t xml:space="preserve">10001</w:t>
            </w:r>
          </w:p>
        </w:tc>
        <w:tc>
          <w:tcPr/>
          <w:p>
            <w:pPr>
              <w:pStyle w:val="Compact"/>
            </w:pPr>
            <w:hyperlink r:id="rId135">
              <w:r>
                <w:rPr>
                  <w:rStyle w:val="Hyperlink"/>
                </w:rPr>
                <w:t xml:space="preserve">https://journals.lww.com/greenjournal/toc/2023/10001</w:t>
              </w:r>
            </w:hyperlink>
          </w:p>
        </w:tc>
        <w:tc>
          <w:tcPr/>
          <w:p>
            <w:pPr>
              <w:pStyle w:val="Compact"/>
            </w:pPr>
            <w:r>
              <w:t xml:space="preserve">10.1097/01.AOG.xxx</w:t>
            </w:r>
          </w:p>
        </w:tc>
      </w:tr>
      <w:tr>
        <w:tc>
          <w:tcPr/>
          <w:p>
            <w:pPr>
              <w:pStyle w:val="Compact"/>
            </w:pPr>
            <w:r>
              <w:t xml:space="preserve">2022</w:t>
            </w:r>
          </w:p>
        </w:tc>
        <w:tc>
          <w:tcPr/>
          <w:p>
            <w:pPr>
              <w:pStyle w:val="Compact"/>
            </w:pPr>
            <w:r>
              <w:t xml:space="preserve">CREOG &amp; APGO</w:t>
            </w:r>
          </w:p>
        </w:tc>
        <w:tc>
          <w:tcPr/>
          <w:p>
            <w:pPr>
              <w:pStyle w:val="Compact"/>
            </w:pPr>
            <w:r>
              <w:t xml:space="preserve">140</w:t>
            </w:r>
          </w:p>
        </w:tc>
        <w:tc>
          <w:tcPr/>
          <w:p>
            <w:pPr>
              <w:pStyle w:val="Compact"/>
            </w:pPr>
            <w:r>
              <w:t xml:space="preserve">10001</w:t>
            </w:r>
          </w:p>
        </w:tc>
        <w:tc>
          <w:tcPr/>
          <w:p>
            <w:pPr>
              <w:pStyle w:val="Compact"/>
            </w:pPr>
            <w:hyperlink r:id="rId136">
              <w:r>
                <w:rPr>
                  <w:rStyle w:val="Hyperlink"/>
                </w:rPr>
                <w:t xml:space="preserve">https://journals.lww.com/greenjournal/toc/2022/10001</w:t>
              </w:r>
            </w:hyperlink>
          </w:p>
        </w:tc>
        <w:tc>
          <w:tcPr/>
          <w:p>
            <w:pPr>
              <w:pStyle w:val="Compact"/>
            </w:pPr>
            <w:r>
              <w:t xml:space="preserve">10.1097/01.AOG.xxx</w:t>
            </w:r>
          </w:p>
        </w:tc>
      </w:tr>
      <w:tr>
        <w:tc>
          <w:tcPr/>
          <w:p>
            <w:pPr>
              <w:pStyle w:val="Compact"/>
            </w:pPr>
            <w:r>
              <w:t xml:space="preserve">2021</w:t>
            </w:r>
          </w:p>
        </w:tc>
        <w:tc>
          <w:tcPr/>
          <w:p>
            <w:pPr>
              <w:pStyle w:val="Compact"/>
            </w:pPr>
            <w:r>
              <w:t xml:space="preserve">CREOG &amp; APGO</w:t>
            </w:r>
          </w:p>
        </w:tc>
        <w:tc>
          <w:tcPr/>
          <w:p>
            <w:pPr>
              <w:pStyle w:val="Compact"/>
            </w:pPr>
            <w:r>
              <w:t xml:space="preserve">138</w:t>
            </w:r>
          </w:p>
        </w:tc>
        <w:tc>
          <w:tcPr/>
          <w:p>
            <w:pPr>
              <w:pStyle w:val="Compact"/>
            </w:pPr>
            <w:r>
              <w:t xml:space="preserve">10001</w:t>
            </w:r>
          </w:p>
        </w:tc>
        <w:tc>
          <w:tcPr/>
          <w:p>
            <w:pPr>
              <w:pStyle w:val="Compact"/>
            </w:pPr>
            <w:hyperlink r:id="rId137">
              <w:r>
                <w:rPr>
                  <w:rStyle w:val="Hyperlink"/>
                </w:rPr>
                <w:t xml:space="preserve">https://journals.lww.com/greenjournal/toc/2021/10001</w:t>
              </w:r>
            </w:hyperlink>
          </w:p>
        </w:tc>
        <w:tc>
          <w:tcPr/>
          <w:p>
            <w:pPr>
              <w:pStyle w:val="Compact"/>
            </w:pPr>
            <w:r>
              <w:t xml:space="preserve">10.1097/01.AOG.xxx</w:t>
            </w:r>
          </w:p>
        </w:tc>
      </w:tr>
      <w:tr>
        <w:tc>
          <w:tcPr/>
          <w:p>
            <w:pPr>
              <w:pStyle w:val="Compact"/>
            </w:pPr>
            <w:r>
              <w:t xml:space="preserve">2020</w:t>
            </w:r>
          </w:p>
        </w:tc>
        <w:tc>
          <w:tcPr/>
          <w:p>
            <w:pPr>
              <w:pStyle w:val="Compact"/>
            </w:pPr>
            <w:r>
              <w:t xml:space="preserve">CREOG &amp; APGO (Orlando, FL)</w:t>
            </w:r>
          </w:p>
        </w:tc>
        <w:tc>
          <w:tcPr/>
          <w:p>
            <w:pPr>
              <w:pStyle w:val="Compact"/>
            </w:pPr>
            <w:r>
              <w:t xml:space="preserve">136</w:t>
            </w:r>
          </w:p>
        </w:tc>
        <w:tc>
          <w:tcPr/>
          <w:p>
            <w:pPr>
              <w:pStyle w:val="Compact"/>
            </w:pPr>
            <w:r>
              <w:t xml:space="preserve">10001</w:t>
            </w:r>
          </w:p>
        </w:tc>
        <w:tc>
          <w:tcPr/>
          <w:p>
            <w:pPr>
              <w:pStyle w:val="Compact"/>
            </w:pPr>
            <w:hyperlink r:id="rId138">
              <w:r>
                <w:rPr>
                  <w:rStyle w:val="Hyperlink"/>
                </w:rPr>
                <w:t xml:space="preserve">https://journals.lww.com/greenjournal/toc/2020/10001</w:t>
              </w:r>
            </w:hyperlink>
          </w:p>
        </w:tc>
        <w:tc>
          <w:tcPr/>
          <w:p>
            <w:pPr>
              <w:pStyle w:val="Compact"/>
            </w:pPr>
            <w:r>
              <w:t xml:space="preserve">10.1097/01.AOG.xxx</w:t>
            </w:r>
          </w:p>
        </w:tc>
      </w:tr>
      <w:tr>
        <w:tc>
          <w:tcPr/>
          <w:p>
            <w:pPr>
              <w:pStyle w:val="Compact"/>
            </w:pPr>
            <w:r>
              <w:t xml:space="preserve">2019</w:t>
            </w:r>
          </w:p>
        </w:tc>
        <w:tc>
          <w:tcPr/>
          <w:p>
            <w:pPr>
              <w:pStyle w:val="Compact"/>
            </w:pPr>
            <w:r>
              <w:t xml:space="preserve">CREOG &amp; APGO</w:t>
            </w:r>
          </w:p>
        </w:tc>
        <w:tc>
          <w:tcPr/>
          <w:p>
            <w:pPr>
              <w:pStyle w:val="Compact"/>
            </w:pPr>
            <w:r>
              <w:t xml:space="preserve">134</w:t>
            </w:r>
          </w:p>
        </w:tc>
        <w:tc>
          <w:tcPr/>
          <w:p>
            <w:pPr>
              <w:pStyle w:val="Compact"/>
            </w:pPr>
            <w:r>
              <w:t xml:space="preserve">10001</w:t>
            </w:r>
          </w:p>
        </w:tc>
        <w:tc>
          <w:tcPr/>
          <w:p>
            <w:pPr>
              <w:pStyle w:val="Compact"/>
            </w:pPr>
            <w:hyperlink r:id="rId139">
              <w:r>
                <w:rPr>
                  <w:rStyle w:val="Hyperlink"/>
                </w:rPr>
                <w:t xml:space="preserve">https://journals.lww.com/greenjournal/toc/2019/10001</w:t>
              </w:r>
            </w:hyperlink>
          </w:p>
        </w:tc>
        <w:tc>
          <w:tcPr/>
          <w:p>
            <w:pPr>
              <w:pStyle w:val="Compact"/>
            </w:pPr>
            <w:r>
              <w:t xml:space="preserve">10.1097/01.AOG.xxx</w:t>
            </w:r>
          </w:p>
        </w:tc>
      </w:tr>
      <w:tr>
        <w:tc>
          <w:tcPr/>
          <w:p>
            <w:pPr>
              <w:pStyle w:val="Compact"/>
            </w:pPr>
            <w:r>
              <w:t xml:space="preserve">2018</w:t>
            </w:r>
          </w:p>
        </w:tc>
        <w:tc>
          <w:tcPr/>
          <w:p>
            <w:pPr>
              <w:pStyle w:val="Compact"/>
            </w:pPr>
            <w:r>
              <w:t xml:space="preserve">CREOG &amp; APGO</w:t>
            </w:r>
          </w:p>
        </w:tc>
        <w:tc>
          <w:tcPr/>
          <w:p>
            <w:pPr>
              <w:pStyle w:val="Compact"/>
            </w:pPr>
            <w:r>
              <w:t xml:space="preserve">132</w:t>
            </w:r>
          </w:p>
        </w:tc>
        <w:tc>
          <w:tcPr/>
          <w:p>
            <w:pPr>
              <w:pStyle w:val="Compact"/>
            </w:pPr>
            <w:r>
              <w:t xml:space="preserve">10001</w:t>
            </w:r>
          </w:p>
        </w:tc>
        <w:tc>
          <w:tcPr/>
          <w:p>
            <w:pPr>
              <w:pStyle w:val="Compact"/>
            </w:pPr>
            <w:hyperlink r:id="rId140">
              <w:r>
                <w:rPr>
                  <w:rStyle w:val="Hyperlink"/>
                </w:rPr>
                <w:t xml:space="preserve">https://journals.lww.com/greenjournal/toc/2018/10001</w:t>
              </w:r>
            </w:hyperlink>
          </w:p>
        </w:tc>
        <w:tc>
          <w:tcPr/>
          <w:p>
            <w:pPr>
              <w:pStyle w:val="Compact"/>
            </w:pPr>
            <w:r>
              <w:t xml:space="preserve">10.1097/01.AOG.xxx</w:t>
            </w:r>
          </w:p>
        </w:tc>
      </w:tr>
      <w:tr>
        <w:tc>
          <w:tcPr/>
          <w:p>
            <w:pPr>
              <w:pStyle w:val="Compact"/>
            </w:pPr>
            <w:r>
              <w:t xml:space="preserve">2017</w:t>
            </w:r>
          </w:p>
        </w:tc>
        <w:tc>
          <w:tcPr/>
          <w:p>
            <w:pPr>
              <w:pStyle w:val="Compact"/>
            </w:pPr>
            <w:r>
              <w:t xml:space="preserve">CREOG &amp; APGO</w:t>
            </w:r>
          </w:p>
        </w:tc>
        <w:tc>
          <w:tcPr/>
          <w:p>
            <w:pPr>
              <w:pStyle w:val="Compact"/>
            </w:pPr>
            <w:r>
              <w:t xml:space="preserve">130</w:t>
            </w:r>
          </w:p>
        </w:tc>
        <w:tc>
          <w:tcPr/>
          <w:p>
            <w:pPr>
              <w:pStyle w:val="Compact"/>
            </w:pPr>
            <w:r>
              <w:t xml:space="preserve">10001</w:t>
            </w:r>
          </w:p>
        </w:tc>
        <w:tc>
          <w:tcPr/>
          <w:p>
            <w:pPr>
              <w:pStyle w:val="Compact"/>
            </w:pPr>
            <w:hyperlink r:id="rId141">
              <w:r>
                <w:rPr>
                  <w:rStyle w:val="Hyperlink"/>
                </w:rPr>
                <w:t xml:space="preserve">https://journals.lww.com/greenjournal/toc/2017/10001</w:t>
              </w:r>
            </w:hyperlink>
          </w:p>
        </w:tc>
        <w:tc>
          <w:tcPr/>
          <w:p>
            <w:pPr>
              <w:pStyle w:val="Compact"/>
            </w:pPr>
            <w:r>
              <w:t xml:space="preserve">10.1097/01.AOG.xxx</w:t>
            </w:r>
          </w:p>
        </w:tc>
      </w:tr>
      <w:tr>
        <w:tc>
          <w:tcPr/>
          <w:p>
            <w:pPr>
              <w:pStyle w:val="Compact"/>
            </w:pPr>
            <w:r>
              <w:t xml:space="preserve">2016</w:t>
            </w:r>
          </w:p>
        </w:tc>
        <w:tc>
          <w:tcPr/>
          <w:p>
            <w:pPr>
              <w:pStyle w:val="Compact"/>
            </w:pPr>
            <w:r>
              <w:t xml:space="preserve">CREOG &amp; APGO</w:t>
            </w:r>
          </w:p>
        </w:tc>
        <w:tc>
          <w:tcPr/>
          <w:p>
            <w:pPr>
              <w:pStyle w:val="Compact"/>
            </w:pPr>
            <w:r>
              <w:t xml:space="preserve">128</w:t>
            </w:r>
          </w:p>
        </w:tc>
        <w:tc>
          <w:tcPr/>
          <w:p>
            <w:pPr>
              <w:pStyle w:val="Compact"/>
            </w:pPr>
            <w:r>
              <w:t xml:space="preserve">10001</w:t>
            </w:r>
          </w:p>
        </w:tc>
        <w:tc>
          <w:tcPr/>
          <w:p>
            <w:pPr>
              <w:pStyle w:val="Compact"/>
            </w:pPr>
            <w:hyperlink r:id="rId142">
              <w:r>
                <w:rPr>
                  <w:rStyle w:val="Hyperlink"/>
                </w:rPr>
                <w:t xml:space="preserve">https://journals.lww.com/greenjournal/toc/2016/10001</w:t>
              </w:r>
            </w:hyperlink>
          </w:p>
        </w:tc>
        <w:tc>
          <w:tcPr/>
          <w:p>
            <w:pPr>
              <w:pStyle w:val="Compact"/>
            </w:pPr>
            <w:r>
              <w:t xml:space="preserve">10.1097/01.AOG.xxx</w:t>
            </w:r>
          </w:p>
        </w:tc>
      </w:tr>
      <w:tr>
        <w:tc>
          <w:tcPr/>
          <w:p>
            <w:pPr>
              <w:pStyle w:val="Compact"/>
            </w:pPr>
            <w:r>
              <w:t xml:space="preserve">2015</w:t>
            </w:r>
          </w:p>
        </w:tc>
        <w:tc>
          <w:tcPr/>
          <w:p>
            <w:pPr>
              <w:pStyle w:val="Compact"/>
            </w:pPr>
            <w:r>
              <w:t xml:space="preserve">CREOG &amp; APGO</w:t>
            </w:r>
          </w:p>
        </w:tc>
        <w:tc>
          <w:tcPr/>
          <w:p>
            <w:pPr>
              <w:pStyle w:val="Compact"/>
            </w:pPr>
            <w:r>
              <w:t xml:space="preserve">126</w:t>
            </w:r>
          </w:p>
        </w:tc>
        <w:tc>
          <w:tcPr/>
          <w:p>
            <w:pPr>
              <w:pStyle w:val="Compact"/>
            </w:pPr>
            <w:r>
              <w:t xml:space="preserve">10001</w:t>
            </w:r>
          </w:p>
        </w:tc>
        <w:tc>
          <w:tcPr/>
          <w:p>
            <w:pPr>
              <w:pStyle w:val="Compact"/>
            </w:pPr>
            <w:hyperlink r:id="rId143">
              <w:r>
                <w:rPr>
                  <w:rStyle w:val="Hyperlink"/>
                </w:rPr>
                <w:t xml:space="preserve">https://journals.lww.com/greenjournal/toc/2015/10001</w:t>
              </w:r>
            </w:hyperlink>
          </w:p>
        </w:tc>
        <w:tc>
          <w:tcPr/>
          <w:p>
            <w:pPr>
              <w:pStyle w:val="Compact"/>
            </w:pPr>
            <w:r>
              <w:t xml:space="preserve">10.1097/01.AOG.xxx</w:t>
            </w:r>
          </w:p>
        </w:tc>
      </w:tr>
    </w:tbl>
    <w:p>
      <w:pPr>
        <w:pStyle w:val="BodyText"/>
      </w:pPr>
      <w:r>
        <w:rPr>
          <w:b/>
          <w:bCs/>
        </w:rPr>
        <w:t xml:space="preserve">Published in Teaching and Learning in Medicine (2013–2014):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TLM Vol</w:t>
            </w:r>
          </w:p>
        </w:tc>
        <w:tc>
          <w:tcPr/>
          <w:p>
            <w:pPr>
              <w:pStyle w:val="Compact"/>
            </w:pPr>
            <w:r>
              <w:t xml:space="preserve">Issue</w:t>
            </w:r>
          </w:p>
        </w:tc>
        <w:tc>
          <w:tcPr/>
          <w:p>
            <w:pPr>
              <w:pStyle w:val="Compact"/>
            </w:pPr>
            <w:r>
              <w:t xml:space="preserve">DOI</w:t>
            </w:r>
          </w:p>
        </w:tc>
      </w:tr>
      <w:tr>
        <w:tc>
          <w:tcPr/>
          <w:p>
            <w:pPr>
              <w:pStyle w:val="Compact"/>
            </w:pPr>
            <w:r>
              <w:t xml:space="preserve">2014</w:t>
            </w:r>
          </w:p>
        </w:tc>
        <w:tc>
          <w:tcPr/>
          <w:p>
            <w:pPr>
              <w:pStyle w:val="Compact"/>
            </w:pPr>
            <w:r>
              <w:t xml:space="preserve">CREOG &amp; APGO</w:t>
            </w:r>
          </w:p>
        </w:tc>
        <w:tc>
          <w:tcPr/>
          <w:p>
            <w:pPr>
              <w:pStyle w:val="Compact"/>
            </w:pPr>
            <w:r>
              <w:t xml:space="preserve">28</w:t>
            </w:r>
          </w:p>
        </w:tc>
        <w:tc>
          <w:tcPr/>
          <w:p>
            <w:pPr>
              <w:pStyle w:val="Compact"/>
            </w:pPr>
            <w:r>
              <w:t xml:space="preserve">1</w:t>
            </w:r>
          </w:p>
        </w:tc>
        <w:tc>
          <w:tcPr/>
          <w:p>
            <w:pPr>
              <w:pStyle w:val="Compact"/>
            </w:pPr>
            <w:r>
              <w:t xml:space="preserve">10.1080/10401334.2015.1107492</w:t>
            </w:r>
          </w:p>
        </w:tc>
      </w:tr>
      <w:tr>
        <w:tc>
          <w:tcPr/>
          <w:p>
            <w:pPr>
              <w:pStyle w:val="Compact"/>
            </w:pPr>
            <w:r>
              <w:t xml:space="preserve">2013</w:t>
            </w:r>
          </w:p>
        </w:tc>
        <w:tc>
          <w:tcPr/>
          <w:p>
            <w:pPr>
              <w:pStyle w:val="Compact"/>
            </w:pPr>
            <w:r>
              <w:t xml:space="preserve">CREOG &amp; APGO</w:t>
            </w:r>
          </w:p>
        </w:tc>
        <w:tc>
          <w:tcPr/>
          <w:p>
            <w:pPr>
              <w:pStyle w:val="Compact"/>
            </w:pPr>
            <w:r>
              <w:t xml:space="preserve">26</w:t>
            </w:r>
          </w:p>
        </w:tc>
        <w:tc>
          <w:tcPr/>
          <w:p>
            <w:pPr>
              <w:pStyle w:val="Compact"/>
            </w:pPr>
            <w:r>
              <w:t xml:space="preserve">4</w:t>
            </w:r>
          </w:p>
        </w:tc>
        <w:tc>
          <w:tcPr/>
          <w:p>
            <w:pPr>
              <w:pStyle w:val="Compact"/>
            </w:pPr>
            <w:r>
              <w:t xml:space="preserve">10.1080/10401334.2014.945034</w:t>
            </w:r>
          </w:p>
        </w:tc>
      </w:tr>
    </w:tbl>
    <w:p>
      <w:pPr>
        <w:pStyle w:val="BodyText"/>
      </w:pPr>
      <w:r>
        <w:rPr>
          <w:i/>
          <w:iCs/>
        </w:rPr>
        <w:t xml:space="preserve">Note: 2013–2014 each have one DOI for the entire collection, not individual abstract DOIs. The 2020 meeting was held in-person in February 2020 (pre-COVID); supplement publication timing may have shifted. 2021 URL is inferred from volume pattern.</w:t>
      </w:r>
    </w:p>
    <w:p>
      <w:pPr>
        <w:pStyle w:val="BodyText"/>
      </w:pPr>
      <w:r>
        <w:rPr>
          <w:i/>
          <w:iCs/>
        </w:rPr>
        <w:t xml:space="preserve">Sources:</w:t>
      </w:r>
      <w:r>
        <w:rPr>
          <w:i/>
          <w:iCs/>
        </w:rPr>
        <w:t xml:space="preserve"> </w:t>
      </w:r>
      <w:hyperlink r:id="rId144">
        <w:r>
          <w:rPr>
            <w:rStyle w:val="Hyperlink"/>
            <w:i/>
            <w:iCs/>
          </w:rPr>
          <w:t xml:space="preserve">https://journals.lww.com/greenjournal/Pages/collectiondetails.aspx?TopicalCollectionId=129</w:t>
        </w:r>
      </w:hyperlink>
      <w:r>
        <w:rPr>
          <w:i/>
          <w:iCs/>
        </w:rPr>
        <w:t xml:space="preserve">;</w:t>
      </w:r>
      <w:r>
        <w:rPr>
          <w:i/>
          <w:iCs/>
        </w:rPr>
        <w:t xml:space="preserve"> </w:t>
      </w:r>
      <w:hyperlink r:id="rId134">
        <w:r>
          <w:rPr>
            <w:rStyle w:val="Hyperlink"/>
            <w:i/>
            <w:iCs/>
          </w:rPr>
          <w:t xml:space="preserve">https://tools.apgo.org/abstract-catalog/</w:t>
        </w:r>
      </w:hyperlink>
      <w:r>
        <w:rPr>
          <w:i/>
          <w:iCs/>
        </w:rPr>
        <w:t xml:space="preserve">;</w:t>
      </w:r>
      <w:r>
        <w:rPr>
          <w:i/>
          <w:iCs/>
        </w:rPr>
        <w:t xml:space="preserve"> </w:t>
      </w:r>
      <w:hyperlink r:id="rId145">
        <w:r>
          <w:rPr>
            <w:rStyle w:val="Hyperlink"/>
            <w:i/>
            <w:iCs/>
          </w:rPr>
          <w:t xml:space="preserve">https://www.tandfonline.com/doi/full/10.1080/10401334.2015.1107492</w:t>
        </w:r>
      </w:hyperlink>
    </w:p>
    <w:p>
      <w:r>
        <w:pict>
          <v:rect style="width:0;height:1.5pt" o:hralign="center" o:hrstd="t" o:hr="t"/>
        </w:pict>
      </w:r>
    </w:p>
    <w:bookmarkEnd w:id="146"/>
    <w:bookmarkStart w:id="147" w:name="X75bb174c79753db09394e2e5a6526c380565da5"/>
    <w:p>
      <w:pPr>
        <w:pStyle w:val="Heading3"/>
      </w:pPr>
      <w:r>
        <w:t xml:space="preserve">A11.20 Final Complete Society Comparison (All 9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47"/>
    <w:bookmarkStart w:id="161" w:name="X4c85c49bfcb8469018c76d59cdee95102235553"/>
    <w:p>
      <w:pPr>
        <w:pStyle w:val="Heading3"/>
      </w:pPr>
      <w:r>
        <w:t xml:space="preserve">A11.21 ACOG Annual Clinical &amp; Scientific Meeting Abstracts (2013–2023)</w:t>
      </w:r>
    </w:p>
    <w:p>
      <w:pPr>
        <w:pStyle w:val="FirstParagraph"/>
      </w:pPr>
      <w:r>
        <w:t xml:space="preserve">ACOG (American College of Obstetricians and Gynecologists) annual meeting abstracts are published in</w:t>
      </w:r>
      <w:r>
        <w:t xml:space="preserve"> </w:t>
      </w:r>
      <w:r>
        <w:rPr>
          <w:i/>
          <w:iCs/>
        </w:rPr>
        <w:t xml:space="preserve">Obstetrics &amp; Gynecology</w:t>
      </w:r>
      <w:r>
        <w:t xml:space="preserve"> </w:t>
      </w:r>
      <w:r>
        <w:t xml:space="preserve">(the Green Journal, ISSN 0029-7844, Wolters Kluwer/LWW) as a May Supplement each year. Each abstract has a unique DOI using the Wolters Kluwer format</w:t>
      </w:r>
      <w:r>
        <w:t xml:space="preserve"> </w:t>
      </w:r>
      <w:r>
        <w:rPr>
          <w:rStyle w:val="VerbatimChar"/>
        </w:rPr>
        <w:t xml:space="preserve">10.1097/01.AOG.</w:t>
      </w:r>
      <w:r>
        <w:t xml:space="preserve"> </w:t>
      </w:r>
      <w:r>
        <w:t xml:space="preserve">followed by a unique hash (e.g.,</w:t>
      </w:r>
      <w:r>
        <w:t xml:space="preserve"> </w:t>
      </w:r>
      <w:r>
        <w:rPr>
          <w:rStyle w:val="VerbatimChar"/>
        </w:rPr>
        <w:t xml:space="preserve">10.1097/AOG.0b013e3181636fe9</w:t>
      </w:r>
      <w:r>
        <w:t xml:space="preserve">). The URL pattern uses</w:t>
      </w:r>
      <w:r>
        <w:t xml:space="preserve"> </w:t>
      </w:r>
      <w:r>
        <w:rPr>
          <w:rStyle w:val="VerbatimChar"/>
        </w:rPr>
        <w:t xml:space="preserve">/05001</w:t>
      </w:r>
      <w:r>
        <w:t xml:space="preserve"> </w:t>
      </w:r>
      <w:r>
        <w:t xml:space="preserve">consistently across all years.</w:t>
      </w:r>
    </w:p>
    <w:p>
      <w:pPr>
        <w:pStyle w:val="BodyText"/>
      </w:pPr>
      <w:r>
        <w:rPr>
          <w:b/>
          <w:bCs/>
        </w:rPr>
        <w:t xml:space="preserve">Volume formula:</w:t>
      </w:r>
      <w:r>
        <w:t xml:space="preserve"> </w:t>
      </w:r>
      <w:r>
        <w:t xml:space="preserve">Vol = 97 + (2 × (Year − 2000)); so Vol 121 in 2013, Vol 141 in 2023.</w:t>
      </w:r>
    </w:p>
    <w:p>
      <w:pPr>
        <w:pStyle w:val="BodyText"/>
      </w:pPr>
      <w:r>
        <w:rPr>
          <w:b/>
          <w:bCs/>
        </w:rPr>
        <w:t xml:space="preserve">Platform:</w:t>
      </w:r>
      <w:r>
        <w:t xml:space="preserve"> </w:t>
      </w:r>
      <w:r>
        <w:t xml:space="preserve">LWW (journals.lww.com) — same as AUGS and CREOG/APGO. The LWW-specific scraper developed for those societies applies here.</w:t>
      </w:r>
    </w:p>
    <w:p>
      <w:pPr>
        <w:pStyle w:val="BodyText"/>
      </w:pPr>
      <w:r>
        <w:rPr>
          <w:b/>
          <w:bCs/>
        </w:rPr>
        <w:t xml:space="preserve">2020 caveat:</w:t>
      </w:r>
      <w:r>
        <w:t xml:space="preserve"> </w:t>
      </w:r>
      <w:r>
        <w:t xml:space="preserve">The ACOG 2020 Annual Meeting (Nashville, April 24–27) was cancelled due to COVID-19. The May 2020 supplement may contain only previously accepted abstracts or may be absent — verify at the URL before ingesting.</w:t>
      </w:r>
    </w:p>
    <w:p>
      <w:pPr>
        <w:pStyle w:val="BodyText"/>
      </w:pPr>
      <w:r>
        <w:rPr>
          <w:b/>
          <w:bCs/>
        </w:rPr>
        <w:t xml:space="preserve">2021:</w:t>
      </w:r>
      <w:r>
        <w:t xml:space="preserve"> </w:t>
      </w:r>
      <w:r>
        <w:t xml:space="preserve">Meeting was virtual; abstracts were still published in the supplement.</w:t>
      </w:r>
    </w:p>
    <w:tbl>
      <w:tblPr>
        <w:tblStyle w:val="Table"/>
        <w:tblW w:type="pct" w:w="5000"/>
        <w:tblLayout w:type="fixed"/>
        <w:tblLook w:firstRow="1" w:lastRow="0" w:firstColumn="0" w:lastColumn="0" w:noHBand="0" w:noVBand="0" w:val="0020"/>
      </w:tblPr>
      <w:tblGrid>
        <w:gridCol w:w="1105"/>
        <w:gridCol w:w="1657"/>
        <w:gridCol w:w="1289"/>
        <w:gridCol w:w="1657"/>
        <w:gridCol w:w="2210"/>
      </w:tblGrid>
      <w:tr>
        <w:trPr>
          <w:tblHeader w:val="on"/>
        </w:trPr>
        <w:tc>
          <w:tcPr/>
          <w:p>
            <w:pPr>
              <w:pStyle w:val="Compact"/>
            </w:pPr>
            <w:r>
              <w:t xml:space="preserve">Year</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Prefix</w:t>
            </w:r>
          </w:p>
        </w:tc>
      </w:tr>
      <w:tr>
        <w:tc>
          <w:tcPr/>
          <w:p>
            <w:pPr>
              <w:pStyle w:val="Compact"/>
            </w:pPr>
            <w:r>
              <w:t xml:space="preserve">2023</w:t>
            </w:r>
          </w:p>
        </w:tc>
        <w:tc>
          <w:tcPr/>
          <w:p>
            <w:pPr>
              <w:pStyle w:val="Compact"/>
            </w:pPr>
            <w:r>
              <w:t xml:space="preserve">141</w:t>
            </w:r>
          </w:p>
        </w:tc>
        <w:tc>
          <w:tcPr/>
          <w:p>
            <w:pPr>
              <w:pStyle w:val="Compact"/>
            </w:pPr>
            <w:r>
              <w:t xml:space="preserve">5S</w:t>
            </w:r>
          </w:p>
        </w:tc>
        <w:tc>
          <w:tcPr/>
          <w:p>
            <w:pPr>
              <w:pStyle w:val="Compact"/>
            </w:pPr>
            <w:hyperlink r:id="rId148">
              <w:r>
                <w:rPr>
                  <w:rStyle w:val="Hyperlink"/>
                </w:rPr>
                <w:t xml:space="preserve">https://journals.lww.com/greenjournal/toc/2023/05001</w:t>
              </w:r>
            </w:hyperlink>
          </w:p>
        </w:tc>
        <w:tc>
          <w:tcPr/>
          <w:p>
            <w:pPr>
              <w:pStyle w:val="Compact"/>
            </w:pPr>
            <w:r>
              <w:t xml:space="preserve">10.1097/01.AOG.xxx</w:t>
            </w:r>
          </w:p>
        </w:tc>
      </w:tr>
      <w:tr>
        <w:tc>
          <w:tcPr/>
          <w:p>
            <w:pPr>
              <w:pStyle w:val="Compact"/>
            </w:pPr>
            <w:r>
              <w:t xml:space="preserve">2022</w:t>
            </w:r>
          </w:p>
        </w:tc>
        <w:tc>
          <w:tcPr/>
          <w:p>
            <w:pPr>
              <w:pStyle w:val="Compact"/>
            </w:pPr>
            <w:r>
              <w:t xml:space="preserve">139</w:t>
            </w:r>
          </w:p>
        </w:tc>
        <w:tc>
          <w:tcPr/>
          <w:p>
            <w:pPr>
              <w:pStyle w:val="Compact"/>
            </w:pPr>
            <w:r>
              <w:t xml:space="preserve">5S</w:t>
            </w:r>
          </w:p>
        </w:tc>
        <w:tc>
          <w:tcPr/>
          <w:p>
            <w:pPr>
              <w:pStyle w:val="Compact"/>
            </w:pPr>
            <w:hyperlink r:id="rId149">
              <w:r>
                <w:rPr>
                  <w:rStyle w:val="Hyperlink"/>
                </w:rPr>
                <w:t xml:space="preserve">https://journals.lww.com/greenjournal/toc/2022/05001</w:t>
              </w:r>
            </w:hyperlink>
          </w:p>
        </w:tc>
        <w:tc>
          <w:tcPr/>
          <w:p>
            <w:pPr>
              <w:pStyle w:val="Compact"/>
            </w:pPr>
            <w:r>
              <w:t xml:space="preserve">10.1097/01.AOG.xxx</w:t>
            </w:r>
          </w:p>
        </w:tc>
      </w:tr>
      <w:tr>
        <w:tc>
          <w:tcPr/>
          <w:p>
            <w:pPr>
              <w:pStyle w:val="Compact"/>
            </w:pPr>
            <w:r>
              <w:t xml:space="preserve">2021</w:t>
            </w:r>
          </w:p>
        </w:tc>
        <w:tc>
          <w:tcPr/>
          <w:p>
            <w:pPr>
              <w:pStyle w:val="Compact"/>
            </w:pPr>
            <w:r>
              <w:t xml:space="preserve">137</w:t>
            </w:r>
          </w:p>
        </w:tc>
        <w:tc>
          <w:tcPr/>
          <w:p>
            <w:pPr>
              <w:pStyle w:val="Compact"/>
            </w:pPr>
            <w:r>
              <w:t xml:space="preserve">5S</w:t>
            </w:r>
          </w:p>
        </w:tc>
        <w:tc>
          <w:tcPr/>
          <w:p>
            <w:pPr>
              <w:pStyle w:val="Compact"/>
            </w:pPr>
            <w:hyperlink r:id="rId150">
              <w:r>
                <w:rPr>
                  <w:rStyle w:val="Hyperlink"/>
                </w:rPr>
                <w:t xml:space="preserve">https://journals.lww.com/greenjournal/toc/2021/05001</w:t>
              </w:r>
            </w:hyperlink>
          </w:p>
        </w:tc>
        <w:tc>
          <w:tcPr/>
          <w:p>
            <w:pPr>
              <w:pStyle w:val="Compact"/>
            </w:pPr>
            <w:r>
              <w:t xml:space="preserve">10.1097/01.AOG.xxx</w:t>
            </w:r>
          </w:p>
        </w:tc>
      </w:tr>
      <w:tr>
        <w:tc>
          <w:tcPr/>
          <w:p>
            <w:pPr>
              <w:pStyle w:val="Compact"/>
            </w:pPr>
            <w:r>
              <w:t xml:space="preserve">2020</w:t>
            </w:r>
          </w:p>
        </w:tc>
        <w:tc>
          <w:tcPr/>
          <w:p>
            <w:pPr>
              <w:pStyle w:val="Compact"/>
            </w:pPr>
            <w:r>
              <w:t xml:space="preserve">135</w:t>
            </w:r>
          </w:p>
        </w:tc>
        <w:tc>
          <w:tcPr/>
          <w:p>
            <w:pPr>
              <w:pStyle w:val="Compact"/>
            </w:pPr>
            <w:r>
              <w:t xml:space="preserve">5S</w:t>
            </w:r>
          </w:p>
        </w:tc>
        <w:tc>
          <w:tcPr/>
          <w:p>
            <w:pPr>
              <w:pStyle w:val="Compact"/>
            </w:pPr>
            <w:hyperlink r:id="rId151">
              <w:r>
                <w:rPr>
                  <w:rStyle w:val="Hyperlink"/>
                </w:rPr>
                <w:t xml:space="preserve">https://journals.lww.com/greenjournal/toc/2020/05001</w:t>
              </w:r>
            </w:hyperlink>
          </w:p>
        </w:tc>
        <w:tc>
          <w:tcPr/>
          <w:p>
            <w:pPr>
              <w:pStyle w:val="Compact"/>
            </w:pPr>
            <w:r>
              <w:t xml:space="preserve">10.1097/01.AOG.xxx</w:t>
            </w:r>
          </w:p>
        </w:tc>
      </w:tr>
      <w:tr>
        <w:tc>
          <w:tcPr/>
          <w:p>
            <w:pPr>
              <w:pStyle w:val="Compact"/>
            </w:pPr>
            <w:r>
              <w:t xml:space="preserve">2019</w:t>
            </w:r>
          </w:p>
        </w:tc>
        <w:tc>
          <w:tcPr/>
          <w:p>
            <w:pPr>
              <w:pStyle w:val="Compact"/>
            </w:pPr>
            <w:r>
              <w:t xml:space="preserve">133</w:t>
            </w:r>
          </w:p>
        </w:tc>
        <w:tc>
          <w:tcPr/>
          <w:p>
            <w:pPr>
              <w:pStyle w:val="Compact"/>
            </w:pPr>
            <w:r>
              <w:t xml:space="preserve">5S</w:t>
            </w:r>
          </w:p>
        </w:tc>
        <w:tc>
          <w:tcPr/>
          <w:p>
            <w:pPr>
              <w:pStyle w:val="Compact"/>
            </w:pPr>
            <w:hyperlink r:id="rId152">
              <w:r>
                <w:rPr>
                  <w:rStyle w:val="Hyperlink"/>
                </w:rPr>
                <w:t xml:space="preserve">https://journals.lww.com/greenjournal/toc/2019/05001</w:t>
              </w:r>
            </w:hyperlink>
          </w:p>
        </w:tc>
        <w:tc>
          <w:tcPr/>
          <w:p>
            <w:pPr>
              <w:pStyle w:val="Compact"/>
            </w:pPr>
            <w:r>
              <w:t xml:space="preserve">10.1097/01.AOG.xxx</w:t>
            </w:r>
          </w:p>
        </w:tc>
      </w:tr>
      <w:tr>
        <w:tc>
          <w:tcPr/>
          <w:p>
            <w:pPr>
              <w:pStyle w:val="Compact"/>
            </w:pPr>
            <w:r>
              <w:t xml:space="preserve">2018</w:t>
            </w:r>
          </w:p>
        </w:tc>
        <w:tc>
          <w:tcPr/>
          <w:p>
            <w:pPr>
              <w:pStyle w:val="Compact"/>
            </w:pPr>
            <w:r>
              <w:t xml:space="preserve">131</w:t>
            </w:r>
          </w:p>
        </w:tc>
        <w:tc>
          <w:tcPr/>
          <w:p>
            <w:pPr>
              <w:pStyle w:val="Compact"/>
            </w:pPr>
            <w:r>
              <w:t xml:space="preserve">5S</w:t>
            </w:r>
          </w:p>
        </w:tc>
        <w:tc>
          <w:tcPr/>
          <w:p>
            <w:pPr>
              <w:pStyle w:val="Compact"/>
            </w:pPr>
            <w:hyperlink r:id="rId153">
              <w:r>
                <w:rPr>
                  <w:rStyle w:val="Hyperlink"/>
                </w:rPr>
                <w:t xml:space="preserve">https://journals.lww.com/greenjournal/toc/2018/05001</w:t>
              </w:r>
            </w:hyperlink>
          </w:p>
        </w:tc>
        <w:tc>
          <w:tcPr/>
          <w:p>
            <w:pPr>
              <w:pStyle w:val="Compact"/>
            </w:pPr>
            <w:r>
              <w:t xml:space="preserve">10.1097/01.AOG.xxx</w:t>
            </w:r>
          </w:p>
        </w:tc>
      </w:tr>
      <w:tr>
        <w:tc>
          <w:tcPr/>
          <w:p>
            <w:pPr>
              <w:pStyle w:val="Compact"/>
            </w:pPr>
            <w:r>
              <w:t xml:space="preserve">2017</w:t>
            </w:r>
          </w:p>
        </w:tc>
        <w:tc>
          <w:tcPr/>
          <w:p>
            <w:pPr>
              <w:pStyle w:val="Compact"/>
            </w:pPr>
            <w:r>
              <w:t xml:space="preserve">129</w:t>
            </w:r>
          </w:p>
        </w:tc>
        <w:tc>
          <w:tcPr/>
          <w:p>
            <w:pPr>
              <w:pStyle w:val="Compact"/>
            </w:pPr>
            <w:r>
              <w:t xml:space="preserve">5S</w:t>
            </w:r>
          </w:p>
        </w:tc>
        <w:tc>
          <w:tcPr/>
          <w:p>
            <w:pPr>
              <w:pStyle w:val="Compact"/>
            </w:pPr>
            <w:hyperlink r:id="rId154">
              <w:r>
                <w:rPr>
                  <w:rStyle w:val="Hyperlink"/>
                </w:rPr>
                <w:t xml:space="preserve">https://journals.lww.com/greenjournal/toc/2017/05001</w:t>
              </w:r>
            </w:hyperlink>
          </w:p>
        </w:tc>
        <w:tc>
          <w:tcPr/>
          <w:p>
            <w:pPr>
              <w:pStyle w:val="Compact"/>
            </w:pPr>
            <w:r>
              <w:t xml:space="preserve">10.1097/01.AOG.xxx</w:t>
            </w:r>
          </w:p>
        </w:tc>
      </w:tr>
      <w:tr>
        <w:tc>
          <w:tcPr/>
          <w:p>
            <w:pPr>
              <w:pStyle w:val="Compact"/>
            </w:pPr>
            <w:r>
              <w:t xml:space="preserve">2016</w:t>
            </w:r>
          </w:p>
        </w:tc>
        <w:tc>
          <w:tcPr/>
          <w:p>
            <w:pPr>
              <w:pStyle w:val="Compact"/>
            </w:pPr>
            <w:r>
              <w:t xml:space="preserve">127</w:t>
            </w:r>
          </w:p>
        </w:tc>
        <w:tc>
          <w:tcPr/>
          <w:p>
            <w:pPr>
              <w:pStyle w:val="Compact"/>
            </w:pPr>
            <w:r>
              <w:t xml:space="preserve">5S</w:t>
            </w:r>
          </w:p>
        </w:tc>
        <w:tc>
          <w:tcPr/>
          <w:p>
            <w:pPr>
              <w:pStyle w:val="Compact"/>
            </w:pPr>
            <w:hyperlink r:id="rId155">
              <w:r>
                <w:rPr>
                  <w:rStyle w:val="Hyperlink"/>
                </w:rPr>
                <w:t xml:space="preserve">https://journals.lww.com/greenjournal/toc/2016/05001</w:t>
              </w:r>
            </w:hyperlink>
          </w:p>
        </w:tc>
        <w:tc>
          <w:tcPr/>
          <w:p>
            <w:pPr>
              <w:pStyle w:val="Compact"/>
            </w:pPr>
            <w:r>
              <w:t xml:space="preserve">10.1097/01.AOG.xxx</w:t>
            </w:r>
          </w:p>
        </w:tc>
      </w:tr>
      <w:tr>
        <w:tc>
          <w:tcPr/>
          <w:p>
            <w:pPr>
              <w:pStyle w:val="Compact"/>
            </w:pPr>
            <w:r>
              <w:t xml:space="preserve">2015</w:t>
            </w:r>
          </w:p>
        </w:tc>
        <w:tc>
          <w:tcPr/>
          <w:p>
            <w:pPr>
              <w:pStyle w:val="Compact"/>
            </w:pPr>
            <w:r>
              <w:t xml:space="preserve">125</w:t>
            </w:r>
          </w:p>
        </w:tc>
        <w:tc>
          <w:tcPr/>
          <w:p>
            <w:pPr>
              <w:pStyle w:val="Compact"/>
            </w:pPr>
            <w:r>
              <w:t xml:space="preserve">5S</w:t>
            </w:r>
          </w:p>
        </w:tc>
        <w:tc>
          <w:tcPr/>
          <w:p>
            <w:pPr>
              <w:pStyle w:val="Compact"/>
            </w:pPr>
            <w:hyperlink r:id="rId156">
              <w:r>
                <w:rPr>
                  <w:rStyle w:val="Hyperlink"/>
                </w:rPr>
                <w:t xml:space="preserve">https://journals.lww.com/greenjournal/toc/2015/05001</w:t>
              </w:r>
            </w:hyperlink>
          </w:p>
        </w:tc>
        <w:tc>
          <w:tcPr/>
          <w:p>
            <w:pPr>
              <w:pStyle w:val="Compact"/>
            </w:pPr>
            <w:r>
              <w:t xml:space="preserve">10.1097/01.AOG.xxx</w:t>
            </w:r>
          </w:p>
        </w:tc>
      </w:tr>
      <w:tr>
        <w:tc>
          <w:tcPr/>
          <w:p>
            <w:pPr>
              <w:pStyle w:val="Compact"/>
            </w:pPr>
            <w:r>
              <w:t xml:space="preserve">2014</w:t>
            </w:r>
          </w:p>
        </w:tc>
        <w:tc>
          <w:tcPr/>
          <w:p>
            <w:pPr>
              <w:pStyle w:val="Compact"/>
            </w:pPr>
            <w:r>
              <w:t xml:space="preserve">123</w:t>
            </w:r>
          </w:p>
        </w:tc>
        <w:tc>
          <w:tcPr/>
          <w:p>
            <w:pPr>
              <w:pStyle w:val="Compact"/>
            </w:pPr>
            <w:r>
              <w:t xml:space="preserve">Suppl 1</w:t>
            </w:r>
          </w:p>
        </w:tc>
        <w:tc>
          <w:tcPr/>
          <w:p>
            <w:pPr>
              <w:pStyle w:val="Compact"/>
            </w:pPr>
            <w:hyperlink r:id="rId157">
              <w:r>
                <w:rPr>
                  <w:rStyle w:val="Hyperlink"/>
                </w:rPr>
                <w:t xml:space="preserve">https://journals.lww.com/greenjournal/toc/2014/05001</w:t>
              </w:r>
            </w:hyperlink>
          </w:p>
        </w:tc>
        <w:tc>
          <w:tcPr/>
          <w:p>
            <w:pPr>
              <w:pStyle w:val="Compact"/>
            </w:pPr>
            <w:r>
              <w:t xml:space="preserve">10.1097/01.AOG.xxx</w:t>
            </w:r>
          </w:p>
        </w:tc>
      </w:tr>
      <w:tr>
        <w:tc>
          <w:tcPr/>
          <w:p>
            <w:pPr>
              <w:pStyle w:val="Compact"/>
            </w:pPr>
            <w:r>
              <w:t xml:space="preserve">2013</w:t>
            </w:r>
          </w:p>
        </w:tc>
        <w:tc>
          <w:tcPr/>
          <w:p>
            <w:pPr>
              <w:pStyle w:val="Compact"/>
            </w:pPr>
            <w:r>
              <w:t xml:space="preserve">121</w:t>
            </w:r>
          </w:p>
        </w:tc>
        <w:tc>
          <w:tcPr/>
          <w:p>
            <w:pPr>
              <w:pStyle w:val="Compact"/>
            </w:pPr>
            <w:r>
              <w:t xml:space="preserve">5S</w:t>
            </w:r>
          </w:p>
        </w:tc>
        <w:tc>
          <w:tcPr/>
          <w:p>
            <w:pPr>
              <w:pStyle w:val="Compact"/>
            </w:pPr>
            <w:hyperlink r:id="rId158">
              <w:r>
                <w:rPr>
                  <w:rStyle w:val="Hyperlink"/>
                </w:rPr>
                <w:t xml:space="preserve">https://journals.lww.com/greenjournal/toc/2013/05001</w:t>
              </w:r>
            </w:hyperlink>
          </w:p>
        </w:tc>
        <w:tc>
          <w:tcPr/>
          <w:p>
            <w:pPr>
              <w:pStyle w:val="Compact"/>
            </w:pPr>
            <w:r>
              <w:t xml:space="preserve">10.1097/01.AOG.xxx</w:t>
            </w:r>
          </w:p>
        </w:tc>
      </w:tr>
    </w:tbl>
    <w:p>
      <w:pPr>
        <w:pStyle w:val="BodyText"/>
      </w:pPr>
      <w:r>
        <w:rPr>
          <w:i/>
          <w:iCs/>
        </w:rPr>
        <w:t xml:space="preserve">Sources:</w:t>
      </w:r>
      <w:r>
        <w:rPr>
          <w:i/>
          <w:iCs/>
        </w:rPr>
        <w:t xml:space="preserve"> </w:t>
      </w:r>
      <w:hyperlink r:id="rId148">
        <w:r>
          <w:rPr>
            <w:rStyle w:val="Hyperlink"/>
            <w:i/>
            <w:iCs/>
          </w:rPr>
          <w:t xml:space="preserve">https://journals.lww.com/greenjournal/toc/2023/05001</w:t>
        </w:r>
      </w:hyperlink>
      <w:r>
        <w:rPr>
          <w:i/>
          <w:iCs/>
        </w:rPr>
        <w:t xml:space="preserve">;</w:t>
      </w:r>
      <w:r>
        <w:rPr>
          <w:i/>
          <w:iCs/>
        </w:rPr>
        <w:t xml:space="preserve"> </w:t>
      </w:r>
      <w:hyperlink r:id="rId159">
        <w:r>
          <w:rPr>
            <w:rStyle w:val="Hyperlink"/>
            <w:i/>
            <w:iCs/>
          </w:rPr>
          <w:t xml:space="preserve">https://pubmed.ncbi.nlm.nih.gov/25756102/</w:t>
        </w:r>
      </w:hyperlink>
      <w:r>
        <w:rPr>
          <w:i/>
          <w:iCs/>
        </w:rPr>
        <w:t xml:space="preserve"> </w:t>
      </w:r>
      <w:r>
        <w:rPr>
          <w:i/>
          <w:iCs/>
        </w:rPr>
        <w:t xml:space="preserve">(Vol 123, Suppl 1, pp 1S–198S);</w:t>
      </w:r>
      <w:r>
        <w:rPr>
          <w:i/>
          <w:iCs/>
        </w:rPr>
        <w:t xml:space="preserve"> </w:t>
      </w:r>
      <w:hyperlink r:id="rId160">
        <w:r>
          <w:rPr>
            <w:rStyle w:val="Hyperlink"/>
            <w:i/>
            <w:iCs/>
          </w:rPr>
          <w:t xml:space="preserve">https://journals.lww.com/greenjournal/Pages/collectiondetails.aspx?TopicalCollectionId=128</w:t>
        </w:r>
      </w:hyperlink>
    </w:p>
    <w:p>
      <w:r>
        <w:pict>
          <v:rect style="width:0;height:1.5pt" o:hralign="center" o:hrstd="t" o:hr="t"/>
        </w:pict>
      </w:r>
    </w:p>
    <w:bookmarkEnd w:id="161"/>
    <w:bookmarkStart w:id="162" w:name="Xd9af15b76bb8cdb4ef240d9961d273db6e97890"/>
    <w:p>
      <w:pPr>
        <w:pStyle w:val="Heading3"/>
      </w:pPr>
      <w:r>
        <w:t xml:space="preserve">A11.22 Final Complete Society Comparison (All 10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ACOG</w:t>
            </w:r>
          </w:p>
        </w:tc>
        <w:tc>
          <w:tcPr/>
          <w:p>
            <w:pPr>
              <w:pStyle w:val="Compact"/>
            </w:pPr>
            <w:r>
              <w:t xml:space="preserve">O&amp;G (Green J)</w:t>
            </w:r>
          </w:p>
        </w:tc>
        <w:tc>
          <w:tcPr/>
          <w:p>
            <w:pPr>
              <w:pStyle w:val="Compact"/>
            </w:pPr>
            <w:r>
              <w:t xml:space="preserve">LWW</w:t>
            </w:r>
          </w:p>
        </w:tc>
        <w:tc>
          <w:tcPr/>
          <w:p>
            <w:pPr>
              <w:pStyle w:val="Compact"/>
            </w:pPr>
            <w:r>
              <w:t xml:space="preserve">Yes</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~800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LWW societies (ACOG, CREOG/APGO, AUGS)</w:t>
      </w:r>
      <w:r>
        <w:t xml:space="preserve"> </w:t>
      </w:r>
      <w:r>
        <w:t xml:space="preserve">share a platform — a single LWW scraper covers all three.</w:t>
      </w:r>
      <w:r>
        <w:t xml:space="preserve"> </w:t>
      </w:r>
      <w:r>
        <w:rPr>
          <w:b/>
          <w:bCs/>
        </w:rPr>
        <w:t xml:space="preserve">ScienceDirect societies (AAGL, SMFM, SGO, NASPAG, ASRM, SFP)</w:t>
      </w:r>
      <w:r>
        <w:t xml:space="preserve"> </w:t>
      </w:r>
      <w:r>
        <w:t xml:space="preserve">share the existing Elsevier infrastructure. SASGOG remains the only society with no viable programmatic ingestion path.</w:t>
      </w:r>
    </w:p>
    <w:p>
      <w:r>
        <w:pict>
          <v:rect style="width:0;height:1.5pt" o:hralign="center" o:hrstd="t" o:hr="t"/>
        </w:pict>
      </w:r>
    </w:p>
    <w:bookmarkEnd w:id="162"/>
    <w:bookmarkEnd w:id="163"/>
    <w:bookmarkStart w:id="174" w:name="a12.-matching-corrections-april-2026"/>
    <w:p>
      <w:pPr>
        <w:pStyle w:val="Heading2"/>
      </w:pPr>
      <w:r>
        <w:t xml:space="preserve">A12. Matching Corrections (April 2026)</w:t>
      </w:r>
    </w:p>
    <w:p>
      <w:pPr>
        <w:pStyle w:val="FirstParagraph"/>
      </w:pPr>
      <w:r>
        <w:t xml:space="preserve">Four defects in the abstract-to-publication matching layer were identified and corrected after the initial analysis. Each one biased the candidate pool in a specific, traceable direction. This section documents the defect, the correction, and the expected effect on results, so that any change in the reported publication rate between the initial and corrected runs can be attributed to a named cause rather than to unexplained drift.</w:t>
      </w:r>
    </w:p>
    <w:bookmarkStart w:id="164" w:name="X995fc70b9ffc5cab4b0ef882d96e6c284beec88"/>
    <w:p>
      <w:pPr>
        <w:pStyle w:val="Heading3"/>
      </w:pPr>
      <w:r>
        <w:t xml:space="preserve">A12.1 Session-Number Prefixes in Abstract Titles</w:t>
      </w:r>
    </w:p>
    <w:p>
      <w:pPr>
        <w:pStyle w:val="FirstParagraph"/>
      </w:pPr>
      <w:r>
        <w:t xml:space="preserve">The AAGL congress programs for 2013, 2017, 2018, and 2021 print oral presentation titles with a leading session number, rendered as</w:t>
      </w:r>
      <w:r>
        <w:t xml:space="preserve"> </w:t>
      </w:r>
      <w:r>
        <w:rPr>
          <w:rStyle w:val="VerbatimChar"/>
        </w:rPr>
        <w:t xml:space="preserve">"4 - Laparoscopic Management of..."</w:t>
      </w:r>
      <w:r>
        <w:t xml:space="preserve">. Earlier and later programs do not. The scraper captured this prefix verbatim, so the leading token entered</w:t>
      </w:r>
      <w:r>
        <w:t xml:space="preserve"> </w:t>
      </w:r>
      <w:r>
        <w:rPr>
          <w:rStyle w:val="VerbatimChar"/>
        </w:rPr>
        <w:t xml:space="preserve">normalize_title()</w:t>
      </w:r>
      <w:r>
        <w:t xml:space="preserve"> </w:t>
      </w:r>
      <w:r>
        <w:t xml:space="preserve">and then entered PubMed Strategy 1 as part of the title phrase.</w:t>
      </w:r>
    </w:p>
    <w:p>
      <w:pPr>
        <w:pStyle w:val="BodyText"/>
      </w:pPr>
      <w:r>
        <w:t xml:space="preserve">A phrase search for</w:t>
      </w:r>
      <w:r>
        <w:t xml:space="preserve"> </w:t>
      </w:r>
      <w:r>
        <w:rPr>
          <w:rStyle w:val="VerbatimChar"/>
        </w:rPr>
        <w:t xml:space="preserve">"4 laparoscopic management of"[TI]</w:t>
      </w:r>
      <w:r>
        <w:t xml:space="preserve"> </w:t>
      </w:r>
      <w:r>
        <w:t xml:space="preserve">matches nothing. Abstracts from these four congresses were therefore systematically deprived of their single strongest search strategy, and could only be recovered by the weaker author-based strategies. Because the affected congresses are a non-random subset of years, this depressed measured publication rates for those years specifically — a confound directly on the time trend the study reports.</w:t>
      </w:r>
    </w:p>
    <w:p>
      <w:pPr>
        <w:pStyle w:val="BodyText"/>
      </w:pPr>
      <w:r>
        <w:t xml:space="preserve">The prefix is now stripped at two points: in</w:t>
      </w:r>
      <w:r>
        <w:t xml:space="preserve"> </w:t>
      </w:r>
      <w:r>
        <w:rPr>
          <w:rStyle w:val="VerbatimChar"/>
        </w:rPr>
        <w:t xml:space="preserve">normalize_title()</w:t>
      </w:r>
      <w:r>
        <w:t xml:space="preserve"> </w:t>
      </w:r>
      <w:r>
        <w:t xml:space="preserve">(</w:t>
      </w:r>
      <w:r>
        <w:rPr>
          <w:rStyle w:val="VerbatimChar"/>
        </w:rPr>
        <w:t xml:space="preserve">R/utils_text.R</w:t>
      </w:r>
      <w:r>
        <w:t xml:space="preserve">), which protects every downstream consumer of the normalized title, and on the raw</w:t>
      </w:r>
      <w:r>
        <w:t xml:space="preserve"> </w:t>
      </w:r>
      <w:r>
        <w:rPr>
          <w:rStyle w:val="VerbatimChar"/>
        </w:rPr>
        <w:t xml:space="preserve">title</w:t>
      </w:r>
      <w:r>
        <w:t xml:space="preserve"> </w:t>
      </w:r>
      <w:r>
        <w:t xml:space="preserve">column in</w:t>
      </w:r>
      <w:r>
        <w:t xml:space="preserve"> </w:t>
      </w:r>
      <w:r>
        <w:rPr>
          <w:rStyle w:val="VerbatimChar"/>
        </w:rPr>
        <w:t xml:space="preserve">R/02_clean_abstracts.R</w:t>
      </w:r>
      <w:r>
        <w:t xml:space="preserve">, which protects the displayed title in the adjudication app. The regular expression is</w:t>
      </w:r>
      <w:r>
        <w:t xml:space="preserve"> </w:t>
      </w:r>
      <w:r>
        <w:rPr>
          <w:rStyle w:val="VerbatimChar"/>
        </w:rPr>
        <w:t xml:space="preserve">^[0-9]+\s+[-–]\s*</w:t>
      </w:r>
      <w:r>
        <w:t xml:space="preserve">, matching both hyphen and en-dash forms.</w:t>
      </w:r>
    </w:p>
    <w:p>
      <w:pPr>
        <w:pStyle w:val="BodyText"/>
      </w:pPr>
      <w:r>
        <w:t xml:space="preserve">The pattern requires whitespace before the dash. This is deliberate: a title legitimately beginning with a number followed immediately by a hyphen, such as</w:t>
      </w:r>
      <w:r>
        <w:t xml:space="preserve"> </w:t>
      </w:r>
      <w:r>
        <w:rPr>
          <w:rStyle w:val="VerbatimChar"/>
        </w:rPr>
        <w:t xml:space="preserve">"5-year outcomes after..."</w:t>
      </w:r>
      <w:r>
        <w:t xml:space="preserve">, must not be truncated to</w:t>
      </w:r>
      <w:r>
        <w:t xml:space="preserve"> </w:t>
      </w:r>
      <w:r>
        <w:rPr>
          <w:rStyle w:val="VerbatimChar"/>
        </w:rPr>
        <w:t xml:space="preserve">"year outcomes after..."</w:t>
      </w:r>
      <w:r>
        <w:t xml:space="preserve">. The required space distinguishes a session-number prefix from a numeric prefix belonging to the title.</w:t>
      </w:r>
    </w:p>
    <w:bookmarkEnd w:id="164"/>
    <w:bookmarkStart w:id="165" w:name="X1134aea50434136d94d421f311cb3ad23df9f0d"/>
    <w:p>
      <w:pPr>
        <w:pStyle w:val="Heading3"/>
      </w:pPr>
      <w:r>
        <w:t xml:space="preserve">A12.2 Non-Article Publication Types in the Candidate Pool</w:t>
      </w:r>
    </w:p>
    <w:p>
      <w:pPr>
        <w:pStyle w:val="FirstParagraph"/>
      </w:pPr>
      <w:r>
        <w:rPr>
          <w:rStyle w:val="VerbatimChar"/>
        </w:rPr>
        <w:t xml:space="preserve">build_date_filter()</w:t>
      </w:r>
      <w:r>
        <w:t xml:space="preserve"> </w:t>
      </w:r>
      <w:r>
        <w:t xml:space="preserve">previously constrained PubMed searches by date alone. Letters, comments, editorials, published errata, and retraction notices were therefore eligible candidates.</w:t>
      </w:r>
    </w:p>
    <w:p>
      <w:pPr>
        <w:pStyle w:val="BodyText"/>
      </w:pPr>
      <w:r>
        <w:t xml:space="preserve">These document types are strongly biased toward matching. They routinely carry the title of the paper they discuss, and they frequently share its author list. A letter commenting on a trial scores highly on title similarity and author overlap — the two heaviest components of the composite score — while being categorically incapable of representing the full publication of a congress abstract. The failure mode is not merely a wasted candidate slot: a high-scoring letter can outrank and displace the genuine publication, converting a correct match into an incorrect one.</w:t>
      </w:r>
    </w:p>
    <w:p>
      <w:pPr>
        <w:pStyle w:val="BodyText"/>
      </w:pPr>
      <w:r>
        <w:t xml:space="preserve">The date filter now appends an exclusion clause:</w:t>
      </w:r>
    </w:p>
    <w:p>
      <w:pPr>
        <w:pStyle w:val="SourceCode"/>
      </w:pPr>
      <w:r>
        <w:rPr>
          <w:rStyle w:val="VerbatimChar"/>
        </w:rPr>
        <w:t xml:space="preserve">NOT ("Letter"[PT] OR "Comment"[PT] OR "Editorial"[PT] OR</w:t>
      </w:r>
      <w:r>
        <w:br/>
      </w:r>
      <w:r>
        <w:rPr>
          <w:rStyle w:val="VerbatimChar"/>
        </w:rPr>
        <w:t xml:space="preserve">     "Published Erratum"[PT] OR "Retraction of Publication"[PT])</w:t>
      </w:r>
    </w:p>
    <w:p>
      <w:pPr>
        <w:pStyle w:val="FirstParagraph"/>
      </w:pPr>
      <w:r>
        <w:t xml:space="preserve">The exclusion is applied at the search layer rather than as a post-hoc filter on scored candidates. This is the more conservative placement: it prevents these records from ever competing for a candidate slot, rather than removing them after they may already have crowded out a true match.</w:t>
      </w:r>
    </w:p>
    <w:bookmarkEnd w:id="165"/>
    <w:bookmarkStart w:id="166" w:name="X8932188ea762ff0ba0a526e3681873d7d20d36d"/>
    <w:p>
      <w:pPr>
        <w:pStyle w:val="Heading3"/>
      </w:pPr>
      <w:r>
        <w:t xml:space="preserve">A12.3 Over-Broad JMIG Supplement Detection</w:t>
      </w:r>
    </w:p>
    <w:p>
      <w:pPr>
        <w:pStyle w:val="FirstParagraph"/>
      </w:pPr>
      <w:r>
        <w:t xml:space="preserve">Congress abstracts are themselves published in a JMIG supplement. Matching an abstract to its own supplement record would be circular, so</w:t>
      </w:r>
      <w:r>
        <w:t xml:space="preserve"> </w:t>
      </w:r>
      <w:r>
        <w:rPr>
          <w:rStyle w:val="VerbatimChar"/>
        </w:rPr>
        <w:t xml:space="preserve">is_supplement_article()</w:t>
      </w:r>
      <w:r>
        <w:t xml:space="preserve"> </w:t>
      </w:r>
      <w:r>
        <w:t xml:space="preserve">exists to exclude that record. Its original test was a conjunction of journal, volume, and year.</w:t>
      </w:r>
    </w:p>
    <w:p>
      <w:pPr>
        <w:pStyle w:val="BodyText"/>
      </w:pPr>
      <w:r>
        <w:t xml:space="preserve">Volume numbers are not unique to supplements. A JMIG supplement shares its volume number with the regular issues of that volume. The test therefore excluded every regular JMIG article in the matching volume and year — not just the congress supplement.</w:t>
      </w:r>
    </w:p>
    <w:p>
      <w:pPr>
        <w:pStyle w:val="BodyText"/>
      </w:pPr>
      <w:r>
        <w:t xml:space="preserve">This is the most consequential of the four defects, because its bias is directional and falls hardest on the true positives. An AAGL abstract is more likely than chance to be published in JMIG, the society’s own journal, and most likely to appear there within roughly a year of presentation, which is exactly the volume-year window the test was blanking. The rule was therefore most likely to discard precisely the publications the pipeline exists to find, and would depress the measured publication rate while inflating apparent time-to-publication for those recovered by other routes.</w:t>
      </w:r>
    </w:p>
    <w:p>
      <w:pPr>
        <w:pStyle w:val="BodyText"/>
      </w:pPr>
      <w:r>
        <w:t xml:space="preserve">The corrected test adds a fourth conjunct requiring positive evidence that the record is a supplement.</w:t>
      </w:r>
      <w:r>
        <w:t xml:space="preserve"> </w:t>
      </w:r>
      <w:r>
        <w:rPr>
          <w:rStyle w:val="VerbatimChar"/>
        </w:rPr>
        <w:t xml:space="preserve">pub_issue</w:t>
      </w:r>
      <w:r>
        <w:t xml:space="preserve"> </w:t>
      </w:r>
      <w:r>
        <w:t xml:space="preserve">is now extracted from</w:t>
      </w:r>
      <w:r>
        <w:t xml:space="preserve"> </w:t>
      </w:r>
      <w:r>
        <w:rPr>
          <w:rStyle w:val="VerbatimChar"/>
        </w:rPr>
        <w:t xml:space="preserve">JournalIssue/Issue</w:t>
      </w:r>
      <w:r>
        <w:t xml:space="preserve"> </w:t>
      </w:r>
      <w:r>
        <w:t xml:space="preserve">in the PubMed XML (</w:t>
      </w:r>
      <w:r>
        <w:rPr>
          <w:rStyle w:val="VerbatimChar"/>
        </w:rPr>
        <w:t xml:space="preserve">parse_pubmed_xml()</w:t>
      </w:r>
      <w:r>
        <w:t xml:space="preserve">), and exclusion requires either that the issue string contains</w:t>
      </w:r>
      <w:r>
        <w:t xml:space="preserve"> </w:t>
      </w:r>
      <w:r>
        <w:rPr>
          <w:rStyle w:val="VerbatimChar"/>
        </w:rPr>
        <w:t xml:space="preserve">"suppl"</w:t>
      </w:r>
      <w:r>
        <w:t xml:space="preserve">, or — where PubMed omits the issue field — that the publication month is November, the congress month:</w:t>
      </w:r>
    </w:p>
    <w:p>
      <w:pPr>
        <w:pStyle w:val="SourceCode"/>
      </w:pPr>
      <w:r>
        <w:rPr>
          <w:rStyle w:val="NormalTok"/>
        </w:rPr>
        <w:t xml:space="preserve">is_suppl_issue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(pub_issue), </w:t>
      </w:r>
      <w:r>
        <w:rPr>
          <w:rStyle w:val="StringTok"/>
        </w:rPr>
        <w:t xml:space="preserve">"suppl"</w:t>
      </w:r>
      <w:r>
        <w:rPr>
          <w:rStyle w:val="NormalTok"/>
        </w:rPr>
        <w:t xml:space="preserve">)) </w:t>
      </w:r>
      <w:r>
        <w:rPr>
          <w:rStyle w:val="SpecialCharTok"/>
        </w:rPr>
        <w:t xml:space="preserve">||</w:t>
      </w:r>
      <w:r>
        <w:br/>
      </w:r>
      <w:r>
        <w:rPr>
          <w:rStyle w:val="NormalTok"/>
        </w:rPr>
        <w:t xml:space="preserve">  (</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(pub_month) </w:t>
      </w:r>
      <w:r>
        <w:rPr>
          <w:rStyle w:val="SpecialCharTok"/>
        </w:rPr>
        <w:t xml:space="preserve">&amp;&amp;</w:t>
      </w:r>
      <w:r>
        <w:br/>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(pub_month), </w:t>
      </w:r>
      <w:r>
        <w:rPr>
          <w:rStyle w:val="StringTok"/>
        </w:rPr>
        <w:t xml:space="preserve">"^(nov|11)"</w:t>
      </w:r>
      <w:r>
        <w:rPr>
          <w:rStyle w:val="NormalTok"/>
        </w:rPr>
        <w:t xml:space="preserve">))</w:t>
      </w:r>
      <w:r>
        <w:br/>
      </w:r>
      <w:r>
        <w:br/>
      </w:r>
      <w:r>
        <w:rPr>
          <w:rStyle w:val="NormalTok"/>
        </w:rPr>
        <w:t xml:space="preserve">is_jmig </w:t>
      </w:r>
      <w:r>
        <w:rPr>
          <w:rStyle w:val="SpecialCharTok"/>
        </w:rPr>
        <w:t xml:space="preserve">&amp;&amp;</w:t>
      </w:r>
      <w:r>
        <w:rPr>
          <w:rStyle w:val="NormalTok"/>
        </w:rPr>
        <w:t xml:space="preserve"> is_supplement_vol </w:t>
      </w:r>
      <w:r>
        <w:rPr>
          <w:rStyle w:val="SpecialCharTok"/>
        </w:rPr>
        <w:t xml:space="preserve">&amp;&amp;</w:t>
      </w:r>
      <w:r>
        <w:rPr>
          <w:rStyle w:val="NormalTok"/>
        </w:rPr>
        <w:t xml:space="preserve"> is_supplement_year </w:t>
      </w:r>
      <w:r>
        <w:rPr>
          <w:rStyle w:val="SpecialCharTok"/>
        </w:rPr>
        <w:t xml:space="preserve">&amp;&amp;</w:t>
      </w:r>
      <w:r>
        <w:rPr>
          <w:rStyle w:val="NormalTok"/>
        </w:rPr>
        <w:t xml:space="preserve"> is_suppl_issue</w:t>
      </w:r>
    </w:p>
    <w:p>
      <w:pPr>
        <w:pStyle w:val="FirstParagraph"/>
      </w:pPr>
      <w:r>
        <w:t xml:space="preserve">The November fallback is a deliberate residual compromise. It is narrower than the original rule, since it applies only when the issue field is absent, but it is still a heuristic and will misclassify a genuine November JMIG article in a supplement volume whose issue metadata PubMed has not populated. Section A12.5 records this as a known limitation.</w:t>
      </w:r>
    </w:p>
    <w:bookmarkEnd w:id="166"/>
    <w:bookmarkStart w:id="167" w:name="X824c7944b581fc18423aeeceace3052ef2c647e"/>
    <w:p>
      <w:pPr>
        <w:pStyle w:val="Heading3"/>
      </w:pPr>
      <w:r>
        <w:t xml:space="preserve">A12.4 Stopword Removal Broke Title Phrase Search</w:t>
      </w:r>
    </w:p>
    <w:p>
      <w:pPr>
        <w:pStyle w:val="FirstParagraph"/>
      </w:pPr>
      <w:r>
        <w:t xml:space="preserve">Strategy 1 built its title phrase by discarding every token shorter than three characters and then joining the first eight survivors. The intent was to drop uninformative stopwords. The effect was to destroy the phrase.</w:t>
      </w:r>
    </w:p>
    <w:p>
      <w:pPr>
        <w:pStyle w:val="BodyText"/>
      </w:pPr>
      <w:r>
        <w:t xml:space="preserve">PubMed</w:t>
      </w:r>
      <w:r>
        <w:t xml:space="preserve"> </w:t>
      </w:r>
      <w:r>
        <w:rPr>
          <w:rStyle w:val="VerbatimChar"/>
        </w:rPr>
        <w:t xml:space="preserve">[TI]</w:t>
      </w:r>
      <w:r>
        <w:t xml:space="preserve"> </w:t>
      </w:r>
      <w:r>
        <w:t xml:space="preserve">phrase search matches consecutive words. Removing</w:t>
      </w:r>
      <w:r>
        <w:t xml:space="preserve"> </w:t>
      </w:r>
      <w:r>
        <w:rPr>
          <w:rStyle w:val="VerbatimChar"/>
        </w:rPr>
        <w:t xml:space="preserve">"in"</w:t>
      </w:r>
      <w:r>
        <w:t xml:space="preserve">,</w:t>
      </w:r>
      <w:r>
        <w:t xml:space="preserve"> </w:t>
      </w:r>
      <w:r>
        <w:rPr>
          <w:rStyle w:val="VerbatimChar"/>
        </w:rPr>
        <w:t xml:space="preserve">"of"</w:t>
      </w:r>
      <w:r>
        <w:t xml:space="preserve">, and</w:t>
      </w:r>
      <w:r>
        <w:t xml:space="preserve"> </w:t>
      </w:r>
      <w:r>
        <w:rPr>
          <w:rStyle w:val="VerbatimChar"/>
        </w:rPr>
        <w:t xml:space="preserve">"a"</w:t>
      </w:r>
      <w:r>
        <w:t xml:space="preserve"> </w:t>
      </w:r>
      <w:r>
        <w:t xml:space="preserve">from a title does not produce a shorter phrase that still matches — it produces a word sequence that never appears in any title.</w:t>
      </w:r>
      <w:r>
        <w:t xml:space="preserve"> </w:t>
      </w:r>
      <w:r>
        <w:rPr>
          <w:rStyle w:val="VerbatimChar"/>
        </w:rPr>
        <w:t xml:space="preserve">"outcomes robotic surgery obese patients"</w:t>
      </w:r>
      <w:r>
        <w:t xml:space="preserve"> </w:t>
      </w:r>
      <w:r>
        <w:t xml:space="preserve">does not match</w:t>
      </w:r>
      <w:r>
        <w:t xml:space="preserve"> </w:t>
      </w:r>
      <w:r>
        <w:rPr>
          <w:i/>
          <w:iCs/>
        </w:rPr>
        <w:t xml:space="preserve">“Outcomes of robotic surgery in obese patients”</w:t>
      </w:r>
      <w:r>
        <w:t xml:space="preserve">. Strategy 1, the highest-precision strategy in the pipeline, was reliably failing on any title containing a short function word, which is nearly all of them.</w:t>
      </w:r>
    </w:p>
    <w:p>
      <w:pPr>
        <w:pStyle w:val="BodyText"/>
      </w:pPr>
      <w:r>
        <w:t xml:space="preserve">The strategy now takes a consecutive eight-word window, preserving every token including stopwords, and begins the window at the first token of three or more characters:</w:t>
      </w:r>
    </w:p>
    <w:p>
      <w:pPr>
        <w:pStyle w:val="SourceCode"/>
      </w:pPr>
      <w:r>
        <w:rPr>
          <w:rStyle w:val="NormalTok"/>
        </w:rPr>
        <w:t xml:space="preserve">title_all_words </w:t>
      </w:r>
      <w:r>
        <w:rPr>
          <w:rStyle w:val="OtherTok"/>
        </w:rPr>
        <w:t xml:space="preserve">&lt;-</w:t>
      </w:r>
      <w:r>
        <w:rPr>
          <w:rStyle w:val="NormalTok"/>
        </w:rPr>
        <w:t xml:space="preserve"> </w:t>
      </w:r>
      <w:r>
        <w:rPr>
          <w:rStyle w:val="FunctionTok"/>
        </w:rPr>
        <w:t xml:space="preserve">str_split</w:t>
      </w:r>
      <w:r>
        <w:rPr>
          <w:rStyle w:val="NormalTok"/>
        </w:rPr>
        <w:t xml:space="preserve">(title_norm, </w:t>
      </w:r>
      <w:r>
        <w:rPr>
          <w:rStyle w:val="StringTok"/>
        </w:rPr>
        <w:t xml:space="preserve">"</w:t>
      </w:r>
      <w:r>
        <w:rPr>
          <w:rStyle w:val="SpecialCharTok"/>
        </w:rPr>
        <w:t xml:space="preserve">\\</w:t>
      </w:r>
      <w:r>
        <w:rPr>
          <w:rStyle w:val="StringTok"/>
        </w:rPr>
        <w:t xml:space="preserve">s+"</w:t>
      </w:r>
      <w:r>
        <w:rPr>
          <w:rStyle w:val="NormalTok"/>
        </w:rPr>
        <w:t xml:space="preserve">)[[</w:t>
      </w:r>
      <w:r>
        <w:rPr>
          <w:rStyle w:val="DecValTok"/>
        </w:rPr>
        <w:t xml:space="preserve">1</w:t>
      </w:r>
      <w:r>
        <w:rPr>
          <w:rStyle w:val="NormalTok"/>
        </w:rPr>
        <w:t xml:space="preserve">]]</w:t>
      </w:r>
      <w:r>
        <w:br/>
      </w:r>
      <w:r>
        <w:rPr>
          <w:rStyle w:val="NormalTok"/>
        </w:rPr>
        <w:t xml:space="preserve">start_idx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nchar</w:t>
      </w:r>
      <w:r>
        <w:rPr>
          <w:rStyle w:val="NormalTok"/>
        </w:rPr>
        <w:t xml:space="preserve">(title_all_words) </w:t>
      </w:r>
      <w:r>
        <w:rPr>
          <w:rStyle w:val="SpecialCharTok"/>
        </w:rPr>
        <w:t xml:space="preserve">&gt;=</w:t>
      </w:r>
      <w:r>
        <w:rPr>
          <w:rStyle w:val="NormalTok"/>
        </w:rPr>
        <w:t xml:space="preserve"> </w:t>
      </w:r>
      <w:r>
        <w:rPr>
          <w:rStyle w:val="DecValTok"/>
        </w:rPr>
        <w:t xml:space="preserve">3</w:t>
      </w:r>
      <w:r>
        <w:rPr>
          <w:rStyle w:val="NormalTok"/>
        </w:rPr>
        <w:t xml:space="preserve">)</w:t>
      </w:r>
      <w:r>
        <w:br/>
      </w:r>
      <w:r>
        <w:rPr>
          <w:rStyle w:val="NormalTok"/>
        </w:rPr>
        <w:t xml:space="preserve">s </w:t>
      </w:r>
      <w:r>
        <w:rPr>
          <w:rStyle w:val="OtherTok"/>
        </w:rPr>
        <w:t xml:space="preserve">&lt;-</w:t>
      </w:r>
      <w:r>
        <w:rPr>
          <w:rStyle w:val="NormalTok"/>
        </w:rPr>
        <w:t xml:space="preserve"> start_idx[</w:t>
      </w:r>
      <w:r>
        <w:rPr>
          <w:rStyle w:val="DecValTok"/>
        </w:rPr>
        <w:t xml:space="preserve">1</w:t>
      </w:r>
      <w:r>
        <w:rPr>
          <w:rStyle w:val="NormalTok"/>
        </w:rPr>
        <w:t xml:space="preserve">]</w:t>
      </w:r>
      <w:r>
        <w:br/>
      </w:r>
      <w:r>
        <w:rPr>
          <w:rStyle w:val="NormalTok"/>
        </w:rPr>
        <w:t xml:space="preserve">title_query_words </w:t>
      </w:r>
      <w:r>
        <w:rPr>
          <w:rStyle w:val="OtherTok"/>
        </w:rPr>
        <w:t xml:space="preserve">&lt;-</w:t>
      </w:r>
      <w:r>
        <w:rPr>
          <w:rStyle w:val="NormalTok"/>
        </w:rPr>
        <w:t xml:space="preserve"> title_all_words[s</w:t>
      </w:r>
      <w:r>
        <w:rPr>
          <w:rStyle w:val="SpecialCharTok"/>
        </w:rPr>
        <w:t xml:space="preserve">:</w:t>
      </w:r>
      <w:r>
        <w:rPr>
          <w:rStyle w:val="FunctionTok"/>
        </w:rPr>
        <w:t xml:space="preserve">min</w:t>
      </w:r>
      <w:r>
        <w:rPr>
          <w:rStyle w:val="NormalTok"/>
        </w:rPr>
        <w:t xml:space="preserve">(s </w:t>
      </w:r>
      <w:r>
        <w:rPr>
          <w:rStyle w:val="SpecialCharTok"/>
        </w:rPr>
        <w:t xml:space="preserve">+</w:t>
      </w:r>
      <w:r>
        <w:rPr>
          <w:rStyle w:val="NormalTok"/>
        </w:rPr>
        <w:t xml:space="preserve"> </w:t>
      </w:r>
      <w:r>
        <w:rPr>
          <w:rStyle w:val="DecValTok"/>
        </w:rPr>
        <w:t xml:space="preserve">7</w:t>
      </w:r>
      <w:r>
        <w:rPr>
          <w:rStyle w:val="DataTypeTok"/>
        </w:rPr>
        <w:t xml:space="preserve">L</w:t>
      </w:r>
      <w:r>
        <w:rPr>
          <w:rStyle w:val="NormalTok"/>
        </w:rPr>
        <w:t xml:space="preserve">, </w:t>
      </w:r>
      <w:r>
        <w:rPr>
          <w:rStyle w:val="FunctionTok"/>
        </w:rPr>
        <w:t xml:space="preserve">length</w:t>
      </w:r>
      <w:r>
        <w:rPr>
          <w:rStyle w:val="NormalTok"/>
        </w:rPr>
        <w:t xml:space="preserve">(title_all_words))]</w:t>
      </w:r>
    </w:p>
    <w:p>
      <w:pPr>
        <w:pStyle w:val="FirstParagraph"/>
      </w:pPr>
      <w:r>
        <w:t xml:space="preserve">Anchoring the start at the first substantial token preserves the original defensive intent — skipping a leading numeric artifact — while the consecutive window restores the phrase semantics the search depends on. This correction is partially redundant with A12.1, which removes session prefixes upstream; the anchor is retained as defence in depth against any leading-token artifact not covered by that pattern.</w:t>
      </w:r>
    </w:p>
    <w:bookmarkEnd w:id="167"/>
    <w:bookmarkStart w:id="168" w:name="X3cdd6e9a273aebae4910cb03a906fa7d2957250"/>
    <w:p>
      <w:pPr>
        <w:pStyle w:val="Heading3"/>
      </w:pPr>
      <w:r>
        <w:t xml:space="preserve">A12.5 Combined Effect and Known Limitations</w:t>
      </w:r>
    </w:p>
    <w:p>
      <w:pPr>
        <w:pStyle w:val="FirstParagraph"/>
      </w:pPr>
      <w:r>
        <w:t xml:space="preserve">All four defects biased in the same direction: each one suppressed true matches. A12.1 and A12.4 removed the strongest search strategy for affected abstracts; A12.3 discarded genuine JMIG publications; A12.2 allowed non-articles to displace real ones. The corrected pipeline should therefore report a publication rate no lower than the original, with the increase concentrated in JMIG publications and in the 2013, 2017, 2018, and 2021 congresses.</w:t>
      </w:r>
    </w:p>
    <w:p>
      <w:pPr>
        <w:pStyle w:val="BodyText"/>
      </w:pPr>
      <w:r>
        <w:t xml:space="preserve">Because these four corrections shipped together in a single re-run, their individual contributions are not separately identified in the current results. Attributing the change to any one defect would require four additional pipeline runs holding the others fixed. No such ablation has been performed.</w:t>
      </w:r>
    </w:p>
    <w:p>
      <w:pPr>
        <w:pStyle w:val="BodyText"/>
      </w:pPr>
      <w:r>
        <w:t xml:space="preserve">Two limitations remain open:</w:t>
      </w:r>
    </w:p>
    <w:p>
      <w:pPr>
        <w:pStyle w:val="BodyText"/>
      </w:pPr>
      <w:r>
        <w:rPr>
          <w:b/>
          <w:bCs/>
        </w:rPr>
        <w:t xml:space="preserve">Supplement detection still depends on a month heuristic.</w:t>
      </w:r>
      <w:r>
        <w:t xml:space="preserve"> </w:t>
      </w:r>
      <w:r>
        <w:t xml:space="preserve">Where PubMed does not populate the issue field, exclusion falls back to a November publication month. A genuine November JMIG article in a supplement volume with missing issue metadata will still be wrongly excluded. Quantifying this residual requires auditing JMIG records with absent</w:t>
      </w:r>
      <w:r>
        <w:t xml:space="preserve"> </w:t>
      </w:r>
      <w:r>
        <w:rPr>
          <w:rStyle w:val="VerbatimChar"/>
        </w:rPr>
        <w:t xml:space="preserve">Issue</w:t>
      </w:r>
      <w:r>
        <w:t xml:space="preserve"> </w:t>
      </w:r>
      <w:r>
        <w:t xml:space="preserve">values against the print record.</w:t>
      </w:r>
    </w:p>
    <w:p>
      <w:pPr>
        <w:pStyle w:val="BodyText"/>
      </w:pPr>
      <w:r>
        <w:rPr>
          <w:b/>
          <w:bCs/>
        </w:rPr>
        <w:t xml:space="preserve">Publication-type exclusion is not free of risk.</w:t>
      </w:r>
      <w:r>
        <w:t xml:space="preserve"> </w:t>
      </w:r>
      <w:r>
        <w:t xml:space="preserve">A small number of legitimate full publications are indexed by PubMed under</w:t>
      </w:r>
      <w:r>
        <w:t xml:space="preserve"> </w:t>
      </w:r>
      <w:r>
        <w:rPr>
          <w:rStyle w:val="VerbatimChar"/>
        </w:rPr>
        <w:t xml:space="preserve">"Letter"[PT]</w:t>
      </w:r>
      <w:r>
        <w:t xml:space="preserve"> </w:t>
      </w:r>
      <w:r>
        <w:t xml:space="preserve">— brief research reports in journals that classify short-format original research this way. Excluding the type wholesale trades a small number of these for a much larger reduction in false-positive commentary. The trade is believed favourable but has not been measured against the gold standard.</w:t>
      </w:r>
    </w:p>
    <w:bookmarkEnd w:id="168"/>
    <w:bookmarkStart w:id="169" w:name="Xc64e93adf22a333c4c2470895341fae5910479c"/>
    <w:p>
      <w:pPr>
        <w:pStyle w:val="Heading3"/>
      </w:pPr>
      <w:r>
        <w:t xml:space="preserve">A12.6 Cross-Source Gender Conflict Detection</w:t>
      </w:r>
    </w:p>
    <w:p>
      <w:pPr>
        <w:pStyle w:val="FirstParagraph"/>
      </w:pPr>
      <w:r>
        <w:t xml:space="preserve">The gender waterfall documented in A10.11–A10.15 resolves a single value per author from up to ten sources by priority order. Priority resolution is silent about disagreement: an author assigned by NPI and contradicted by OpenAlex produced the same output as an author for whom only one source had an opinion.</w:t>
      </w:r>
    </w:p>
    <w:p>
      <w:pPr>
        <w:pStyle w:val="BodyText"/>
      </w:pPr>
      <w:r>
        <w:t xml:space="preserve">Two columns now record the shape of the evidence rather than only its winner.</w:t>
      </w:r>
      <w:r>
        <w:t xml:space="preserve"> </w:t>
      </w:r>
      <w:r>
        <w:rPr>
          <w:rStyle w:val="VerbatimChar"/>
        </w:rPr>
        <w:t xml:space="preserve">gender_n_sources</w:t>
      </w:r>
      <w:r>
        <w:t xml:space="preserve"> </w:t>
      </w:r>
      <w:r>
        <w:t xml:space="preserve">counts contributing sources;</w:t>
      </w:r>
      <w:r>
        <w:t xml:space="preserve"> </w:t>
      </w:r>
      <w:r>
        <w:rPr>
          <w:rStyle w:val="VerbatimChar"/>
        </w:rPr>
        <w:t xml:space="preserve">gender_conflict</w:t>
      </w:r>
      <w:r>
        <w:t xml:space="preserve"> </w:t>
      </w:r>
      <w:r>
        <w:t xml:space="preserve">flags authors where those sources disagree. Both are populated for every row. A sidecar,</w:t>
      </w:r>
      <w:r>
        <w:t xml:space="preserve"> </w:t>
      </w:r>
      <w:r>
        <w:rPr>
          <w:rStyle w:val="VerbatimChar"/>
        </w:rPr>
        <w:t xml:space="preserve">data/processed/gender_conflicts.csv</w:t>
      </w:r>
      <w:r>
        <w:t xml:space="preserve">, enumerates the disagreements with the competing values, in 277 rows.</w:t>
      </w:r>
    </w:p>
    <w:p>
      <w:pPr>
        <w:pStyle w:val="BodyText"/>
      </w:pPr>
      <w:r>
        <w:t xml:space="preserve">Two further sources were added to the waterfall: OpenAlex author search (157 resolutions) and CMS Open Payments (16). Coverage of</w:t>
      </w:r>
      <w:r>
        <w:t xml:space="preserve"> </w:t>
      </w:r>
      <w:r>
        <w:rPr>
          <w:rStyle w:val="VerbatimChar"/>
        </w:rPr>
        <w:t xml:space="preserve">gender_unified</w:t>
      </w:r>
      <w:r>
        <w:t xml:space="preserve"> </w:t>
      </w:r>
      <w:r>
        <w:t xml:space="preserve">on the analytical dataset is 98.8% (1,067 rows).</w:t>
      </w:r>
    </w:p>
    <w:p>
      <w:pPr>
        <w:pStyle w:val="BodyText"/>
      </w:pPr>
      <w:r>
        <w:t xml:space="preserve">These columns exist to make sensitivity analysis possible. Any analysis stratified by author gender can now be re-run on the unconflicted subset to establish whether a reported association survives restriction to authors whose gender assignment is uncontested. That analysis is enabled by this change but has not yet been performed.</w:t>
      </w:r>
    </w:p>
    <w:p>
      <w:pPr>
        <w:pStyle w:val="BodyText"/>
      </w:pPr>
      <w:r>
        <w:rPr>
          <w:b/>
          <w:bCs/>
        </w:rPr>
        <w:t xml:space="preserve">Second-author triangulation returned no resolutions.</w:t>
      </w:r>
      <w:r>
        <w:t xml:space="preserve"> </w:t>
      </w:r>
      <w:r>
        <w:rPr>
          <w:rStyle w:val="VerbatimChar"/>
        </w:rPr>
        <w:t xml:space="preserve">10g_second_author_triangulation.R</w:t>
      </w:r>
      <w:r>
        <w:t xml:space="preserve"> </w:t>
      </w:r>
      <w:r>
        <w:t xml:space="preserve">runs and writes</w:t>
      </w:r>
      <w:r>
        <w:t xml:space="preserve"> </w:t>
      </w:r>
      <w:r>
        <w:rPr>
          <w:rStyle w:val="VerbatimChar"/>
        </w:rPr>
        <w:t xml:space="preserve">second_author_triangulation.csv</w:t>
      </w:r>
      <w:r>
        <w:t xml:space="preserve"> </w:t>
      </w:r>
      <w:r>
        <w:t xml:space="preserve">with zero rows. The script is retained because the senior-author equivalent (A10.11) does produce resolutions, but the second-author route currently contributes nothing to the waterfall and should not be counted as an active source.</w:t>
      </w:r>
    </w:p>
    <w:bookmarkEnd w:id="169"/>
    <w:bookmarkStart w:id="173" w:name="X0b416797b2e2e113c47d37135b95cd7862d1799"/>
    <w:p>
      <w:pPr>
        <w:pStyle w:val="Heading3"/>
      </w:pPr>
      <w:r>
        <w:t xml:space="preserve">A12.7 Denominator Defect in Cohort Assembly (Corrected)</w:t>
      </w:r>
    </w:p>
    <w:p>
      <w:pPr>
        <w:pStyle w:val="FirstParagraph"/>
      </w:pPr>
      <w:r>
        <w:t xml:space="preserve">A defect in cohort assembly was identified while reconciling row counts between pipeline stages, and has been corrected. It affected the reported publication rate directly.</w:t>
      </w:r>
    </w:p>
    <w:p>
      <w:pPr>
        <w:pStyle w:val="BodyText"/>
      </w:pPr>
      <w:r>
        <w:rPr>
          <w:rStyle w:val="VerbatimChar"/>
        </w:rPr>
        <w:t xml:space="preserve">abstracts_cleaned.csv</w:t>
      </w:r>
      <w:r>
        <w:t xml:space="preserve"> </w:t>
      </w:r>
      <w:r>
        <w:t xml:space="preserve">carried 1,106 abstracts;</w:t>
      </w:r>
      <w:r>
        <w:t xml:space="preserve"> </w:t>
      </w:r>
      <w:r>
        <w:rPr>
          <w:rStyle w:val="VerbatimChar"/>
        </w:rPr>
        <w:t xml:space="preserve">abstracts_with_matches.csv</w:t>
      </w:r>
      <w:r>
        <w:t xml:space="preserve">, the analytical file, carried 1,067. The 39-row difference was not attrition from data quality. The missing rows showed no elevated missingness on any column, were all</w:t>
      </w:r>
      <w:r>
        <w:t xml:space="preserve"> </w:t>
      </w:r>
      <w:r>
        <w:rPr>
          <w:rStyle w:val="VerbatimChar"/>
        </w:rPr>
        <w:t xml:space="preserve">session_type == "Oral"</w:t>
      </w:r>
      <w:r>
        <w:t xml:space="preserve">, and were distributed across all twelve congresses.</w:t>
      </w:r>
    </w:p>
    <w:p>
      <w:pPr>
        <w:pStyle w:val="BodyText"/>
      </w:pPr>
      <w:r>
        <w:t xml:space="preserve">They were exactly the abstracts whose best-scoring candidate carried the</w:t>
      </w:r>
      <w:r>
        <w:t xml:space="preserve"> </w:t>
      </w:r>
      <w:r>
        <w:rPr>
          <w:rStyle w:val="VerbatimChar"/>
        </w:rPr>
        <w:t xml:space="preserve">excluded</w:t>
      </w:r>
      <w:r>
        <w:t xml:space="preserve"> </w:t>
      </w:r>
      <w:r>
        <w:t xml:space="preserve">classification, meaning the candidate publication predates the conference.</w:t>
      </w:r>
      <w:r>
        <w:t xml:space="preserve"> </w:t>
      </w:r>
      <w:r>
        <w:rPr>
          <w:rStyle w:val="VerbatimChar"/>
        </w:rPr>
        <w:t xml:space="preserve">R/05_adjudicate.R</w:t>
      </w:r>
      <w:r>
        <w:t xml:space="preserve"> </w:t>
      </w:r>
      <w:r>
        <w:t xml:space="preserve">responded to that classification by filtering the abstract out of the cohort:</w:t>
      </w:r>
    </w:p>
    <w:p>
      <w:pPr>
        <w:pStyle w:val="SourceCode"/>
      </w:pPr>
      <w:r>
        <w:rPr>
          <w:rStyle w:val="NormalTok"/>
        </w:rPr>
        <w:t xml:space="preserve">results </w:t>
      </w:r>
      <w:r>
        <w:rPr>
          <w:rStyle w:val="OtherTok"/>
        </w:rPr>
        <w:t xml:space="preserve">&lt;-</w:t>
      </w:r>
      <w:r>
        <w:rPr>
          <w:rStyle w:val="NormalTok"/>
        </w:rPr>
        <w:t xml:space="preserve"> results </w:t>
      </w:r>
      <w:r>
        <w:rPr>
          <w:rStyle w:val="SpecialCharTok"/>
        </w:rPr>
        <w:t xml:space="preserve">|&gt;</w:t>
      </w:r>
      <w:r>
        <w:rPr>
          <w:rStyle w:val="NormalTok"/>
        </w:rPr>
        <w:t xml:space="preserve"> </w:t>
      </w:r>
      <w:r>
        <w:rPr>
          <w:rStyle w:val="FunctionTok"/>
        </w:rPr>
        <w:t xml:space="preserve">filter</w:t>
      </w:r>
      <w:r>
        <w:rPr>
          <w:rStyle w:val="NormalTok"/>
        </w:rPr>
        <w:t xml:space="preserve">(classification </w:t>
      </w:r>
      <w:r>
        <w:rPr>
          <w:rStyle w:val="SpecialCharTok"/>
        </w:rPr>
        <w:t xml:space="preserve">!=</w:t>
      </w:r>
      <w:r>
        <w:rPr>
          <w:rStyle w:val="NormalTok"/>
        </w:rPr>
        <w:t xml:space="preserve"> </w:t>
      </w:r>
      <w:r>
        <w:rPr>
          <w:rStyle w:val="StringTok"/>
        </w:rPr>
        <w:t xml:space="preserve">"excluded"</w:t>
      </w:r>
      <w:r>
        <w:rPr>
          <w:rStyle w:val="NormalTok"/>
        </w:rPr>
        <w:t xml:space="preserve">)</w:t>
      </w:r>
    </w:p>
    <w:p>
      <w:pPr>
        <w:pStyle w:val="FirstParagraph"/>
      </w:pPr>
      <w:r>
        <w:t xml:space="preserve">The classification is a statement about the candidate, not about the abstract. A pre-conference paper cannot represent the full publication of a congress abstract, so the correct response is to invalidate that candidate — not to remove the presentation from the study. The Cochrane MR000005 denominator is abstracts</w:t>
      </w:r>
      <w:r>
        <w:t xml:space="preserve"> </w:t>
      </w:r>
      <w:r>
        <w:rPr>
          <w:i/>
          <w:iCs/>
        </w:rPr>
        <w:t xml:space="preserve">presented</w:t>
      </w:r>
      <w:r>
        <w:t xml:space="preserve">, not abstracts for which a valid candidate was located.</w:t>
      </w:r>
    </w:p>
    <w:p>
      <w:pPr>
        <w:pStyle w:val="BodyText"/>
      </w:pPr>
      <w:r>
        <w:t xml:space="preserve">The filter has been removed. The abstracts are retained and, having no valid post-conference publication, counted as unpublished. No downstream change was required:</w:t>
      </w:r>
      <w:r>
        <w:t xml:space="preserve"> </w:t>
      </w:r>
      <w:r>
        <w:rPr>
          <w:rStyle w:val="VerbatimChar"/>
        </w:rPr>
        <w:t xml:space="preserve">06_analyze_results.R</w:t>
      </w:r>
      <w:r>
        <w:t xml:space="preserve">,</w:t>
      </w:r>
      <w:r>
        <w:t xml:space="preserve"> </w:t>
      </w:r>
      <w:r>
        <w:rPr>
          <w:rStyle w:val="VerbatimChar"/>
        </w:rPr>
        <w:t xml:space="preserve">07_make_tables.R</w:t>
      </w:r>
      <w:r>
        <w:t xml:space="preserve">,</w:t>
      </w:r>
      <w:r>
        <w:t xml:space="preserve"> </w:t>
      </w:r>
      <w:r>
        <w:rPr>
          <w:rStyle w:val="VerbatimChar"/>
        </w:rPr>
        <w:t xml:space="preserve">08_make_figures.R</w:t>
      </w:r>
      <w:r>
        <w:t xml:space="preserve">, and the adjudication app already map</w:t>
      </w:r>
      <w:r>
        <w:t xml:space="preserve"> </w:t>
      </w:r>
      <w:r>
        <w:rPr>
          <w:rStyle w:val="VerbatimChar"/>
        </w:rPr>
        <w:t xml:space="preserve">classification == "excluded"</w:t>
      </w:r>
      <w:r>
        <w:t xml:space="preserve"> </w:t>
      </w:r>
      <w:r>
        <w:t xml:space="preserve">to</w:t>
      </w:r>
      <w:r>
        <w:t xml:space="preserve"> </w:t>
      </w:r>
      <w:r>
        <w:rPr>
          <w:rStyle w:val="VerbatimChar"/>
        </w:rPr>
        <w:t xml:space="preserve">published = FALSE</w:t>
      </w:r>
      <w:r>
        <w:t xml:space="preserve">. Those scripts were written expecting these rows to be present; the filter was the anomaly.</w:t>
      </w:r>
    </w:p>
    <w:p>
      <w:pPr>
        <w:pStyle w:val="BodyText"/>
      </w:pPr>
      <w:r>
        <w:t xml:space="preserve">Publication fields are left populated on the retained rows. They describe the pre-conference paper that triggered the exclusion, which is the evidence for the decision.</w:t>
      </w:r>
      <w:r>
        <w:t xml:space="preserve"> </w:t>
      </w:r>
      <w:r>
        <w:rPr>
          <w:rStyle w:val="VerbatimChar"/>
        </w:rPr>
        <w:t xml:space="preserve">months_to_pub</w:t>
      </w:r>
      <w:r>
        <w:t xml:space="preserve"> </w:t>
      </w:r>
      <w:r>
        <w:t xml:space="preserve">is negative on these rows by construction, and nothing consumes it without first gating on the published flag.</w:t>
      </w:r>
    </w:p>
    <w:bookmarkStart w:id="170" w:name="effect-on-the-reported-result"/>
    <w:p>
      <w:pPr>
        <w:pStyle w:val="Heading4"/>
      </w:pPr>
      <w:r>
        <w:t xml:space="preserve">Effect on the reported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w:t>
            </w:r>
          </w:p>
        </w:tc>
        <w:tc>
          <w:tcPr/>
          <w:p>
            <w:pPr>
              <w:pStyle w:val="Compact"/>
            </w:pPr>
            <w:r>
              <w:t xml:space="preserve">After</w:t>
            </w:r>
          </w:p>
        </w:tc>
      </w:tr>
      <w:tr>
        <w:tc>
          <w:tcPr/>
          <w:p>
            <w:pPr>
              <w:pStyle w:val="Compact"/>
            </w:pPr>
            <w:r>
              <w:t xml:space="preserve">Cohort</w:t>
            </w:r>
          </w:p>
        </w:tc>
        <w:tc>
          <w:tcPr/>
          <w:p>
            <w:pPr>
              <w:pStyle w:val="Compact"/>
            </w:pPr>
            <w:r>
              <w:t xml:space="preserve">1,067</w:t>
            </w:r>
          </w:p>
        </w:tc>
        <w:tc>
          <w:tcPr/>
          <w:p>
            <w:pPr>
              <w:pStyle w:val="Compact"/>
            </w:pPr>
            <w:r>
              <w:t xml:space="preserve">1,106</w:t>
            </w:r>
          </w:p>
        </w:tc>
      </w:tr>
      <w:tr>
        <w:tc>
          <w:tcPr/>
          <w:p>
            <w:pPr>
              <w:pStyle w:val="Compact"/>
            </w:pPr>
            <w:r>
              <w:t xml:space="preserve">Published</w:t>
            </w:r>
          </w:p>
        </w:tc>
        <w:tc>
          <w:tcPr/>
          <w:p>
            <w:pPr>
              <w:pStyle w:val="Compact"/>
            </w:pPr>
            <w:r>
              <w:t xml:space="preserve">174</w:t>
            </w:r>
          </w:p>
        </w:tc>
        <w:tc>
          <w:tcPr/>
          <w:p>
            <w:pPr>
              <w:pStyle w:val="Compact"/>
            </w:pPr>
            <w:r>
              <w:t xml:space="preserve">178</w:t>
            </w:r>
          </w:p>
        </w:tc>
      </w:tr>
      <w:tr>
        <w:tc>
          <w:tcPr/>
          <w:p>
            <w:pPr>
              <w:pStyle w:val="Compact"/>
            </w:pPr>
            <w:r>
              <w:t xml:space="preserve">Not published</w:t>
            </w:r>
          </w:p>
        </w:tc>
        <w:tc>
          <w:tcPr/>
          <w:p>
            <w:pPr>
              <w:pStyle w:val="Compact"/>
            </w:pPr>
            <w:r>
              <w:t xml:space="preserve">838</w:t>
            </w:r>
          </w:p>
        </w:tc>
        <w:tc>
          <w:tcPr/>
          <w:p>
            <w:pPr>
              <w:pStyle w:val="Compact"/>
            </w:pPr>
            <w:r>
              <w:t xml:space="preserve">873</w:t>
            </w:r>
          </w:p>
        </w:tc>
      </w:tr>
      <w:tr>
        <w:tc>
          <w:tcPr/>
          <w:p>
            <w:pPr>
              <w:pStyle w:val="Compact"/>
            </w:pPr>
            <w:r>
              <w:t xml:space="preserve">Pending review</w:t>
            </w:r>
          </w:p>
        </w:tc>
        <w:tc>
          <w:tcPr/>
          <w:p>
            <w:pPr>
              <w:pStyle w:val="Compact"/>
            </w:pPr>
            <w:r>
              <w:t xml:space="preserve">55</w:t>
            </w:r>
          </w:p>
        </w:tc>
        <w:tc>
          <w:tcPr/>
          <w:p>
            <w:pPr>
              <w:pStyle w:val="Compact"/>
            </w:pPr>
            <w:r>
              <w:t xml:space="preserve">55</w:t>
            </w:r>
          </w:p>
        </w:tc>
      </w:tr>
      <w:tr>
        <w:tc>
          <w:tcPr/>
          <w:p>
            <w:pPr>
              <w:pStyle w:val="Compact"/>
            </w:pPr>
            <w:r>
              <w:rPr>
                <w:b/>
                <w:bCs/>
              </w:rPr>
              <w:t xml:space="preserve">Publication rate</w:t>
            </w:r>
          </w:p>
        </w:tc>
        <w:tc>
          <w:tcPr/>
          <w:p>
            <w:pPr>
              <w:pStyle w:val="Compact"/>
            </w:pPr>
            <w:r>
              <w:rPr>
                <w:b/>
                <w:bCs/>
              </w:rPr>
              <w:t xml:space="preserve">17.2%</w:t>
            </w:r>
            <w:r>
              <w:t xml:space="preserve"> </w:t>
            </w:r>
            <w:r>
              <w:t xml:space="preserve">(95% CI 15.0–19.6)</w:t>
            </w:r>
          </w:p>
        </w:tc>
        <w:tc>
          <w:tcPr/>
          <w:p>
            <w:pPr>
              <w:pStyle w:val="Compact"/>
            </w:pPr>
            <w:r>
              <w:rPr>
                <w:b/>
                <w:bCs/>
              </w:rPr>
              <w:t xml:space="preserve">16.9%</w:t>
            </w:r>
            <w:r>
              <w:t xml:space="preserve"> </w:t>
            </w:r>
            <w:r>
              <w:t xml:space="preserve">(95% CI 14.8–19.3)</w:t>
            </w:r>
          </w:p>
        </w:tc>
      </w:tr>
    </w:tbl>
    <w:bookmarkEnd w:id="170"/>
    <w:bookmarkStart w:id="171" w:name="X4c69b4d62c520044987961c6d9671ea1aa352ed"/>
    <w:p>
      <w:pPr>
        <w:pStyle w:val="Heading4"/>
      </w:pPr>
      <w:r>
        <w:t xml:space="preserve">The defect also discarded confirmed publications</w:t>
      </w:r>
    </w:p>
    <w:p>
      <w:pPr>
        <w:pStyle w:val="FirstParagraph"/>
      </w:pPr>
      <w:r>
        <w:t xml:space="preserve">The bias was expected to run in one direction: removing non-events from the denominator inflates the rate. That was the larger effect, but it was not the only one.</w:t>
      </w:r>
    </w:p>
    <w:p>
      <w:pPr>
        <w:pStyle w:val="BodyText"/>
      </w:pPr>
      <w:r>
        <w:t xml:space="preserve">Of the 39 recovered abstracts,</w:t>
      </w:r>
      <w:r>
        <w:t xml:space="preserve"> </w:t>
      </w:r>
      <w:r>
        <w:rPr>
          <w:b/>
          <w:bCs/>
        </w:rPr>
        <w:t xml:space="preserve">35 are unpublished and 4 are published</w:t>
      </w:r>
      <w:r>
        <w:t xml:space="preserve">. The four carry an explicit human adjudication of</w:t>
      </w:r>
      <w:r>
        <w:t xml:space="preserve"> </w:t>
      </w:r>
      <w:r>
        <w:rPr>
          <w:rStyle w:val="VerbatimChar"/>
        </w:rPr>
        <w:t xml:space="preserve">manual_decision == "match"</w:t>
      </w:r>
      <w:r>
        <w:t xml:space="preserve"> </w:t>
      </w:r>
      <w:r>
        <w:t xml:space="preserve">against a specific PMID: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Congress</w:t>
            </w:r>
          </w:p>
        </w:tc>
        <w:tc>
          <w:tcPr/>
          <w:p>
            <w:pPr>
              <w:pStyle w:val="Compact"/>
            </w:pPr>
            <w:r>
              <w:t xml:space="preserve">PMID</w:t>
            </w:r>
          </w:p>
        </w:tc>
      </w:tr>
      <w:tr>
        <w:tc>
          <w:tcPr/>
          <w:p>
            <w:pPr>
              <w:pStyle w:val="Compact"/>
            </w:pPr>
            <w:r>
              <w:t xml:space="preserve">AAGL2021_002</w:t>
            </w:r>
          </w:p>
        </w:tc>
        <w:tc>
          <w:tcPr/>
          <w:p>
            <w:pPr>
              <w:pStyle w:val="Compact"/>
            </w:pPr>
            <w:r>
              <w:t xml:space="preserve">2021</w:t>
            </w:r>
          </w:p>
        </w:tc>
        <w:tc>
          <w:tcPr/>
          <w:p>
            <w:pPr>
              <w:pStyle w:val="Compact"/>
            </w:pPr>
            <w:r>
              <w:t xml:space="preserve">33992450</w:t>
            </w:r>
          </w:p>
        </w:tc>
      </w:tr>
      <w:tr>
        <w:tc>
          <w:tcPr/>
          <w:p>
            <w:pPr>
              <w:pStyle w:val="Compact"/>
            </w:pPr>
            <w:r>
              <w:t xml:space="preserve">AAGL2021_049</w:t>
            </w:r>
          </w:p>
        </w:tc>
        <w:tc>
          <w:tcPr/>
          <w:p>
            <w:pPr>
              <w:pStyle w:val="Compact"/>
            </w:pPr>
            <w:r>
              <w:t xml:space="preserve">2021</w:t>
            </w:r>
          </w:p>
        </w:tc>
        <w:tc>
          <w:tcPr/>
          <w:p>
            <w:pPr>
              <w:pStyle w:val="Compact"/>
            </w:pPr>
            <w:r>
              <w:t xml:space="preserve">34130801</w:t>
            </w:r>
          </w:p>
        </w:tc>
      </w:tr>
      <w:tr>
        <w:tc>
          <w:tcPr/>
          <w:p>
            <w:pPr>
              <w:pStyle w:val="Compact"/>
            </w:pPr>
            <w:r>
              <w:t xml:space="preserve">AAGL2023_042</w:t>
            </w:r>
          </w:p>
        </w:tc>
        <w:tc>
          <w:tcPr/>
          <w:p>
            <w:pPr>
              <w:pStyle w:val="Compact"/>
            </w:pPr>
            <w:r>
              <w:t xml:space="preserve">2023</w:t>
            </w:r>
          </w:p>
        </w:tc>
        <w:tc>
          <w:tcPr/>
          <w:p>
            <w:pPr>
              <w:pStyle w:val="Compact"/>
            </w:pPr>
            <w:r>
              <w:t xml:space="preserve">36852512</w:t>
            </w:r>
          </w:p>
        </w:tc>
      </w:tr>
      <w:tr>
        <w:tc>
          <w:tcPr/>
          <w:p>
            <w:pPr>
              <w:pStyle w:val="Compact"/>
            </w:pPr>
            <w:r>
              <w:t xml:space="preserve">AAGL2023_048</w:t>
            </w:r>
          </w:p>
        </w:tc>
        <w:tc>
          <w:tcPr/>
          <w:p>
            <w:pPr>
              <w:pStyle w:val="Compact"/>
            </w:pPr>
            <w:r>
              <w:t xml:space="preserve">2023</w:t>
            </w:r>
          </w:p>
        </w:tc>
        <w:tc>
          <w:tcPr/>
          <w:p>
            <w:pPr>
              <w:pStyle w:val="Compact"/>
            </w:pPr>
            <w:r>
              <w:t xml:space="preserve">37271737</w:t>
            </w:r>
          </w:p>
        </w:tc>
      </w:tr>
    </w:tbl>
    <w:p>
      <w:pPr>
        <w:pStyle w:val="BodyText"/>
      </w:pPr>
      <w:r>
        <w:t xml:space="preserve">For these four, a reviewer examined the candidate and recorded a match, while the algorithm had classified it pre-conference. The filter discarded the abstract before that human decision could take effect, removing confirmed publications from the numerator as well as non-events from the denominator. The two effects act in opposite directions, which is why the corrected rate moves by only 0.3 percentage points rather than the 0.6 predicted from the denominator change alone.</w:t>
      </w:r>
    </w:p>
    <w:p>
      <w:pPr>
        <w:pStyle w:val="BodyText"/>
      </w:pPr>
      <w:r>
        <w:t xml:space="preserve">These four warrant review on their own merits. A human match against a candidate the algorithm dates before the congress is most likely an online-first publication that appeared ahead of the November meeting. Whether such a paper counts as the conference-to-publication conversion is a methodological question this correction does not settle: it preserves the reviewer’s decision rather than overriding it, on the principle that human adjudication takes precedence over algorithmic classification, which is the convention already encoded in</w:t>
      </w:r>
      <w:r>
        <w:t xml:space="preserve"> </w:t>
      </w:r>
      <w:r>
        <w:rPr>
          <w:rStyle w:val="VerbatimChar"/>
        </w:rPr>
        <w:t xml:space="preserve">final_published</w:t>
      </w:r>
      <w:r>
        <w:t xml:space="preserve">.</w:t>
      </w:r>
    </w:p>
    <w:bookmarkEnd w:id="171"/>
    <w:bookmarkStart w:id="172" w:name="remaining-limitation"/>
    <w:p>
      <w:pPr>
        <w:pStyle w:val="Heading4"/>
      </w:pPr>
      <w:r>
        <w:t xml:space="preserve">Remaining limitation</w:t>
      </w:r>
    </w:p>
    <w:p>
      <w:pPr>
        <w:pStyle w:val="FirstParagraph"/>
      </w:pPr>
      <w:r>
        <w:t xml:space="preserve">Abstracts whose best candidate is pre-conference are counted as unpublished without re-scoring against their next-best candidate. If the true publication was ranked second, it is not recovered. Quantifying that would require re-running adjudication with the pre-conference candidate suppressed and the next candidate promoted. That has not been done.</w:t>
      </w:r>
    </w:p>
    <w:bookmarkEnd w:id="172"/>
    <w:bookmarkEnd w:id="173"/>
    <w:bookmarkEnd w:id="174"/>
    <w:bookmarkStart w:id="183" w:name="a13.-the-denominator-chain"/>
    <w:p>
      <w:pPr>
        <w:pStyle w:val="Heading2"/>
      </w:pPr>
      <w:r>
        <w:t xml:space="preserve">A13. The Denominator Chain</w:t>
      </w:r>
    </w:p>
    <w:p>
      <w:pPr>
        <w:pStyle w:val="FirstParagraph"/>
      </w:pPr>
      <w:r>
        <w:t xml:space="preserve">Section A12.7 corrected a defect that removed 39 abstracts from the cohort. Reconciling the numbers afterward showed that the reported publication rate still cannot be reconstructed from the figures the pipeline exports. This section documents the full chain from parsed abstracts to the denominator, identifies where each reduction occurs in code, and separates the reductions that are methodological decisions from those that are defects.</w:t>
      </w:r>
    </w:p>
    <w:bookmarkStart w:id="175" w:name="Xaec3024e5f265282d77e2a408973c1cfde8cf18"/>
    <w:p>
      <w:pPr>
        <w:pStyle w:val="Heading3"/>
      </w:pPr>
      <w:r>
        <w:t xml:space="preserve">A13.1 The chain from parsed abstracts to the denominator</w:t>
      </w:r>
    </w:p>
    <w:p>
      <w:pPr>
        <w:pStyle w:val="SourceCode"/>
      </w:pPr>
      <w:r>
        <w:rPr>
          <w:rStyle w:val="VerbatimChar"/>
        </w:rPr>
        <w:t xml:space="preserve">1,154   parsed from the congress supplements</w:t>
      </w:r>
      <w:r>
        <w:br/>
      </w:r>
      <w:r>
        <w:rPr>
          <w:rStyle w:val="VerbatimChar"/>
        </w:rPr>
        <w:t xml:space="preserve">  -48   video presentations, dropped at R/02_clean_abstracts.R:34</w:t>
      </w:r>
      <w:r>
        <w:br/>
      </w:r>
      <w:r>
        <w:rPr>
          <w:rStyle w:val="VerbatimChar"/>
        </w:rPr>
        <w:t xml:space="preserve">1,106   cleaned cohort, all oral            &lt;- the COHORT</w:t>
      </w:r>
      <w:r>
        <w:br/>
      </w:r>
      <w:r>
        <w:rPr>
          <w:rStyle w:val="VerbatimChar"/>
        </w:rPr>
        <w:t xml:space="preserve">  -55   final_published = NA</w:t>
      </w:r>
      <w:r>
        <w:br/>
      </w:r>
      <w:r>
        <w:rPr>
          <w:rStyle w:val="VerbatimChar"/>
        </w:rPr>
        <w:t xml:space="preserve">1,051   evaluated                           &lt;- the DENOMINATOR</w:t>
      </w:r>
    </w:p>
    <w:p>
      <w:pPr>
        <w:pStyle w:val="FirstParagraph"/>
      </w:pPr>
      <w:r>
        <w:t xml:space="preserve">The publication rate is 178 / 1,051 =</w:t>
      </w:r>
      <w:r>
        <w:t xml:space="preserve"> </w:t>
      </w:r>
      <w:r>
        <w:rPr>
          <w:b/>
          <w:bCs/>
        </w:rPr>
        <w:t xml:space="preserve">16.9%</w:t>
      </w:r>
      <w:r>
        <w:t xml:space="preserve">.</w:t>
      </w:r>
      <w:r>
        <w:t xml:space="preserve"> </w:t>
      </w:r>
      <w:r>
        <w:rPr>
          <w:rStyle w:val="VerbatimChar"/>
        </w:rPr>
        <w:t xml:space="preserve">R/strobe_flowchart.R</w:t>
      </w:r>
      <w:r>
        <w:t xml:space="preserve"> </w:t>
      </w:r>
      <w:r>
        <w:t xml:space="preserve">renders this chain as a STROBE participant-flow diagram, deriving every count from the pipeline files at render time rather than from literals, and asserting with</w:t>
      </w:r>
      <w:r>
        <w:t xml:space="preserve"> </w:t>
      </w:r>
      <w:r>
        <w:rPr>
          <w:rStyle w:val="VerbatimChar"/>
        </w:rPr>
        <w:t xml:space="preserve">stopifnot()</w:t>
      </w:r>
      <w:r>
        <w:t xml:space="preserve"> </w:t>
      </w:r>
      <w:r>
        <w:t xml:space="preserve">that the arithmetic closes on both branches.</w:t>
      </w:r>
    </w:p>
    <w:p>
      <w:pPr>
        <w:pStyle w:val="BodyText"/>
      </w:pPr>
      <w:r>
        <w:t xml:space="preserve">Two reductions occur, and they are different in kind. The video exclusion is a pre-specified eligibility criterion applied at parsing. The 55-abstract reduction is not a criterion at all; it is unfinished adjudication, described in A13.2.</w:t>
      </w:r>
    </w:p>
    <w:bookmarkEnd w:id="175"/>
    <w:bookmarkStart w:id="176" w:name="X996dce13b25773c968f81a4c0b82df3608e50d3"/>
    <w:p>
      <w:pPr>
        <w:pStyle w:val="Heading3"/>
      </w:pPr>
      <w:r>
        <w:t xml:space="preserve">A13.2 Where the 55 unresolved abstracts come from</w:t>
      </w:r>
    </w:p>
    <w:p>
      <w:pPr>
        <w:pStyle w:val="FirstParagraph"/>
      </w:pPr>
      <w:r>
        <w:rPr>
          <w:rStyle w:val="VerbatimChar"/>
        </w:rPr>
        <w:t xml:space="preserve">final_published</w:t>
      </w:r>
      <w:r>
        <w:t xml:space="preserve"> </w:t>
      </w:r>
      <w:r>
        <w:t xml:space="preserve">is assigned by a single</w:t>
      </w:r>
      <w:r>
        <w:t xml:space="preserve"> </w:t>
      </w:r>
      <w:r>
        <w:rPr>
          <w:rStyle w:val="VerbatimChar"/>
        </w:rPr>
        <w:t xml:space="preserve">case_when</w:t>
      </w:r>
      <w:r>
        <w:t xml:space="preserve"> </w:t>
      </w:r>
      <w:r>
        <w:t xml:space="preserve">in</w:t>
      </w:r>
      <w:r>
        <w:t xml:space="preserve"> </w:t>
      </w:r>
      <w:r>
        <w:rPr>
          <w:rStyle w:val="VerbatimChar"/>
        </w:rPr>
        <w:t xml:space="preserve">R/06_analyze_results.R:39</w:t>
      </w:r>
      <w:r>
        <w:t xml:space="preserve">:</w:t>
      </w:r>
    </w:p>
    <w:p>
      <w:pPr>
        <w:pStyle w:val="SourceCode"/>
      </w:pPr>
      <w:r>
        <w:rPr>
          <w:rStyle w:val="NormalTok"/>
        </w:rPr>
        <w:t xml:space="preserve">final_published </w:t>
      </w:r>
      <w:r>
        <w:rPr>
          <w:rStyle w:val="Othe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classification </w:t>
      </w:r>
      <w:r>
        <w:rPr>
          <w:rStyle w:val="SpecialCharTok"/>
        </w:rPr>
        <w:t xml:space="preserve">==</w:t>
      </w:r>
      <w:r>
        <w:rPr>
          <w:rStyle w:val="NormalTok"/>
        </w:rPr>
        <w:t xml:space="preserve"> </w:t>
      </w:r>
      <w:r>
        <w:rPr>
          <w:rStyle w:val="StringTok"/>
        </w:rPr>
        <w:t xml:space="preserve">"definite"</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"match"</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"no_match"</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classification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"no_match"</w:t>
      </w:r>
      <w:r>
        <w:rPr>
          <w:rStyle w:val="NormalTok"/>
        </w:rPr>
        <w:t xml:space="preserve">,</w:t>
      </w:r>
      <w:r>
        <w:rPr>
          <w:rStyle w:val="StringTok"/>
        </w:rPr>
        <w:t xml:space="preserve">"no_candidates"</w:t>
      </w:r>
      <w:r>
        <w:rPr>
          <w:rStyle w:val="NormalTok"/>
        </w:rPr>
        <w:t xml:space="preserve">,</w:t>
      </w:r>
      <w:r>
        <w:rPr>
          <w:rStyle w:val="StringTok"/>
        </w:rPr>
        <w:t xml:space="preserve">"excluded"</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w:t>
      </w:r>
    </w:p>
    <w:p>
      <w:pPr>
        <w:pStyle w:val="FirstParagraph"/>
      </w:pPr>
      <w:r>
        <w:t xml:space="preserve">An abstract reaches</w:t>
      </w:r>
      <w:r>
        <w:t xml:space="preserve"> </w:t>
      </w:r>
      <w:r>
        <w:rPr>
          <w:rStyle w:val="VerbatimChar"/>
        </w:rPr>
        <w:t xml:space="preserve">NA</w:t>
      </w:r>
      <w:r>
        <w:t xml:space="preserve"> </w:t>
      </w:r>
      <w:r>
        <w:t xml:space="preserve">only by failing all four branches. That requires the algorithm to have classified it</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and the reviewer to have recorded</w:t>
      </w:r>
      <w:r>
        <w:t xml:space="preserve"> </w:t>
      </w:r>
      <w:r>
        <w:rPr>
          <w:rStyle w:val="VerbatimChar"/>
        </w:rPr>
        <w:t xml:space="preserve">skip</w:t>
      </w:r>
      <w:r>
        <w:t xml:space="preserve">. Every unresolved abstract is exactly that combination: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Algorithm classification</w:t>
            </w:r>
          </w:p>
        </w:tc>
        <w:tc>
          <w:tcPr/>
          <w:p>
            <w:pPr>
              <w:pStyle w:val="Compact"/>
              <w:jc w:val="left"/>
            </w:pPr>
            <w:r>
              <w:t xml:space="preserve">Reviewer decision</w:t>
            </w:r>
          </w:p>
        </w:tc>
        <w:tc>
          <w:tcPr/>
          <w:p>
            <w:pPr>
              <w:pStyle w:val="Compact"/>
              <w:jc w:val="right"/>
            </w:pPr>
            <w:r>
              <w:t xml:space="preserve">n</w:t>
            </w:r>
          </w:p>
        </w:tc>
      </w:tr>
      <w:tr>
        <w:tc>
          <w:tcPr/>
          <w:p>
            <w:pPr>
              <w:pStyle w:val="Compact"/>
              <w:jc w:val="left"/>
            </w:pPr>
            <w:r>
              <w:t xml:space="preserve">probable</w:t>
            </w:r>
          </w:p>
        </w:tc>
        <w:tc>
          <w:tcPr/>
          <w:p>
            <w:pPr>
              <w:pStyle w:val="Compact"/>
              <w:jc w:val="left"/>
            </w:pPr>
            <w:r>
              <w:t xml:space="preserve">skip</w:t>
            </w:r>
          </w:p>
        </w:tc>
        <w:tc>
          <w:tcPr/>
          <w:p>
            <w:pPr>
              <w:pStyle w:val="Compact"/>
              <w:jc w:val="right"/>
            </w:pPr>
            <w:r>
              <w:t xml:space="preserve">31</w:t>
            </w:r>
          </w:p>
        </w:tc>
      </w:tr>
      <w:tr>
        <w:tc>
          <w:tcPr/>
          <w:p>
            <w:pPr>
              <w:pStyle w:val="Compact"/>
              <w:jc w:val="left"/>
            </w:pPr>
            <w:r>
              <w:t xml:space="preserve">possible</w:t>
            </w:r>
          </w:p>
        </w:tc>
        <w:tc>
          <w:tcPr/>
          <w:p>
            <w:pPr>
              <w:pStyle w:val="Compact"/>
              <w:jc w:val="left"/>
            </w:pPr>
            <w:r>
              <w:t xml:space="preserve">skip</w:t>
            </w:r>
          </w:p>
        </w:tc>
        <w:tc>
          <w:tcPr/>
          <w:p>
            <w:pPr>
              <w:pStyle w:val="Compact"/>
              <w:jc w:val="right"/>
            </w:pPr>
            <w:r>
              <w:t xml:space="preserve">24</w:t>
            </w:r>
          </w:p>
        </w:tc>
      </w:tr>
    </w:tbl>
    <w:p>
      <w:pPr>
        <w:pStyle w:val="BodyText"/>
      </w:pPr>
      <w:r>
        <w:t xml:space="preserve">These are not unreviewable records. They are cases where the algorithm found a plausible but not certain candidate and the reviewer passed. They require adjudication, not a methodological ruling.</w:t>
      </w:r>
      <w:r>
        <w:t xml:space="preserve"> </w:t>
      </w:r>
      <w:r>
        <w:rPr>
          <w:rStyle w:val="VerbatimChar"/>
        </w:rPr>
        <w:t xml:space="preserve">R/06_analyze_results.R:72</w:t>
      </w:r>
      <w:r>
        <w:t xml:space="preserve"> </w:t>
      </w:r>
      <w:r>
        <w:t xml:space="preserve">then removes them with</w:t>
      </w:r>
      <w:r>
        <w:t xml:space="preserve"> </w:t>
      </w:r>
      <w:r>
        <w:rPr>
          <w:rStyle w:val="VerbatimChar"/>
        </w:rPr>
        <w:t xml:space="preserve">n_evaluated &lt;- n_total - n_pending</w:t>
      </w:r>
      <w:r>
        <w:t xml:space="preserve">, so they leave the denominator silently.</w:t>
      </w:r>
    </w:p>
    <w:bookmarkEnd w:id="176"/>
    <w:bookmarkStart w:id="177" w:name="Xe7d54d09e7fb3066dc4d00ae0c7400eb2082aef"/>
    <w:p>
      <w:pPr>
        <w:pStyle w:val="Heading3"/>
      </w:pPr>
      <w:r>
        <w:t xml:space="preserve">A13.3 Reviewer skips are not the same population as unresolved abstracts</w:t>
      </w:r>
    </w:p>
    <w:p>
      <w:pPr>
        <w:pStyle w:val="FirstParagraph"/>
      </w:pPr>
      <w:r>
        <w:t xml:space="preserve">212 abstracts carry</w:t>
      </w:r>
      <w:r>
        <w:t xml:space="preserve"> </w:t>
      </w:r>
      <w:r>
        <w:rPr>
          <w:rStyle w:val="VerbatimChar"/>
        </w:rPr>
        <w:t xml:space="preserve">manual_decision == "skip"</w:t>
      </w:r>
      <w:r>
        <w:t xml:space="preserve">, but only 55 reach</w:t>
      </w:r>
      <w:r>
        <w:t xml:space="preserve"> </w:t>
      </w:r>
      <w:r>
        <w:rPr>
          <w:rStyle w:val="VerbatimChar"/>
        </w:rPr>
        <w:t xml:space="preserve">NA</w:t>
      </w:r>
      <w:r>
        <w:t xml:space="preserve">. The cascade resolves the rest before the fall-through: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 under a reviewer skip</w:t>
            </w:r>
          </w:p>
        </w:tc>
        <w:tc>
          <w:tcPr/>
          <w:p>
            <w:pPr>
              <w:pStyle w:val="Compact"/>
              <w:jc w:val="right"/>
            </w:pPr>
            <w:r>
              <w:t xml:space="preserve">n</w:t>
            </w:r>
          </w:p>
        </w:tc>
        <w:tc>
          <w:tcPr/>
          <w:p>
            <w:pPr>
              <w:pStyle w:val="Compact"/>
              <w:jc w:val="left"/>
            </w:pPr>
            <w:r>
              <w:t xml:space="preserve">Resulting final_published</w:t>
            </w:r>
          </w:p>
        </w:tc>
      </w:tr>
      <w:tr>
        <w:tc>
          <w:tcPr/>
          <w:p>
            <w:pPr>
              <w:pStyle w:val="Compact"/>
              <w:jc w:val="left"/>
            </w:pPr>
            <w:r>
              <w:t xml:space="preserve">no_match</w:t>
            </w:r>
          </w:p>
        </w:tc>
        <w:tc>
          <w:tcPr/>
          <w:p>
            <w:pPr>
              <w:pStyle w:val="Compact"/>
              <w:jc w:val="right"/>
            </w:pPr>
            <w:r>
              <w:t xml:space="preserve">111</w:t>
            </w:r>
          </w:p>
        </w:tc>
        <w:tc>
          <w:tcPr/>
          <w:p>
            <w:pPr>
              <w:pStyle w:val="Compact"/>
              <w:jc w:val="left"/>
            </w:pPr>
            <w:r>
              <w:t xml:space="preserve">FALSE (branch 4)</w:t>
            </w:r>
          </w:p>
        </w:tc>
      </w:tr>
      <w:tr>
        <w:tc>
          <w:tcPr/>
          <w:p>
            <w:pPr>
              <w:pStyle w:val="Compact"/>
              <w:jc w:val="left"/>
            </w:pPr>
            <w:r>
              <w:t xml:space="preserve">definite</w:t>
            </w:r>
          </w:p>
        </w:tc>
        <w:tc>
          <w:tcPr/>
          <w:p>
            <w:pPr>
              <w:pStyle w:val="Compact"/>
              <w:jc w:val="right"/>
            </w:pPr>
            <w:r>
              <w:t xml:space="preserve">44</w:t>
            </w:r>
          </w:p>
        </w:tc>
        <w:tc>
          <w:tcPr/>
          <w:p>
            <w:pPr>
              <w:pStyle w:val="Compact"/>
              <w:jc w:val="left"/>
            </w:pPr>
            <w:r>
              <w:t xml:space="preserve">TRUE (branch 1)</w:t>
            </w:r>
          </w:p>
        </w:tc>
      </w:tr>
      <w:tr>
        <w:tc>
          <w:tcPr/>
          <w:p>
            <w:pPr>
              <w:pStyle w:val="Compact"/>
              <w:jc w:val="left"/>
            </w:pPr>
            <w:r>
              <w:t xml:space="preserve">probable</w:t>
            </w:r>
          </w:p>
        </w:tc>
        <w:tc>
          <w:tcPr/>
          <w:p>
            <w:pPr>
              <w:pStyle w:val="Compact"/>
              <w:jc w:val="right"/>
            </w:pPr>
            <w:r>
              <w:t xml:space="preserve">31</w:t>
            </w:r>
          </w:p>
        </w:tc>
        <w:tc>
          <w:tcPr/>
          <w:p>
            <w:pPr>
              <w:pStyle w:val="Compact"/>
              <w:jc w:val="left"/>
            </w:pPr>
            <w:r>
              <w:t xml:space="preserve">NA (fall-through)</w:t>
            </w:r>
          </w:p>
        </w:tc>
      </w:tr>
      <w:tr>
        <w:tc>
          <w:tcPr/>
          <w:p>
            <w:pPr>
              <w:pStyle w:val="Compact"/>
              <w:jc w:val="left"/>
            </w:pPr>
            <w:r>
              <w:t xml:space="preserve">possible</w:t>
            </w:r>
          </w:p>
        </w:tc>
        <w:tc>
          <w:tcPr/>
          <w:p>
            <w:pPr>
              <w:pStyle w:val="Compact"/>
              <w:jc w:val="right"/>
            </w:pPr>
            <w:r>
              <w:t xml:space="preserve">24</w:t>
            </w:r>
          </w:p>
        </w:tc>
        <w:tc>
          <w:tcPr/>
          <w:p>
            <w:pPr>
              <w:pStyle w:val="Compact"/>
              <w:jc w:val="left"/>
            </w:pPr>
            <w:r>
              <w:t xml:space="preserve">NA (fall-through)</w:t>
            </w:r>
          </w:p>
        </w:tc>
      </w:tr>
      <w:tr>
        <w:tc>
          <w:tcPr/>
          <w:p>
            <w:pPr>
              <w:pStyle w:val="Compact"/>
              <w:jc w:val="left"/>
            </w:pPr>
            <w:r>
              <w:t xml:space="preserve">excluded</w:t>
            </w:r>
          </w:p>
        </w:tc>
        <w:tc>
          <w:tcPr/>
          <w:p>
            <w:pPr>
              <w:pStyle w:val="Compact"/>
              <w:jc w:val="right"/>
            </w:pPr>
            <w:r>
              <w:t xml:space="preserve">2</w:t>
            </w:r>
          </w:p>
        </w:tc>
        <w:tc>
          <w:tcPr/>
          <w:p>
            <w:pPr>
              <w:pStyle w:val="Compact"/>
              <w:jc w:val="left"/>
            </w:pPr>
            <w:r>
              <w:t xml:space="preserve">FALSE (branch 4)</w:t>
            </w:r>
          </w:p>
        </w:tc>
      </w:tr>
    </w:tbl>
    <w:p>
      <w:pPr>
        <w:pStyle w:val="BodyText"/>
      </w:pPr>
      <w:r>
        <w:t xml:space="preserve">This distinction matters for any statement about where review effort stalled. The 212 skips concentrate heavily in the 2019 through 2021 congresses; the 55 unresolved abstracts are spread across nine congress years and do not show the same pattern. Describing the unresolved set as a stalled recent review batch is not supported by the data.</w:t>
      </w:r>
    </w:p>
    <w:bookmarkEnd w:id="177"/>
    <w:bookmarkStart w:id="178" w:name="X66936839bf128518e19a110eff2bddaa5f5619e"/>
    <w:p>
      <w:pPr>
        <w:pStyle w:val="Heading3"/>
      </w:pPr>
      <w:r>
        <w:t xml:space="preserve">A13.4 Reviewer skips overridden in one direction only</w:t>
      </w:r>
    </w:p>
    <w:p>
      <w:pPr>
        <w:pStyle w:val="FirstParagraph"/>
      </w:pPr>
      <w:r>
        <w:t xml:space="preserve">Branch 1 is evaluated before any reviewer decision. An abstract classified</w:t>
      </w:r>
      <w:r>
        <w:t xml:space="preserve"> </w:t>
      </w:r>
      <w:r>
        <w:rPr>
          <w:rStyle w:val="VerbatimChar"/>
        </w:rPr>
        <w:t xml:space="preserve">definite</w:t>
      </w:r>
      <w:r>
        <w:t xml:space="preserve"> </w:t>
      </w:r>
      <w:r>
        <w:t xml:space="preserve">is therefore recorded as published even when the reviewer declined to rule on it. This affects 44 abstracts.</w:t>
      </w:r>
    </w:p>
    <w:p>
      <w:pPr>
        <w:pStyle w:val="BodyText"/>
      </w:pPr>
      <w:r>
        <w:t xml:space="preserve">The asymmetry is the concern rather than the count. A skip on a</w:t>
      </w:r>
      <w:r>
        <w:t xml:space="preserve"> </w:t>
      </w:r>
      <w:r>
        <w:rPr>
          <w:rStyle w:val="VerbatimChar"/>
        </w:rPr>
        <w:t xml:space="preserve">definite</w:t>
      </w:r>
      <w:r>
        <w:t xml:space="preserve"> </w:t>
      </w:r>
      <w:r>
        <w:t xml:space="preserve">candidate is overridden toward published, while a skip on a</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w:t>
      </w:r>
      <w:r>
        <w:t xml:space="preserve">candidate is not overridden at all and instead leaves the denominator. The same reviewer action produces opposite consequences depending on a classification the reviewer was in the act of declining to endorse.</w:t>
      </w:r>
    </w:p>
    <w:p>
      <w:pPr>
        <w:pStyle w:val="BodyText"/>
      </w:pPr>
      <w:r>
        <w:t xml:space="preserve">Reordering the cascade so that reviewer decisions precede algorithmic classification would resolve this, at the cost of moving 44 abstracts from published into unresolved. That change has not been made, and either ordering is defensible provided the manuscript states which one is in force.</w:t>
      </w:r>
    </w:p>
    <w:bookmarkEnd w:id="178"/>
    <w:bookmarkStart w:id="179" w:name="Xc6f557b10d91a1a1873a0575d44b42a3a8a82bf"/>
    <w:p>
      <w:pPr>
        <w:pStyle w:val="Heading3"/>
      </w:pPr>
      <w:r>
        <w:t xml:space="preserve">A13.5 The exported rate cannot be reconstructed from the exported counts</w:t>
      </w:r>
    </w:p>
    <w:p>
      <w:pPr>
        <w:pStyle w:val="FirstParagraph"/>
      </w:pPr>
      <w:r>
        <w:rPr>
          <w:rStyle w:val="VerbatimChar"/>
        </w:rPr>
        <w:t xml:space="preserve">output/aim1_publication_rate.csv</w:t>
      </w:r>
      <w:r>
        <w:t xml:space="preserve"> </w:t>
      </w:r>
      <w:r>
        <w:t xml:space="preserve">reports</w:t>
      </w:r>
      <w:r>
        <w:t xml:space="preserve"> </w:t>
      </w:r>
      <w:r>
        <w:rPr>
          <w:rStyle w:val="VerbatimChar"/>
        </w:rPr>
        <w:t xml:space="preserve">total_abstracts</w:t>
      </w:r>
      <w:r>
        <w:t xml:space="preserve"> </w:t>
      </w:r>
      <w:r>
        <w:t xml:space="preserve">= 1,106 alongside</w:t>
      </w:r>
      <w:r>
        <w:t xml:space="preserve"> </w:t>
      </w:r>
      <w:r>
        <w:rPr>
          <w:rStyle w:val="VerbatimChar"/>
        </w:rPr>
        <w:t xml:space="preserve">publication_rate</w:t>
      </w:r>
      <w:r>
        <w:t xml:space="preserve"> </w:t>
      </w:r>
      <w:r>
        <w:t xml:space="preserve">= 16.9, but the rate is computed on 1,051. A reader dividing the published count by the stated total obtains 16.1%, not 16.9%. The 95% confidence interval is likewise computed on 1,051.</w:t>
      </w:r>
    </w:p>
    <w:p>
      <w:pPr>
        <w:pStyle w:val="BodyText"/>
      </w:pPr>
      <w:r>
        <w:t xml:space="preserve">No row of the exported table states the denominator. The file should carry</w:t>
      </w:r>
      <w:r>
        <w:t xml:space="preserve"> </w:t>
      </w:r>
      <w:r>
        <w:rPr>
          <w:rStyle w:val="VerbatimChar"/>
        </w:rPr>
        <w:t xml:space="preserve">n_evaluated</w:t>
      </w:r>
      <w:r>
        <w:t xml:space="preserve"> </w:t>
      </w:r>
      <w:r>
        <w:t xml:space="preserve">explicitly, and the manuscript should report the cohort and the denominator as separate quantities.</w:t>
      </w:r>
    </w:p>
    <w:bookmarkEnd w:id="179"/>
    <w:bookmarkStart w:id="180" w:name="Xd523eef7e6828c64d776d46d5f742a778b8dd66"/>
    <w:p>
      <w:pPr>
        <w:pStyle w:val="Heading3"/>
      </w:pPr>
      <w:r>
        <w:t xml:space="preserve">A13.6 Candidates dated before the congress require two further corrections</w:t>
      </w:r>
    </w:p>
    <w:p>
      <w:pPr>
        <w:pStyle w:val="FirstParagraph"/>
      </w:pPr>
      <w:r>
        <w:t xml:space="preserve">A12.7 restored the 39 abstracts whose best candidate predates the conference. Auditing that set against PubMed shows that 10 of the 39 are misclassified, for two distinct reasons.</w:t>
      </w:r>
    </w:p>
    <w:p>
      <w:pPr>
        <w:pStyle w:val="BodyText"/>
      </w:pPr>
      <w:r>
        <w:rPr>
          <w:b/>
          <w:bCs/>
        </w:rPr>
        <w:t xml:space="preserve">Six matched the AAGL abstract supplement itself.</w:t>
      </w:r>
      <w:r>
        <w:t xml:space="preserve"> </w:t>
      </w:r>
      <w:r>
        <w:t xml:space="preserve">All six are 2015 abstracts matched to</w:t>
      </w:r>
      <w:r>
        <w:t xml:space="preserve"> </w:t>
      </w:r>
      <w:r>
        <w:rPr>
          <w:i/>
          <w:iCs/>
        </w:rPr>
        <w:t xml:space="preserve">Journal of Minimally Invasive Gynecology</w:t>
      </w:r>
      <w:r>
        <w:t xml:space="preserve"> </w:t>
      </w:r>
      <w:r>
        <w:t xml:space="preserve">volume 22, issue 6S, at supplement pagination: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PMID</w:t>
            </w:r>
          </w:p>
        </w:tc>
        <w:tc>
          <w:tcPr/>
          <w:p>
            <w:pPr>
              <w:pStyle w:val="Compact"/>
            </w:pPr>
            <w:r>
              <w:t xml:space="preserve">Pages</w:t>
            </w:r>
          </w:p>
        </w:tc>
        <w:tc>
          <w:tcPr/>
          <w:p>
            <w:pPr>
              <w:pStyle w:val="Compact"/>
            </w:pPr>
            <w:r>
              <w:t xml:space="preserve">PMID</w:t>
            </w:r>
          </w:p>
        </w:tc>
        <w:tc>
          <w:tcPr/>
          <w:p>
            <w:pPr>
              <w:pStyle w:val="Compact"/>
            </w:pPr>
            <w:r>
              <w:t xml:space="preserve">Pages</w:t>
            </w:r>
          </w:p>
        </w:tc>
      </w:tr>
      <w:tr>
        <w:tc>
          <w:tcPr/>
          <w:p>
            <w:pPr>
              <w:pStyle w:val="Compact"/>
            </w:pPr>
            <w:r>
              <w:t xml:space="preserve">27679343</w:t>
            </w:r>
          </w:p>
        </w:tc>
        <w:tc>
          <w:tcPr/>
          <w:p>
            <w:pPr>
              <w:pStyle w:val="Compact"/>
            </w:pPr>
            <w:r>
              <w:t xml:space="preserve">S8-S9</w:t>
            </w:r>
          </w:p>
        </w:tc>
        <w:tc>
          <w:tcPr/>
          <w:p>
            <w:pPr>
              <w:pStyle w:val="Compact"/>
            </w:pPr>
            <w:r>
              <w:t xml:space="preserve">27679061</w:t>
            </w:r>
          </w:p>
        </w:tc>
        <w:tc>
          <w:tcPr/>
          <w:p>
            <w:pPr>
              <w:pStyle w:val="Compact"/>
            </w:pPr>
            <w:r>
              <w:t xml:space="preserve">S21</w:t>
            </w:r>
          </w:p>
        </w:tc>
      </w:tr>
      <w:tr>
        <w:tc>
          <w:tcPr/>
          <w:p>
            <w:pPr>
              <w:pStyle w:val="Compact"/>
            </w:pPr>
            <w:r>
              <w:t xml:space="preserve">27678765</w:t>
            </w:r>
          </w:p>
        </w:tc>
        <w:tc>
          <w:tcPr/>
          <w:p>
            <w:pPr>
              <w:pStyle w:val="Compact"/>
            </w:pPr>
            <w:r>
              <w:t xml:space="preserve">S14</w:t>
            </w:r>
          </w:p>
        </w:tc>
        <w:tc>
          <w:tcPr/>
          <w:p>
            <w:pPr>
              <w:pStyle w:val="Compact"/>
            </w:pPr>
            <w:r>
              <w:t xml:space="preserve">27679183</w:t>
            </w:r>
          </w:p>
        </w:tc>
        <w:tc>
          <w:tcPr/>
          <w:p>
            <w:pPr>
              <w:pStyle w:val="Compact"/>
            </w:pPr>
            <w:r>
              <w:t xml:space="preserve">S25</w:t>
            </w:r>
          </w:p>
        </w:tc>
      </w:tr>
      <w:tr>
        <w:tc>
          <w:tcPr/>
          <w:p>
            <w:pPr>
              <w:pStyle w:val="Compact"/>
            </w:pPr>
            <w:r>
              <w:t xml:space="preserve">27678766</w:t>
            </w:r>
          </w:p>
        </w:tc>
        <w:tc>
          <w:tcPr/>
          <w:p>
            <w:pPr>
              <w:pStyle w:val="Compact"/>
            </w:pPr>
            <w:r>
              <w:t xml:space="preserve">S14</w:t>
            </w:r>
          </w:p>
        </w:tc>
        <w:tc>
          <w:tcPr/>
          <w:p>
            <w:pPr>
              <w:pStyle w:val="Compact"/>
            </w:pPr>
            <w:r>
              <w:t xml:space="preserve">27679222</w:t>
            </w:r>
          </w:p>
        </w:tc>
        <w:tc>
          <w:tcPr/>
          <w:p>
            <w:pPr>
              <w:pStyle w:val="Compact"/>
            </w:pPr>
            <w:r>
              <w:t xml:space="preserve">S37</w:t>
            </w:r>
          </w:p>
        </w:tc>
      </w:tr>
    </w:tbl>
    <w:p>
      <w:pPr>
        <w:pStyle w:val="BodyText"/>
      </w:pPr>
      <w:r>
        <w:t xml:space="preserve">That issue is the 2015 congress supplement, which is the source document the pipeline scrapes. Each abstract was matched to its own PubMed listing and then classified pre-conference because the supplement posted online roughly one month before the meeting. A12.3 narrowed an over-broad JMIG supplement filter; these cases show the narrowed filter now admits genuine self-matches. A candidate whose journal, volume, and supplement pagination correspond to the source congress must be rejected before scoring.</w:t>
      </w:r>
    </w:p>
    <w:p>
      <w:pPr>
        <w:pStyle w:val="BodyText"/>
      </w:pPr>
      <w:r>
        <w:rPr>
          <w:b/>
          <w:bCs/>
        </w:rPr>
        <w:t xml:space="preserve">Two were published after the congress.</w:t>
      </w:r>
      <w:r>
        <w:t xml:space="preserve"> </w:t>
      </w:r>
      <w:r>
        <w:t xml:space="preserve">PMID 29318153 has an</w:t>
      </w:r>
      <w:r>
        <w:t xml:space="preserve"> </w:t>
      </w:r>
      <w:r>
        <w:rPr>
          <w:rStyle w:val="VerbatimChar"/>
        </w:rPr>
        <w:t xml:space="preserve">ArticleDate</w:t>
      </w:r>
      <w:r>
        <w:t xml:space="preserve"> </w:t>
      </w:r>
      <w:r>
        <w:t xml:space="preserve">of 2017-11-29 against a congress date of 2017-11-12, and PMID 33294577 has 2020-11-10 against 2020-11-07. Both carry a coarse</w:t>
      </w:r>
      <w:r>
        <w:t xml:space="preserve"> </w:t>
      </w:r>
      <w:r>
        <w:rPr>
          <w:rStyle w:val="VerbatimChar"/>
        </w:rPr>
        <w:t xml:space="preserve">JournalIssue/PubDate</w:t>
      </w:r>
      <w:r>
        <w:t xml:space="preserve"> </w:t>
      </w:r>
      <w:r>
        <w:t xml:space="preserve">(</w:t>
      </w:r>
      <w:r>
        <w:rPr>
          <w:rStyle w:val="VerbatimChar"/>
        </w:rPr>
        <w:t xml:space="preserve">2017</w:t>
      </w:r>
      <w:r>
        <w:t xml:space="preserve"> </w:t>
      </w:r>
      <w:r>
        <w:t xml:space="preserve">and</w:t>
      </w:r>
      <w:r>
        <w:t xml:space="preserve"> </w:t>
      </w:r>
      <w:r>
        <w:rPr>
          <w:rStyle w:val="VerbatimChar"/>
        </w:rPr>
        <w:t xml:space="preserve">2020 Nov</w:t>
      </w:r>
      <w:r>
        <w:t xml:space="preserve"> </w:t>
      </w:r>
      <w:r>
        <w:t xml:space="preserve">respectively), which the scorer resolves to January 1 and to the first of the month, placing them before the congress. Eleven of the 39 carry year-only publication dates, so the exposure is broader than these two cases. Preferring</w:t>
      </w:r>
      <w:r>
        <w:t xml:space="preserve"> </w:t>
      </w:r>
      <w:r>
        <w:rPr>
          <w:rStyle w:val="VerbatimChar"/>
        </w:rPr>
        <w:t xml:space="preserve">ArticleDate</w:t>
      </w:r>
      <w:r>
        <w:t xml:space="preserve"> </w:t>
      </w:r>
      <w:r>
        <w:t xml:space="preserve">when present would correct it. Both are conversions with unusually short intervals and belong in the numerator.</w:t>
      </w:r>
    </w:p>
    <w:p>
      <w:pPr>
        <w:pStyle w:val="BodyText"/>
      </w:pPr>
      <w:r>
        <w:rPr>
          <w:b/>
          <w:bCs/>
        </w:rPr>
        <w:t xml:space="preserve">Two are scoring false positives</w:t>
      </w:r>
      <w:r>
        <w:t xml:space="preserve"> </w:t>
      </w:r>
      <w:r>
        <w:t xml:space="preserve">unrelated to dating. A 2019 abstract on laparoscopic relocation of the ovaries was matched to a paper on patient-reported outcome measures in benign gynecologic surgery, and a 2017 abstract was matched to a record PubMed types as an educational video, a category excluded at parsing.</w:t>
      </w:r>
    </w:p>
    <w:p>
      <w:pPr>
        <w:pStyle w:val="BodyText"/>
      </w:pPr>
      <w:r>
        <w:t xml:space="preserve">Twenty-nine of the 39 are genuine pre-congress publications. Their interval between publication and congress is informative for the open question A12.7 left unsettled: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Interval before congress</w:t>
            </w:r>
          </w:p>
        </w:tc>
        <w:tc>
          <w:tcPr/>
          <w:p>
            <w:pPr>
              <w:pStyle w:val="Compact"/>
            </w:pPr>
            <w:r>
              <w:t xml:space="preserve">n</w:t>
            </w:r>
          </w:p>
        </w:tc>
      </w:tr>
      <w:tr>
        <w:tc>
          <w:tcPr/>
          <w:p>
            <w:pPr>
              <w:pStyle w:val="Compact"/>
            </w:pPr>
            <w:r>
              <w:t xml:space="preserve">0 to 6 months</w:t>
            </w:r>
          </w:p>
        </w:tc>
        <w:tc>
          <w:tcPr/>
          <w:p>
            <w:pPr>
              <w:pStyle w:val="Compact"/>
            </w:pPr>
            <w:r>
              <w:t xml:space="preserve">14</w:t>
            </w:r>
          </w:p>
        </w:tc>
      </w:tr>
      <w:tr>
        <w:tc>
          <w:tcPr/>
          <w:p>
            <w:pPr>
              <w:pStyle w:val="Compact"/>
            </w:pPr>
            <w:r>
              <w:t xml:space="preserve">6 to 12 months</w:t>
            </w:r>
          </w:p>
        </w:tc>
        <w:tc>
          <w:tcPr/>
          <w:p>
            <w:pPr>
              <w:pStyle w:val="Compact"/>
            </w:pPr>
            <w:r>
              <w:t xml:space="preserve">8</w:t>
            </w:r>
          </w:p>
        </w:tc>
      </w:tr>
      <w:tr>
        <w:tc>
          <w:tcPr/>
          <w:p>
            <w:pPr>
              <w:pStyle w:val="Compact"/>
            </w:pPr>
            <w:r>
              <w:t xml:space="preserve">12 to 24 months</w:t>
            </w:r>
          </w:p>
        </w:tc>
        <w:tc>
          <w:tcPr/>
          <w:p>
            <w:pPr>
              <w:pStyle w:val="Compact"/>
            </w:pPr>
            <w:r>
              <w:t xml:space="preserve">6</w:t>
            </w:r>
          </w:p>
        </w:tc>
      </w:tr>
      <w:tr>
        <w:tc>
          <w:tcPr/>
          <w:p>
            <w:pPr>
              <w:pStyle w:val="Compact"/>
            </w:pPr>
            <w:r>
              <w:t xml:space="preserve">More than 24 months</w:t>
            </w:r>
          </w:p>
        </w:tc>
        <w:tc>
          <w:tcPr/>
          <w:p>
            <w:pPr>
              <w:pStyle w:val="Compact"/>
            </w:pPr>
            <w:r>
              <w:t xml:space="preserve">1</w:t>
            </w:r>
          </w:p>
        </w:tc>
      </w:tr>
    </w:tbl>
    <w:p>
      <w:pPr>
        <w:pStyle w:val="BodyText"/>
      </w:pPr>
      <w:r>
        <w:t xml:space="preserve">AAGL abstract submission for a November congress closes in the spring. A paper appearing within roughly six months of the meeting was therefore plausibly still in press at submission, which is the ordinary sequence for a conference presentation rather than evidence of a pre-existing publication. Papers appearing earlier were already in print when the abstract was submitted. The four human-adjudicated matches identified in A12.7 all fall between 5.1 and 6.5 months before their congress, consistent with online-first publication ahead of the meeting.</w:t>
      </w:r>
    </w:p>
    <w:p>
      <w:pPr>
        <w:pStyle w:val="BodyText"/>
      </w:pPr>
      <w:r>
        <w:t xml:space="preserve">The exact submission deadline for each congress is not recorded in</w:t>
      </w:r>
      <w:r>
        <w:t xml:space="preserve"> </w:t>
      </w:r>
      <w:r>
        <w:rPr>
          <w:rStyle w:val="VerbatimChar"/>
        </w:rPr>
        <w:t xml:space="preserve">config.yml</w:t>
      </w:r>
      <w:r>
        <w:t xml:space="preserve"> </w:t>
      </w:r>
      <w:r>
        <w:t xml:space="preserve">and has not been verified. The six-month boundary above is an assumption, not a validated cutpoint, and the manuscript should state whichever rule is adopted explicitly.</w:t>
      </w:r>
    </w:p>
    <w:bookmarkEnd w:id="180"/>
    <w:bookmarkStart w:id="181" w:name="Xfe60afafdb930e89bfc144c42546b6e47dfb735"/>
    <w:p>
      <w:pPr>
        <w:pStyle w:val="Heading3"/>
      </w:pPr>
      <w:r>
        <w:t xml:space="preserve">A13.7 Effect of the outstanding decisions on the denominator</w:t>
      </w:r>
    </w:p>
    <w:p>
      <w:pPr>
        <w:pStyle w:val="FirstParagraph"/>
      </w:pPr>
      <w:r>
        <w:t xml:space="preserve">Two decisions remain open. Their combinations span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of the 55 unresolved</w:t>
            </w:r>
          </w:p>
        </w:tc>
        <w:tc>
          <w:tcPr/>
          <w:p>
            <w:pPr>
              <w:pStyle w:val="Compact"/>
            </w:pPr>
            <w:r>
              <w:t xml:space="preserve">Pre-congress abstracts</w:t>
            </w:r>
          </w:p>
        </w:tc>
        <w:tc>
          <w:tcPr/>
          <w:p>
            <w:pPr>
              <w:pStyle w:val="Compact"/>
            </w:pPr>
            <w:r>
              <w:t xml:space="preserve">Denominator</w:t>
            </w:r>
          </w:p>
        </w:tc>
        <w:tc>
          <w:tcPr/>
          <w:p>
            <w:pPr>
              <w:pStyle w:val="Compact"/>
            </w:pPr>
            <w:r>
              <w:t xml:space="preserve">Rate</w:t>
            </w:r>
          </w:p>
        </w:tc>
      </w:tr>
      <w:tr>
        <w:tc>
          <w:tcPr/>
          <w:p>
            <w:pPr>
              <w:pStyle w:val="Compact"/>
            </w:pPr>
            <w:r>
              <w:t xml:space="preserve">Dropped (current)</w:t>
            </w:r>
          </w:p>
        </w:tc>
        <w:tc>
          <w:tcPr/>
          <w:p>
            <w:pPr>
              <w:pStyle w:val="Compact"/>
            </w:pPr>
            <w:r>
              <w:t xml:space="preserve">Retained</w:t>
            </w:r>
          </w:p>
        </w:tc>
        <w:tc>
          <w:tcPr/>
          <w:p>
            <w:pPr>
              <w:pStyle w:val="Compact"/>
            </w:pPr>
            <w:r>
              <w:t xml:space="preserve">1,051</w:t>
            </w:r>
          </w:p>
        </w:tc>
        <w:tc>
          <w:tcPr/>
          <w:p>
            <w:pPr>
              <w:pStyle w:val="Compact"/>
            </w:pPr>
            <w:r>
              <w:t xml:space="preserve">16.9%</w:t>
            </w:r>
          </w:p>
        </w:tc>
      </w:tr>
      <w:tr>
        <w:tc>
          <w:tcPr/>
          <w:p>
            <w:pPr>
              <w:pStyle w:val="Compact"/>
            </w:pPr>
            <w:r>
              <w:t xml:space="preserve">Counted as unpublished</w:t>
            </w:r>
          </w:p>
        </w:tc>
        <w:tc>
          <w:tcPr/>
          <w:p>
            <w:pPr>
              <w:pStyle w:val="Compact"/>
            </w:pPr>
            <w:r>
              <w:t xml:space="preserve">Retained</w:t>
            </w:r>
          </w:p>
        </w:tc>
        <w:tc>
          <w:tcPr/>
          <w:p>
            <w:pPr>
              <w:pStyle w:val="Compact"/>
            </w:pPr>
            <w:r>
              <w:t xml:space="preserve">1,106</w:t>
            </w:r>
          </w:p>
        </w:tc>
        <w:tc>
          <w:tcPr/>
          <w:p>
            <w:pPr>
              <w:pStyle w:val="Compact"/>
            </w:pPr>
            <w:r>
              <w:t xml:space="preserve">16.1%</w:t>
            </w:r>
          </w:p>
        </w:tc>
      </w:tr>
      <w:tr>
        <w:tc>
          <w:tcPr/>
          <w:p>
            <w:pPr>
              <w:pStyle w:val="Compact"/>
            </w:pPr>
            <w:r>
              <w:t xml:space="preserve">Dropped</w:t>
            </w:r>
          </w:p>
        </w:tc>
        <w:tc>
          <w:tcPr/>
          <w:p>
            <w:pPr>
              <w:pStyle w:val="Compact"/>
            </w:pPr>
            <w:r>
              <w:t xml:space="preserve">Removed</w:t>
            </w:r>
          </w:p>
        </w:tc>
        <w:tc>
          <w:tcPr/>
          <w:p>
            <w:pPr>
              <w:pStyle w:val="Compact"/>
            </w:pPr>
            <w:r>
              <w:t xml:space="preserve">1,012</w:t>
            </w:r>
          </w:p>
        </w:tc>
        <w:tc>
          <w:tcPr/>
          <w:p>
            <w:pPr>
              <w:pStyle w:val="Compact"/>
            </w:pPr>
            <w:r>
              <w:t xml:space="preserve">17.2%</w:t>
            </w:r>
          </w:p>
        </w:tc>
      </w:tr>
      <w:tr>
        <w:tc>
          <w:tcPr/>
          <w:p>
            <w:pPr>
              <w:pStyle w:val="Compact"/>
            </w:pPr>
            <w:r>
              <w:t xml:space="preserve">Counted as unpublished</w:t>
            </w:r>
          </w:p>
        </w:tc>
        <w:tc>
          <w:tcPr/>
          <w:p>
            <w:pPr>
              <w:pStyle w:val="Compact"/>
            </w:pPr>
            <w:r>
              <w:t xml:space="preserve">Removed</w:t>
            </w:r>
          </w:p>
        </w:tc>
        <w:tc>
          <w:tcPr/>
          <w:p>
            <w:pPr>
              <w:pStyle w:val="Compact"/>
            </w:pPr>
            <w:r>
              <w:t xml:space="preserve">1,067</w:t>
            </w:r>
          </w:p>
        </w:tc>
        <w:tc>
          <w:tcPr/>
          <w:p>
            <w:pPr>
              <w:pStyle w:val="Compact"/>
            </w:pPr>
            <w:r>
              <w:t xml:space="preserve">16.3%</w:t>
            </w:r>
          </w:p>
        </w:tc>
      </w:tr>
    </w:tbl>
    <w:p>
      <w:pPr>
        <w:pStyle w:val="BodyText"/>
      </w:pPr>
      <w:r>
        <w:t xml:space="preserve">The range is 16.1% to 17.2%. All four are defensible; none can be inferred by a reader from the currently exported numbers. Resolving the 55 by adjudication rather than by rule removes the first dimension entirely, and is the preferred course because those abstracts are reviewable.</w:t>
      </w:r>
    </w:p>
    <w:bookmarkEnd w:id="181"/>
    <w:bookmarkStart w:id="182" w:name="a13.8-limitations"/>
    <w:p>
      <w:pPr>
        <w:pStyle w:val="Heading3"/>
      </w:pPr>
      <w:r>
        <w:t xml:space="preserve">A13.8 Limitations</w:t>
      </w:r>
    </w:p>
    <w:p>
      <w:pPr>
        <w:pStyle w:val="FirstParagraph"/>
      </w:pPr>
      <w:r>
        <w:t xml:space="preserve">The counts in this section describe the pipeline state before the April 2026 matching corrections in A12 were executed against a fresh search. The PubMed candidate pool was last retrieved on 19 April 2026 and the corrections were written on 28 April 2026; all downstream stages have since been regenerated from that pre-correction pool. Every figure in this section will move when the search is re-run, and the year-over-year publication rates in particular should not be interpreted until it is.</w:t>
      </w:r>
    </w:p>
    <w:p>
      <w:pPr>
        <w:pStyle w:val="BodyText"/>
      </w:pPr>
      <w:r>
        <w:t xml:space="preserve">The audit in A13.6 verified publication dates against PubMed for the 39 pre-congress candidates only. The same date-granularity defect may affect candidates elsewhere in the cohort that were not classified</w:t>
      </w:r>
      <w:r>
        <w:t xml:space="preserve"> </w:t>
      </w:r>
      <w:r>
        <w:rPr>
          <w:rStyle w:val="VerbatimChar"/>
        </w:rPr>
        <w:t xml:space="preserve">excluded</w:t>
      </w:r>
      <w:r>
        <w:t xml:space="preserve">, and that has not been quantified.</w:t>
      </w:r>
    </w:p>
    <w:bookmarkEnd w:id="182"/>
    <w:bookmarkEnd w:id="183"/>
    <w:bookmarkStart w:id="187" w:name="Xa5402b9a21ceddc4361c12a648b457b97e3f8c7"/>
    <w:p>
      <w:pPr>
        <w:pStyle w:val="Heading2"/>
      </w:pPr>
      <w:r>
        <w:t xml:space="preserve">A14. Cohort Truncation at Ingestion (verified, not remediated here)</w:t>
      </w:r>
    </w:p>
    <w:p>
      <w:pPr>
        <w:pStyle w:val="FirstParagraph"/>
      </w:pPr>
      <w:r>
        <w:t xml:space="preserve">Sections A12 and A13 document defects in matching, adjudication and reporting.</w:t>
      </w:r>
      <w:r>
        <w:t xml:space="preserve"> </w:t>
      </w:r>
      <w:r>
        <w:t xml:space="preserve">All of them assume the cohort is what it claims to be: the oral presentations of</w:t>
      </w:r>
      <w:r>
        <w:t xml:space="preserve"> </w:t>
      </w:r>
      <w:r>
        <w:t xml:space="preserve">twelve AAGL Global Congresses. That assumption does not hold. This section</w:t>
      </w:r>
      <w:r>
        <w:t xml:space="preserve"> </w:t>
      </w:r>
      <w:r>
        <w:t xml:space="preserve">records an independent verification of the failure catalogued as F1 in</w:t>
      </w:r>
      <w:r>
        <w:t xml:space="preserve"> </w:t>
      </w:r>
      <w:r>
        <w:rPr>
          <w:rStyle w:val="VerbatimChar"/>
        </w:rPr>
        <w:t xml:space="preserve">docs/FAILURE_MODES.md</w:t>
      </w:r>
      <w:r>
        <w:t xml:space="preserve">, and states plainly what it does to the rest of this</w:t>
      </w:r>
      <w:r>
        <w:t xml:space="preserve"> </w:t>
      </w:r>
      <w:r>
        <w:t xml:space="preserve">appendix.</w:t>
      </w:r>
    </w:p>
    <w:bookmarkStart w:id="184" w:name="a14.1-what-was-verified"/>
    <w:p>
      <w:pPr>
        <w:pStyle w:val="Heading3"/>
      </w:pPr>
      <w:r>
        <w:t xml:space="preserve">A14.1 What was verified</w:t>
      </w:r>
    </w:p>
    <w:p>
      <w:pPr>
        <w:pStyle w:val="FirstParagraph"/>
      </w:pPr>
      <w:r>
        <w:rPr>
          <w:rStyle w:val="VerbatimChar"/>
        </w:rPr>
        <w:t xml:space="preserve">R/01b_parse_web.R</w:t>
      </w:r>
      <w:r>
        <w:t xml:space="preserve"> </w:t>
      </w:r>
      <w:r>
        <w:t xml:space="preserve">fetches one issue-listing page per congress from</w:t>
      </w:r>
      <w:r>
        <w:t xml:space="preserve"> </w:t>
      </w:r>
      <w:r>
        <w:t xml:space="preserve">ScienceDirect. The capture stops after roughly one page of results. Two</w:t>
      </w:r>
      <w:r>
        <w:t xml:space="preserve"> </w:t>
      </w:r>
      <w:r>
        <w:t xml:space="preserve">signatures identify this as a page-size limit rather than a real distribution:</w:t>
      </w:r>
      <w:r>
        <w:t xml:space="preserve"> </w:t>
      </w:r>
      <w:r>
        <w:t xml:space="preserve">every congress yields between 93 and 100 presentations, and the 2022 congress</w:t>
      </w:r>
      <w:r>
        <w:t xml:space="preserve"> </w:t>
      </w:r>
      <w:r>
        <w:t xml:space="preserve">yields</w:t>
      </w:r>
      <w:r>
        <w:t xml:space="preserve"> </w:t>
      </w:r>
      <w:r>
        <w:rPr>
          <w:b/>
          <w:bCs/>
        </w:rPr>
        <w:t xml:space="preserve">exactly 100</w:t>
      </w:r>
      <w:r>
        <w:t xml:space="preserve">.</w:t>
      </w:r>
    </w:p>
    <w:p>
      <w:pPr>
        <w:pStyle w:val="BodyText"/>
      </w:pPr>
      <w:r>
        <w:t xml:space="preserve">Each captured set is contiguous from page S1 and stops between S26 and S60. The</w:t>
      </w:r>
      <w:r>
        <w:t xml:space="preserve"> </w:t>
      </w:r>
      <w:r>
        <w:t xml:space="preserve">supplements themselves are far longer. Counts below come from the Crossref REST</w:t>
      </w:r>
      <w:r>
        <w:t xml:space="preserve"> </w:t>
      </w:r>
      <w:r>
        <w:t xml:space="preserve">API for the</w:t>
      </w:r>
      <w:r>
        <w:t xml:space="preserve"> </w:t>
      </w:r>
      <w:r>
        <w:rPr>
          <w:i/>
          <w:iCs/>
        </w:rPr>
        <w:t xml:space="preserve">Journal of Minimally Invasive Gynecology</w:t>
      </w:r>
      <w:r>
        <w:t xml:space="preserve"> </w:t>
      </w:r>
      <w:r>
        <w:t xml:space="preserve">(ISSN 1553-4650),</w:t>
      </w:r>
      <w:r>
        <w:t xml:space="preserve"> </w:t>
      </w:r>
      <w:r>
        <w:t xml:space="preserve">restricted to each congress’s November issue and to records carrying</w:t>
      </w:r>
      <w:r>
        <w:t xml:space="preserve"> </w:t>
      </w:r>
      <w:r>
        <w:rPr>
          <w:rStyle w:val="VerbatimChar"/>
        </w:rPr>
        <w:t xml:space="preserve">S</w:t>
      </w:r>
      <w:r>
        <w:t xml:space="preserve">-prefixed pagination, retrieved 3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Congress</w:t>
            </w:r>
          </w:p>
        </w:tc>
        <w:tc>
          <w:tcPr/>
          <w:p>
            <w:pPr>
              <w:pStyle w:val="Compact"/>
            </w:pPr>
            <w:r>
              <w:t xml:space="preserve">Captured</w:t>
            </w:r>
          </w:p>
        </w:tc>
        <w:tc>
          <w:tcPr/>
          <w:p>
            <w:pPr>
              <w:pStyle w:val="Compact"/>
            </w:pPr>
            <w:r>
              <w:t xml:space="preserve">Last captured page</w:t>
            </w:r>
          </w:p>
        </w:tc>
        <w:tc>
          <w:tcPr/>
          <w:p>
            <w:pPr>
              <w:pStyle w:val="Compact"/>
            </w:pPr>
            <w:r>
              <w:t xml:space="preserve">Supplement items</w:t>
            </w:r>
          </w:p>
        </w:tc>
        <w:tc>
          <w:tcPr/>
          <w:p>
            <w:pPr>
              <w:pStyle w:val="Compact"/>
            </w:pPr>
            <w:r>
              <w:t xml:space="preserve">Supplement extent</w:t>
            </w:r>
          </w:p>
        </w:tc>
      </w:tr>
      <w:tr>
        <w:tc>
          <w:tcPr/>
          <w:p>
            <w:pPr>
              <w:pStyle w:val="Compact"/>
            </w:pPr>
            <w:r>
              <w:t xml:space="preserve">2012</w:t>
            </w:r>
          </w:p>
        </w:tc>
        <w:tc>
          <w:tcPr/>
          <w:p>
            <w:pPr>
              <w:pStyle w:val="Compact"/>
            </w:pPr>
            <w:r>
              <w:t xml:space="preserve">95</w:t>
            </w:r>
          </w:p>
        </w:tc>
        <w:tc>
          <w:tcPr/>
          <w:p>
            <w:pPr>
              <w:pStyle w:val="Compact"/>
            </w:pPr>
            <w:r>
              <w:t xml:space="preserve">S33-S34</w:t>
            </w:r>
          </w:p>
        </w:tc>
        <w:tc>
          <w:tcPr/>
          <w:p>
            <w:pPr>
              <w:pStyle w:val="Compact"/>
            </w:pPr>
            <w:r>
              <w:t xml:space="preserve">663</w:t>
            </w:r>
          </w:p>
        </w:tc>
        <w:tc>
          <w:tcPr/>
          <w:p>
            <w:pPr>
              <w:pStyle w:val="Compact"/>
            </w:pPr>
            <w:r>
              <w:t xml:space="preserve">S1-S191</w:t>
            </w:r>
          </w:p>
        </w:tc>
      </w:tr>
      <w:tr>
        <w:tc>
          <w:tcPr/>
          <w:p>
            <w:pPr>
              <w:pStyle w:val="Compact"/>
            </w:pPr>
            <w:r>
              <w:t xml:space="preserve">2013</w:t>
            </w:r>
          </w:p>
        </w:tc>
        <w:tc>
          <w:tcPr/>
          <w:p>
            <w:pPr>
              <w:pStyle w:val="Compact"/>
            </w:pPr>
            <w:r>
              <w:t xml:space="preserve">96</w:t>
            </w:r>
          </w:p>
        </w:tc>
        <w:tc>
          <w:tcPr/>
          <w:p>
            <w:pPr>
              <w:pStyle w:val="Compact"/>
            </w:pPr>
            <w:r>
              <w:t xml:space="preserve">S31</w:t>
            </w:r>
          </w:p>
        </w:tc>
        <w:tc>
          <w:tcPr/>
          <w:p>
            <w:pPr>
              <w:pStyle w:val="Compact"/>
            </w:pPr>
            <w:r>
              <w:t xml:space="preserve">698</w:t>
            </w:r>
          </w:p>
        </w:tc>
        <w:tc>
          <w:tcPr/>
          <w:p>
            <w:pPr>
              <w:pStyle w:val="Compact"/>
            </w:pPr>
            <w:r>
              <w:t xml:space="preserve">S1-S195</w:t>
            </w:r>
          </w:p>
        </w:tc>
      </w:tr>
      <w:tr>
        <w:tc>
          <w:tcPr/>
          <w:p>
            <w:pPr>
              <w:pStyle w:val="Compact"/>
            </w:pPr>
            <w:r>
              <w:t xml:space="preserve">2014</w:t>
            </w:r>
          </w:p>
        </w:tc>
        <w:tc>
          <w:tcPr/>
          <w:p>
            <w:pPr>
              <w:pStyle w:val="Compact"/>
            </w:pPr>
            <w:r>
              <w:t xml:space="preserve">93</w:t>
            </w:r>
          </w:p>
        </w:tc>
        <w:tc>
          <w:tcPr/>
          <w:p>
            <w:pPr>
              <w:pStyle w:val="Compact"/>
            </w:pPr>
            <w:r>
              <w:t xml:space="preserve">S26</w:t>
            </w:r>
          </w:p>
        </w:tc>
        <w:tc>
          <w:tcPr/>
          <w:p>
            <w:pPr>
              <w:pStyle w:val="Compact"/>
            </w:pPr>
            <w:r>
              <w:t xml:space="preserve">762</w:t>
            </w:r>
          </w:p>
        </w:tc>
        <w:tc>
          <w:tcPr/>
          <w:p>
            <w:pPr>
              <w:pStyle w:val="Compact"/>
            </w:pPr>
            <w:r>
              <w:t xml:space="preserve">S1-S237</w:t>
            </w:r>
          </w:p>
        </w:tc>
      </w:tr>
      <w:tr>
        <w:tc>
          <w:tcPr/>
          <w:p>
            <w:pPr>
              <w:pStyle w:val="Compact"/>
            </w:pPr>
            <w:r>
              <w:t xml:space="preserve">2015</w:t>
            </w:r>
          </w:p>
        </w:tc>
        <w:tc>
          <w:tcPr/>
          <w:p>
            <w:pPr>
              <w:pStyle w:val="Compact"/>
            </w:pPr>
            <w:r>
              <w:t xml:space="preserve">95</w:t>
            </w:r>
          </w:p>
        </w:tc>
        <w:tc>
          <w:tcPr/>
          <w:p>
            <w:pPr>
              <w:pStyle w:val="Compact"/>
            </w:pPr>
            <w:r>
              <w:t xml:space="preserve">S38</w:t>
            </w:r>
          </w:p>
        </w:tc>
        <w:tc>
          <w:tcPr/>
          <w:p>
            <w:pPr>
              <w:pStyle w:val="Compact"/>
            </w:pPr>
            <w:r>
              <w:t xml:space="preserve">852</w:t>
            </w:r>
          </w:p>
        </w:tc>
        <w:tc>
          <w:tcPr/>
          <w:p>
            <w:pPr>
              <w:pStyle w:val="Compact"/>
            </w:pPr>
            <w:r>
              <w:t xml:space="preserve">S1-S262</w:t>
            </w:r>
          </w:p>
        </w:tc>
      </w:tr>
      <w:tr>
        <w:tc>
          <w:tcPr/>
          <w:p>
            <w:pPr>
              <w:pStyle w:val="Compact"/>
            </w:pPr>
            <w:r>
              <w:t xml:space="preserve">2016</w:t>
            </w:r>
          </w:p>
        </w:tc>
        <w:tc>
          <w:tcPr/>
          <w:p>
            <w:pPr>
              <w:pStyle w:val="Compact"/>
            </w:pPr>
            <w:r>
              <w:t xml:space="preserve">96</w:t>
            </w:r>
          </w:p>
        </w:tc>
        <w:tc>
          <w:tcPr/>
          <w:p>
            <w:pPr>
              <w:pStyle w:val="Compact"/>
            </w:pPr>
            <w:r>
              <w:t xml:space="preserve">S40</w:t>
            </w:r>
          </w:p>
        </w:tc>
        <w:tc>
          <w:tcPr/>
          <w:p>
            <w:pPr>
              <w:pStyle w:val="Compact"/>
            </w:pPr>
            <w:r>
              <w:t xml:space="preserve">793</w:t>
            </w:r>
          </w:p>
        </w:tc>
        <w:tc>
          <w:tcPr/>
          <w:p>
            <w:pPr>
              <w:pStyle w:val="Compact"/>
            </w:pPr>
            <w:r>
              <w:t xml:space="preserve">S1-S261</w:t>
            </w:r>
          </w:p>
        </w:tc>
      </w:tr>
      <w:tr>
        <w:tc>
          <w:tcPr/>
          <w:p>
            <w:pPr>
              <w:pStyle w:val="Compact"/>
            </w:pPr>
            <w:r>
              <w:t xml:space="preserve">2017</w:t>
            </w:r>
          </w:p>
        </w:tc>
        <w:tc>
          <w:tcPr/>
          <w:p>
            <w:pPr>
              <w:pStyle w:val="Compact"/>
            </w:pPr>
            <w:r>
              <w:t xml:space="preserve">97</w:t>
            </w:r>
          </w:p>
        </w:tc>
        <w:tc>
          <w:tcPr/>
          <w:p>
            <w:pPr>
              <w:pStyle w:val="Compact"/>
            </w:pPr>
            <w:r>
              <w:t xml:space="preserve">S59-S60</w:t>
            </w:r>
          </w:p>
        </w:tc>
        <w:tc>
          <w:tcPr/>
          <w:p>
            <w:pPr>
              <w:pStyle w:val="Compact"/>
            </w:pPr>
            <w:r>
              <w:t xml:space="preserve">614</w:t>
            </w:r>
          </w:p>
        </w:tc>
        <w:tc>
          <w:tcPr/>
          <w:p>
            <w:pPr>
              <w:pStyle w:val="Compact"/>
            </w:pPr>
            <w:r>
              <w:t xml:space="preserve">S1-S208</w:t>
            </w:r>
          </w:p>
        </w:tc>
      </w:tr>
      <w:tr>
        <w:tc>
          <w:tcPr/>
          <w:p>
            <w:pPr>
              <w:pStyle w:val="Compact"/>
            </w:pPr>
            <w:r>
              <w:t xml:space="preserve">2018</w:t>
            </w:r>
          </w:p>
        </w:tc>
        <w:tc>
          <w:tcPr/>
          <w:p>
            <w:pPr>
              <w:pStyle w:val="Compact"/>
            </w:pPr>
            <w:r>
              <w:t xml:space="preserve">95</w:t>
            </w:r>
          </w:p>
        </w:tc>
        <w:tc>
          <w:tcPr/>
          <w:p>
            <w:pPr>
              <w:pStyle w:val="Compact"/>
            </w:pPr>
            <w:r>
              <w:t xml:space="preserve">S60</w:t>
            </w:r>
          </w:p>
        </w:tc>
        <w:tc>
          <w:tcPr/>
          <w:p>
            <w:pPr>
              <w:pStyle w:val="Compact"/>
            </w:pPr>
            <w:r>
              <w:t xml:space="preserve">745</w:t>
            </w:r>
          </w:p>
        </w:tc>
        <w:tc>
          <w:tcPr/>
          <w:p>
            <w:pPr>
              <w:pStyle w:val="Compact"/>
            </w:pPr>
            <w:r>
              <w:t xml:space="preserve">S1-S286</w:t>
            </w:r>
          </w:p>
        </w:tc>
      </w:tr>
      <w:tr>
        <w:tc>
          <w:tcPr/>
          <w:p>
            <w:pPr>
              <w:pStyle w:val="Compact"/>
            </w:pPr>
            <w:r>
              <w:t xml:space="preserve">2019</w:t>
            </w:r>
          </w:p>
        </w:tc>
        <w:tc>
          <w:tcPr/>
          <w:p>
            <w:pPr>
              <w:pStyle w:val="Compact"/>
            </w:pPr>
            <w:r>
              <w:t xml:space="preserve">96</w:t>
            </w:r>
          </w:p>
        </w:tc>
        <w:tc>
          <w:tcPr/>
          <w:p>
            <w:pPr>
              <w:pStyle w:val="Compact"/>
            </w:pPr>
            <w:r>
              <w:t xml:space="preserve">S30</w:t>
            </w:r>
          </w:p>
        </w:tc>
        <w:tc>
          <w:tcPr/>
          <w:p>
            <w:pPr>
              <w:pStyle w:val="Compact"/>
            </w:pPr>
            <w:r>
              <w:t xml:space="preserve">744</w:t>
            </w:r>
          </w:p>
        </w:tc>
        <w:tc>
          <w:tcPr/>
          <w:p>
            <w:pPr>
              <w:pStyle w:val="Compact"/>
            </w:pPr>
            <w:r>
              <w:t xml:space="preserve">S1-S239</w:t>
            </w:r>
          </w:p>
        </w:tc>
      </w:tr>
      <w:tr>
        <w:tc>
          <w:tcPr/>
          <w:p>
            <w:pPr>
              <w:pStyle w:val="Compact"/>
            </w:pPr>
            <w:r>
              <w:t xml:space="preserve">2020</w:t>
            </w:r>
          </w:p>
        </w:tc>
        <w:tc>
          <w:tcPr/>
          <w:p>
            <w:pPr>
              <w:pStyle w:val="Compact"/>
            </w:pPr>
            <w:r>
              <w:t xml:space="preserve">95</w:t>
            </w:r>
          </w:p>
        </w:tc>
        <w:tc>
          <w:tcPr/>
          <w:p>
            <w:pPr>
              <w:pStyle w:val="Compact"/>
            </w:pPr>
            <w:r>
              <w:t xml:space="preserve">S33</w:t>
            </w:r>
          </w:p>
        </w:tc>
        <w:tc>
          <w:tcPr/>
          <w:p>
            <w:pPr>
              <w:pStyle w:val="Compact"/>
            </w:pPr>
            <w:r>
              <w:t xml:space="preserve">453</w:t>
            </w:r>
          </w:p>
        </w:tc>
        <w:tc>
          <w:tcPr/>
          <w:p>
            <w:pPr>
              <w:pStyle w:val="Compact"/>
            </w:pPr>
            <w:r>
              <w:t xml:space="preserve">S1-S152</w:t>
            </w:r>
          </w:p>
        </w:tc>
      </w:tr>
      <w:tr>
        <w:tc>
          <w:tcPr/>
          <w:p>
            <w:pPr>
              <w:pStyle w:val="Compact"/>
            </w:pPr>
            <w:r>
              <w:t xml:space="preserve">2021</w:t>
            </w:r>
          </w:p>
        </w:tc>
        <w:tc>
          <w:tcPr/>
          <w:p>
            <w:pPr>
              <w:pStyle w:val="Compact"/>
            </w:pPr>
            <w:r>
              <w:t xml:space="preserve">98</w:t>
            </w:r>
          </w:p>
        </w:tc>
        <w:tc>
          <w:tcPr/>
          <w:p>
            <w:pPr>
              <w:pStyle w:val="Compact"/>
            </w:pPr>
            <w:r>
              <w:t xml:space="preserve">S34</w:t>
            </w:r>
          </w:p>
        </w:tc>
        <w:tc>
          <w:tcPr/>
          <w:p>
            <w:pPr>
              <w:pStyle w:val="Compact"/>
            </w:pPr>
            <w:r>
              <w:t xml:space="preserve">498</w:t>
            </w:r>
          </w:p>
        </w:tc>
        <w:tc>
          <w:tcPr/>
          <w:p>
            <w:pPr>
              <w:pStyle w:val="Compact"/>
            </w:pPr>
            <w:r>
              <w:t xml:space="preserve">S1-S169</w:t>
            </w:r>
          </w:p>
        </w:tc>
      </w:tr>
      <w:tr>
        <w:tc>
          <w:tcPr/>
          <w:p>
            <w:pPr>
              <w:pStyle w:val="Compact"/>
            </w:pPr>
            <w:r>
              <w:t xml:space="preserve">2022</w:t>
            </w:r>
          </w:p>
        </w:tc>
        <w:tc>
          <w:tcPr/>
          <w:p>
            <w:pPr>
              <w:pStyle w:val="Compact"/>
            </w:pPr>
            <w:r>
              <w:t xml:space="preserve">100</w:t>
            </w:r>
          </w:p>
        </w:tc>
        <w:tc>
          <w:tcPr/>
          <w:p>
            <w:pPr>
              <w:pStyle w:val="Compact"/>
            </w:pPr>
            <w:r>
              <w:t xml:space="preserve">S40</w:t>
            </w:r>
          </w:p>
        </w:tc>
        <w:tc>
          <w:tcPr/>
          <w:p>
            <w:pPr>
              <w:pStyle w:val="Compact"/>
            </w:pPr>
            <w:r>
              <w:t xml:space="preserve">497</w:t>
            </w:r>
          </w:p>
        </w:tc>
        <w:tc>
          <w:tcPr/>
          <w:p>
            <w:pPr>
              <w:pStyle w:val="Compact"/>
            </w:pPr>
            <w:r>
              <w:t xml:space="preserve">S1-S167</w:t>
            </w:r>
          </w:p>
        </w:tc>
      </w:tr>
      <w:tr>
        <w:tc>
          <w:tcPr/>
          <w:p>
            <w:pPr>
              <w:pStyle w:val="Compact"/>
            </w:pPr>
            <w:r>
              <w:t xml:space="preserve">2023</w:t>
            </w:r>
          </w:p>
        </w:tc>
        <w:tc>
          <w:tcPr/>
          <w:p>
            <w:pPr>
              <w:pStyle w:val="Compact"/>
            </w:pPr>
            <w:r>
              <w:t xml:space="preserve">98</w:t>
            </w:r>
          </w:p>
        </w:tc>
        <w:tc>
          <w:tcPr/>
          <w:p>
            <w:pPr>
              <w:pStyle w:val="Compact"/>
            </w:pPr>
            <w:r>
              <w:t xml:space="preserve">S38</w:t>
            </w:r>
          </w:p>
        </w:tc>
        <w:tc>
          <w:tcPr/>
          <w:p>
            <w:pPr>
              <w:pStyle w:val="Compact"/>
            </w:pPr>
            <w:r>
              <w:t xml:space="preserve">392</w:t>
            </w:r>
          </w:p>
        </w:tc>
        <w:tc>
          <w:tcPr/>
          <w:p>
            <w:pPr>
              <w:pStyle w:val="Compact"/>
            </w:pPr>
            <w:r>
              <w:t xml:space="preserve">S1-S141</w:t>
            </w:r>
          </w:p>
        </w:tc>
      </w:tr>
    </w:tbl>
    <w:bookmarkEnd w:id="184"/>
    <w:bookmarkStart w:id="185" w:name="Xbb0267dc4073d6b452b4fbd468e89b232540a33"/>
    <w:p>
      <w:pPr>
        <w:pStyle w:val="Heading3"/>
      </w:pPr>
      <w:r>
        <w:t xml:space="preserve">A14.2 The cutoff is mid-block, not at a section boundary</w:t>
      </w:r>
    </w:p>
    <w:p>
      <w:pPr>
        <w:pStyle w:val="FirstParagraph"/>
      </w:pPr>
      <w:r>
        <w:t xml:space="preserve">If the capture happened to stop where the oral block ends, the cohort would</w:t>
      </w:r>
      <w:r>
        <w:t xml:space="preserve"> </w:t>
      </w:r>
      <w:r>
        <w:t xml:space="preserve">still be a valid census of oral presentations. It does not. The 2012 capture</w:t>
      </w:r>
      <w:r>
        <w:t xml:space="preserve"> </w:t>
      </w:r>
      <w:r>
        <w:t xml:space="preserve">ends at S33-S34; the records immediately following are ordinary scientific</w:t>
      </w:r>
      <w:r>
        <w:t xml:space="preserve"> </w:t>
      </w:r>
      <w:r>
        <w:t xml:space="preserve">abstracts of the same kind already in the cohort:</w:t>
      </w:r>
    </w:p>
    <w:p>
      <w:pPr>
        <w:pStyle w:val="BlockText"/>
      </w:pPr>
      <w:r>
        <w:t xml:space="preserve">S33 Endoscopic Midurethral Circumferential Injection of Calcium Hydroxylapatite</w:t>
      </w:r>
      <w:r>
        <w:t xml:space="preserve"> </w:t>
      </w:r>
      <w:r>
        <w:t xml:space="preserve">for Urethral Bulking; S34 Sling Failures: Does the Adjustable Suburethral Sling</w:t>
      </w:r>
      <w:r>
        <w:t xml:space="preserve"> </w:t>
      </w:r>
      <w:r>
        <w:t xml:space="preserve">(Remeex) Bring Hope; S35 Interest of the 3D Ultrasound Evaluation of Suburethral</w:t>
      </w:r>
      <w:r>
        <w:t xml:space="preserve"> </w:t>
      </w:r>
      <w:r>
        <w:t xml:space="preserve">Tape after TVT-O Procedure; S37 The Outcomes of Elderly Patients in the Treatment</w:t>
      </w:r>
      <w:r>
        <w:t xml:space="preserve"> </w:t>
      </w:r>
      <w:r>
        <w:t xml:space="preserve">of Gynecological Malignancy with Robotics.</w:t>
      </w:r>
    </w:p>
    <w:p>
      <w:pPr>
        <w:pStyle w:val="FirstParagraph"/>
      </w:pPr>
      <w:r>
        <w:t xml:space="preserve">Ingestion stopped part-way through the material, not at the end of a category.</w:t>
      </w:r>
    </w:p>
    <w:bookmarkEnd w:id="185"/>
    <w:bookmarkStart w:id="186" w:name="a14.3-consequence-for-this-appendix"/>
    <w:p>
      <w:pPr>
        <w:pStyle w:val="Heading3"/>
      </w:pPr>
      <w:r>
        <w:t xml:space="preserve">A14.3 Consequence for this appendix</w:t>
      </w:r>
    </w:p>
    <w:p>
      <w:pPr>
        <w:pStyle w:val="FirstParagraph"/>
      </w:pPr>
      <w:r>
        <w:t xml:space="preserve">Each supplement mixes oral presentations, posters and videos, so the item counts</w:t>
      </w:r>
      <w:r>
        <w:t xml:space="preserve"> </w:t>
      </w:r>
      <w:r>
        <w:t xml:space="preserve">above are not counts of missing</w:t>
      </w:r>
      <w:r>
        <w:t xml:space="preserve"> </w:t>
      </w:r>
      <w:r>
        <w:rPr>
          <w:i/>
          <w:iCs/>
        </w:rPr>
        <w:t xml:space="preserve">orals</w:t>
      </w:r>
      <w:r>
        <w:t xml:space="preserve">. Establishing the true oral denominator</w:t>
      </w:r>
      <w:r>
        <w:t xml:space="preserve"> </w:t>
      </w:r>
      <w:r>
        <w:t xml:space="preserve">per congress requires the section headers that</w:t>
      </w:r>
      <w:r>
        <w:t xml:space="preserve"> </w:t>
      </w:r>
      <w:r>
        <w:rPr>
          <w:rStyle w:val="VerbatimChar"/>
        </w:rPr>
        <w:t xml:space="preserve">R/01b_parse_web.R</w:t>
      </w:r>
      <w:r>
        <w:t xml:space="preserve"> </w:t>
      </w:r>
      <w:r>
        <w:t xml:space="preserve">reads, which</w:t>
      </w:r>
      <w:r>
        <w:t xml:space="preserve"> </w:t>
      </w:r>
      <w:r>
        <w:t xml:space="preserve">is the same code path that truncates. The size of the shortfall is therefore not</w:t>
      </w:r>
      <w:r>
        <w:t xml:space="preserve"> </w:t>
      </w:r>
      <w:r>
        <w:t xml:space="preserve">established here; only its existence is.</w:t>
      </w:r>
    </w:p>
    <w:p>
      <w:pPr>
        <w:pStyle w:val="BodyText"/>
      </w:pPr>
      <w:r>
        <w:t xml:space="preserve">What is established is that the captured cohort is a</w:t>
      </w:r>
      <w:r>
        <w:t xml:space="preserve"> </w:t>
      </w:r>
      <w:r>
        <w:rPr>
          <w:b/>
          <w:bCs/>
        </w:rPr>
        <w:t xml:space="preserve">contiguous prefix</w:t>
      </w:r>
      <w:r>
        <w:t xml:space="preserve"> </w:t>
      </w:r>
      <w:r>
        <w:t xml:space="preserve">of</w:t>
      </w:r>
      <w:r>
        <w:t xml:space="preserve"> </w:t>
      </w:r>
      <w:r>
        <w:t xml:space="preserve">each supplement rather than a sample of it. It is systematically the</w:t>
      </w:r>
      <w:r>
        <w:t xml:space="preserve"> </w:t>
      </w:r>
      <w:r>
        <w:t xml:space="preserve">earliest-paginated material, which corresponds to particular sessions and topic</w:t>
      </w:r>
      <w:r>
        <w:t xml:space="preserve"> </w:t>
      </w:r>
      <w:r>
        <w:t xml:space="preserve">blocks rather than to a random draw.</w:t>
      </w:r>
    </w:p>
    <w:p>
      <w:pPr>
        <w:pStyle w:val="BodyText"/>
      </w:pPr>
      <w:r>
        <w:t xml:space="preserve">Every quantity reported in this appendix and in the manuscript is arithmetically</w:t>
      </w:r>
      <w:r>
        <w:t xml:space="preserve"> </w:t>
      </w:r>
      <w:r>
        <w:t xml:space="preserve">correct</w:t>
      </w:r>
      <w:r>
        <w:t xml:space="preserve"> </w:t>
      </w:r>
      <w:r>
        <w:rPr>
          <w:b/>
          <w:bCs/>
        </w:rPr>
        <w:t xml:space="preserve">for the 1,106 abstracts that were captured</w:t>
      </w:r>
      <w:r>
        <w:t xml:space="preserve">. None of them describes</w:t>
      </w:r>
      <w:r>
        <w:t xml:space="preserve"> </w:t>
      </w:r>
      <w:r>
        <w:t xml:space="preserve">“all oral presentations at the AAGL Global Congress, 2012-2023”</w:t>
      </w:r>
      <w:r>
        <w:t xml:space="preserve">. The corrections</w:t>
      </w:r>
      <w:r>
        <w:t xml:space="preserve"> </w:t>
      </w:r>
      <w:r>
        <w:t xml:space="preserve">in A12 and A13, the denominator chain in A13.1, and the open decisions recorded</w:t>
      </w:r>
      <w:r>
        <w:t xml:space="preserve"> </w:t>
      </w:r>
      <w:r>
        <w:t xml:space="preserve">in A13.6 and A13.7 all sit downstream of a cohort that has not yet been</w:t>
      </w:r>
      <w:r>
        <w:t xml:space="preserve"> </w:t>
      </w:r>
      <w:r>
        <w:t xml:space="preserve">correctly assembled.</w:t>
      </w:r>
    </w:p>
    <w:p>
      <w:pPr>
        <w:pStyle w:val="BodyText"/>
      </w:pPr>
      <w:r>
        <w:t xml:space="preserve">Remediation is tracked in</w:t>
      </w:r>
      <w:r>
        <w:t xml:space="preserve"> </w:t>
      </w:r>
      <w:r>
        <w:rPr>
          <w:rStyle w:val="VerbatimChar"/>
        </w:rPr>
        <w:t xml:space="preserve">docs/FAILURE_MODES.md</w:t>
      </w:r>
      <w:r>
        <w:t xml:space="preserve"> </w:t>
      </w:r>
      <w:r>
        <w:t xml:space="preserve">and is out of scope for this</w:t>
      </w:r>
      <w:r>
        <w:t xml:space="preserve"> </w:t>
      </w:r>
      <w:r>
        <w:t xml:space="preserve">appendix.</w:t>
      </w:r>
    </w:p>
    <w:p>
      <w:r>
        <w:pict>
          <v:rect style="width:0;height:1.5pt" o:hralign="center" o:hrstd="t" o:hr="t"/>
        </w:pict>
      </w:r>
    </w:p>
    <w:bookmarkEnd w:id="186"/>
    <w:bookmarkEnd w:id="187"/>
    <w:bookmarkStart w:id="197" w:name="a15.-remediation-september-2026"/>
    <w:p>
      <w:pPr>
        <w:pStyle w:val="Heading2"/>
      </w:pPr>
      <w:r>
        <w:t xml:space="preserve">A15. Remediation, September 2026</w:t>
      </w:r>
    </w:p>
    <w:p>
      <w:pPr>
        <w:pStyle w:val="FirstParagraph"/>
      </w:pPr>
      <w:r>
        <w:t xml:space="preserve">Sections A12–A14 catalogue defects. This section records what was done about</w:t>
      </w:r>
      <w:r>
        <w:t xml:space="preserve"> </w:t>
      </w:r>
      <w:r>
        <w:t xml:space="preserve">them on 3–4 September 2026, what it changed, and what was deliberately left</w:t>
      </w:r>
      <w:r>
        <w:t xml:space="preserve"> </w:t>
      </w:r>
      <w:r>
        <w:t xml:space="preserve">alone. It is the counterpart to</w:t>
      </w:r>
      <w:r>
        <w:t xml:space="preserve"> </w:t>
      </w:r>
      <w:r>
        <w:rPr>
          <w:rStyle w:val="VerbatimChar"/>
        </w:rPr>
        <w:t xml:space="preserve">docs/FAILURE_MODES.md</w:t>
      </w:r>
      <w:r>
        <w:t xml:space="preserve">, which holds the</w:t>
      </w:r>
      <w:r>
        <w:t xml:space="preserve"> </w:t>
      </w:r>
      <w:r>
        <w:t xml:space="preserve">mechanism for each entry; this is the narrative and the arithmetic.</w:t>
      </w:r>
    </w:p>
    <w:p>
      <w:pPr>
        <w:pStyle w:val="BodyText"/>
      </w:pPr>
      <w:r>
        <w:t xml:space="preserve">The headline did not move. The publication rate is 178 / 1,051 =</w:t>
      </w:r>
      <w:r>
        <w:t xml:space="preserve"> </w:t>
      </w:r>
      <w:r>
        <w:rPr>
          <w:b/>
          <w:bCs/>
        </w:rPr>
        <w:t xml:space="preserve">16.9%</w:t>
      </w:r>
      <w:r>
        <w:t xml:space="preserve"> </w:t>
      </w:r>
      <w:r>
        <w:t xml:space="preserve">before and after. What</w:t>
      </w:r>
      <w:r>
        <w:t xml:space="preserve"> </w:t>
      </w:r>
      <w:r>
        <w:t xml:space="preserve">moved is the evidence beneath the time-to-event and regression results, and</w:t>
      </w:r>
      <w:r>
        <w:t xml:space="preserve"> </w:t>
      </w:r>
      <w:r>
        <w:t xml:space="preserve">the amount of the pipeline that can be rebuilt on another machine.</w:t>
      </w:r>
    </w:p>
    <w:bookmarkStart w:id="188" w:name="a15.1-the-candidate-pool-f2"/>
    <w:p>
      <w:pPr>
        <w:pStyle w:val="Heading3"/>
      </w:pPr>
      <w:r>
        <w:t xml:space="preserve">A15.1 The candidate pool (F2)</w:t>
      </w:r>
    </w:p>
    <w:p>
      <w:pPr>
        <w:pStyle w:val="FirstParagraph"/>
      </w:pPr>
      <w:r>
        <w:rPr>
          <w:rStyle w:val="VerbatimChar"/>
        </w:rPr>
        <w:t xml:space="preserve">R/03b_search_crossref.R</w:t>
      </w:r>
      <w:r>
        <w:t xml:space="preserve"> </w:t>
      </w:r>
      <w:r>
        <w:t xml:space="preserve">rewrites</w:t>
      </w:r>
      <w:r>
        <w:t xml:space="preserve"> </w:t>
      </w:r>
      <w:r>
        <w:rPr>
          <w:rStyle w:val="VerbatimChar"/>
        </w:rPr>
        <w:t xml:space="preserve">data/processed/pubmed_candidates.csv</w:t>
      </w:r>
      <w:r>
        <w:t xml:space="preserve"> </w:t>
      </w:r>
      <w:r>
        <w:t xml:space="preserve">in</w:t>
      </w:r>
      <w:r>
        <w:t xml:space="preserve"> </w:t>
      </w:r>
      <w:r>
        <w:t xml:space="preserve">place at the end of every supplementary-search run. On 19 April 2026 it ran at</w:t>
      </w:r>
      <w:r>
        <w:t xml:space="preserve"> </w:t>
      </w:r>
      <w:r>
        <w:t xml:space="preserve">09:47, after</w:t>
      </w:r>
      <w:r>
        <w:t xml:space="preserve"> </w:t>
      </w:r>
      <w:r>
        <w:rPr>
          <w:rStyle w:val="VerbatimChar"/>
        </w:rPr>
        <w:t xml:space="preserve">R/04_score_matches.R</w:t>
      </w:r>
      <w:r>
        <w:t xml:space="preserve"> </w:t>
      </w:r>
      <w:r>
        <w:t xml:space="preserve">had scored at 09:21. The file left on disk</w:t>
      </w:r>
      <w:r>
        <w:t xml:space="preserve"> </w:t>
      </w:r>
      <w:r>
        <w:t xml:space="preserve">was a strict subset of the pool the scores were computed against.</w:t>
      </w:r>
    </w:p>
    <w:p>
      <w:pPr>
        <w:pStyle w:val="BodyText"/>
      </w:pPr>
      <w:r>
        <w:rPr>
          <w:rStyle w:val="VerbatimChar"/>
        </w:rPr>
        <w:t xml:space="preserve">scripts/rebuild_candidate_pool.R</w:t>
      </w:r>
      <w:r>
        <w:t xml:space="preserve"> </w:t>
      </w:r>
      <w:r>
        <w:t xml:space="preserve">reconstructs it from</w:t>
      </w:r>
      <w:r>
        <w:t xml:space="preserve"> </w:t>
      </w:r>
      <w:r>
        <w:rPr>
          <w:rStyle w:val="VerbatimChar"/>
        </w:rPr>
        <w:t xml:space="preserve">data/processed/match_scores_detailed.rds</w:t>
      </w:r>
      <w:r>
        <w:t xml:space="preserve"> </w:t>
      </w:r>
      <w:r>
        <w:t xml:space="preserve">— the surviving record of every</w:t>
      </w:r>
      <w:r>
        <w:t xml:space="preserve"> </w:t>
      </w:r>
      <w:r>
        <w:t xml:space="preserve">scored pair — plus every reviewer-supplied</w:t>
      </w:r>
      <w:r>
        <w:t xml:space="preserve"> </w:t>
      </w:r>
      <w:r>
        <w:rPr>
          <w:rStyle w:val="VerbatimChar"/>
        </w:rPr>
        <w:t xml:space="preserve">manual_pmid</w:t>
      </w:r>
      <w:r>
        <w:t xml:space="preserve">, refetching the missing</w:t>
      </w:r>
      <w:r>
        <w:t xml:space="preserve"> </w:t>
      </w:r>
      <w:r>
        <w:t xml:space="preserve">metadata from PubMed in batches of 100. It is resumable and drops rows keyed to</w:t>
      </w:r>
      <w:r>
        <w:t xml:space="preserve"> </w:t>
      </w:r>
      <w:r>
        <w:rPr>
          <w:rStyle w:val="VerbatimChar"/>
        </w:rPr>
        <w:t xml:space="preserve">abstract_id</w:t>
      </w:r>
      <w:r>
        <w:t xml:space="preserve">s outside the 1,154 parsed presentations.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before</w:t>
            </w:r>
          </w:p>
        </w:tc>
        <w:tc>
          <w:tcPr/>
          <w:p>
            <w:pPr>
              <w:pStyle w:val="Compact"/>
              <w:jc w:val="right"/>
            </w:pPr>
            <w:r>
              <w:t xml:space="preserve">after</w:t>
            </w:r>
          </w:p>
        </w:tc>
      </w:tr>
      <w:tr>
        <w:tc>
          <w:tcPr/>
          <w:p>
            <w:pPr>
              <w:pStyle w:val="Compact"/>
            </w:pPr>
            <w:r>
              <w:t xml:space="preserve">Rows in the pool</w:t>
            </w:r>
          </w:p>
        </w:tc>
        <w:tc>
          <w:tcPr/>
          <w:p>
            <w:pPr>
              <w:pStyle w:val="Compact"/>
              <w:jc w:val="right"/>
            </w:pPr>
            <w:r>
              <w:t xml:space="preserve">48,984</w:t>
            </w:r>
          </w:p>
        </w:tc>
        <w:tc>
          <w:tcPr/>
          <w:p>
            <w:pPr>
              <w:pStyle w:val="Compact"/>
              <w:jc w:val="right"/>
            </w:pPr>
            <w:r>
              <w:t xml:space="preserve">65,697</w:t>
            </w:r>
          </w:p>
        </w:tc>
      </w:tr>
      <w:tr>
        <w:tc>
          <w:tcPr/>
          <w:p>
            <w:pPr>
              <w:pStyle w:val="Compact"/>
            </w:pPr>
            <w:r>
              <w:t xml:space="preserve">Cohort pairs vs</w:t>
            </w:r>
            <w:r>
              <w:t xml:space="preserve"> </w:t>
            </w:r>
            <w:r>
              <w:rPr>
                <w:rStyle w:val="VerbatimChar"/>
              </w:rPr>
              <w:t xml:space="preserve">sum(n_candidates)</w:t>
            </w:r>
          </w:p>
        </w:tc>
        <w:tc>
          <w:tcPr/>
          <w:p>
            <w:pPr>
              <w:pStyle w:val="Compact"/>
              <w:jc w:val="right"/>
            </w:pPr>
            <w:r>
              <w:t xml:space="preserve">48,984 vs 64,718</w:t>
            </w:r>
          </w:p>
        </w:tc>
        <w:tc>
          <w:tcPr/>
          <w:p>
            <w:pPr>
              <w:pStyle w:val="Compact"/>
              <w:jc w:val="right"/>
            </w:pPr>
            <w:r>
              <w:t xml:space="preserve">64,728 vs 64,718</w:t>
            </w:r>
          </w:p>
        </w:tc>
      </w:tr>
      <w:tr>
        <w:tc>
          <w:tcPr/>
          <w:p>
            <w:pPr>
              <w:pStyle w:val="Compact"/>
            </w:pPr>
            <w:r>
              <w:t xml:space="preserve">Winning PMIDs unresolvable</w:t>
            </w:r>
          </w:p>
        </w:tc>
        <w:tc>
          <w:tcPr/>
          <w:p>
            <w:pPr>
              <w:pStyle w:val="Compact"/>
              <w:jc w:val="right"/>
            </w:pPr>
            <w:r>
              <w:t xml:space="preserve">283</w:t>
            </w:r>
          </w:p>
        </w:tc>
        <w:tc>
          <w:tcPr/>
          <w:p>
            <w:pPr>
              <w:pStyle w:val="Compact"/>
              <w:jc w:val="right"/>
            </w:pPr>
            <w:r>
              <w:rPr>
                <w:b/>
                <w:bCs/>
              </w:rPr>
              <w:t xml:space="preserve">0</w:t>
            </w:r>
          </w:p>
        </w:tc>
      </w:tr>
      <w:tr>
        <w:tc>
          <w:tcPr/>
          <w:p>
            <w:pPr>
              <w:pStyle w:val="Compact"/>
            </w:pPr>
            <w:r>
              <w:t xml:space="preserve">Published abstracts with a date</w:t>
            </w:r>
          </w:p>
        </w:tc>
        <w:tc>
          <w:tcPr/>
          <w:p>
            <w:pPr>
              <w:pStyle w:val="Compact"/>
              <w:jc w:val="right"/>
            </w:pPr>
            <w:r>
              <w:t xml:space="preserve">104 / 178</w:t>
            </w:r>
          </w:p>
        </w:tc>
        <w:tc>
          <w:tcPr/>
          <w:p>
            <w:pPr>
              <w:pStyle w:val="Compact"/>
              <w:jc w:val="right"/>
            </w:pPr>
            <w:r>
              <w:rPr>
                <w:b/>
                <w:bCs/>
              </w:rPr>
              <w:t xml:space="preserve">178 / 178</w:t>
            </w:r>
          </w:p>
        </w:tc>
      </w:tr>
      <w:tr>
        <w:tc>
          <w:tcPr/>
          <w:p>
            <w:pPr>
              <w:pStyle w:val="Compact"/>
            </w:pPr>
            <w:r>
              <w:t xml:space="preserve">Kaplan–Meier events</w:t>
            </w:r>
          </w:p>
        </w:tc>
        <w:tc>
          <w:tcPr/>
          <w:p>
            <w:pPr>
              <w:pStyle w:val="Compact"/>
              <w:jc w:val="right"/>
            </w:pPr>
            <w:r>
              <w:t xml:space="preserve">104</w:t>
            </w:r>
          </w:p>
        </w:tc>
        <w:tc>
          <w:tcPr/>
          <w:p>
            <w:pPr>
              <w:pStyle w:val="Compact"/>
              <w:jc w:val="right"/>
            </w:pPr>
            <w:r>
              <w:rPr>
                <w:b/>
                <w:bCs/>
              </w:rPr>
              <w:t xml:space="preserve">171</w:t>
            </w:r>
          </w:p>
        </w:tc>
      </w:tr>
      <w:tr>
        <w:tc>
          <w:tcPr/>
          <w:p>
            <w:pPr>
              <w:pStyle w:val="Compact"/>
            </w:pPr>
            <w:r>
              <w:t xml:space="preserve">Median time to publication</w:t>
            </w:r>
          </w:p>
        </w:tc>
        <w:tc>
          <w:tcPr/>
          <w:p>
            <w:pPr>
              <w:pStyle w:val="Compact"/>
              <w:jc w:val="right"/>
            </w:pPr>
            <w:r>
              <w:t xml:space="preserve">13.8 mo (IQR 6.3–25.0)</w:t>
            </w:r>
          </w:p>
        </w:tc>
        <w:tc>
          <w:tcPr/>
          <w:p>
            <w:pPr>
              <w:pStyle w:val="Compact"/>
              <w:jc w:val="right"/>
            </w:pPr>
            <w:r>
              <w:rPr>
                <w:b/>
                <w:bCs/>
              </w:rPr>
              <w:t xml:space="preserve">13.7 mo (IQR 5.7–22.6)</w:t>
            </w:r>
          </w:p>
        </w:tc>
      </w:tr>
    </w:tbl>
    <w:p>
      <w:pPr>
        <w:pStyle w:val="BodyText"/>
      </w:pPr>
      <w:r>
        <w:t xml:space="preserve">One limit is permanent. The</w:t>
      </w:r>
      <w:r>
        <w:t xml:space="preserve"> </w:t>
      </w:r>
      <w:r>
        <w:rPr>
          <w:rStyle w:val="VerbatimChar"/>
        </w:rPr>
        <w:t xml:space="preserve">strategies</w:t>
      </w:r>
      <w:r>
        <w:t xml:space="preserve"> </w:t>
      </w:r>
      <w:r>
        <w:t xml:space="preserve">provenance for a recovered pair lived</w:t>
      </w:r>
      <w:r>
        <w:t xml:space="preserve"> </w:t>
      </w:r>
      <w:r>
        <w:t xml:space="preserve">only in the overwritten file. Recovered rows carry</w:t>
      </w:r>
      <w:r>
        <w:t xml:space="preserve"> </w:t>
      </w:r>
      <w:r>
        <w:rPr>
          <w:rStyle w:val="VerbatimChar"/>
        </w:rPr>
        <w:t xml:space="preserve">strategies = "unrecovered"</w:t>
      </w:r>
      <w:r>
        <w:t xml:space="preserve"> </w:t>
      </w:r>
      <w:r>
        <w:t xml:space="preserve">so Aim 4’s attribution excludes rather than miscounts them.</w:t>
      </w:r>
    </w:p>
    <w:p>
      <w:pPr>
        <w:pStyle w:val="BodyText"/>
      </w:pPr>
      <w:r>
        <w:t xml:space="preserve">Seven confirmed publications appeared</w:t>
      </w:r>
      <w:r>
        <w:t xml:space="preserve"> </w:t>
      </w:r>
      <w:r>
        <w:rPr>
          <w:i/>
          <w:iCs/>
        </w:rPr>
        <w:t xml:space="preserve">before</w:t>
      </w:r>
      <w:r>
        <w:t xml:space="preserve"> </w:t>
      </w:r>
      <w:r>
        <w:t xml:space="preserve">their congress. They belong in</w:t>
      </w:r>
      <w:r>
        <w:t xml:space="preserve"> </w:t>
      </w:r>
      <w:r>
        <w:t xml:space="preserve">the numerator — a reviewer ruled they are the abstract’s publication — but a</w:t>
      </w:r>
      <w:r>
        <w:t xml:space="preserve"> </w:t>
      </w:r>
      <w:r>
        <w:t xml:space="preserve">negative interval is not a time to publication, so Aim 2 now reports</w:t>
      </w:r>
      <w:r>
        <w:t xml:space="preserve"> </w:t>
      </w:r>
      <w:r>
        <w:rPr>
          <w:rStyle w:val="VerbatimChar"/>
        </w:rPr>
        <w:t xml:space="preserve">n_published</w:t>
      </w:r>
      <w:r>
        <w:t xml:space="preserve">,</w:t>
      </w:r>
      <w:r>
        <w:t xml:space="preserve"> </w:t>
      </w:r>
      <w:r>
        <w:rPr>
          <w:rStyle w:val="VerbatimChar"/>
        </w:rPr>
        <w:t xml:space="preserve">n_with_dates</w:t>
      </w:r>
      <w:r>
        <w:t xml:space="preserve">,</w:t>
      </w:r>
      <w:r>
        <w:t xml:space="preserve"> </w:t>
      </w:r>
      <w:r>
        <w:rPr>
          <w:rStyle w:val="VerbatimChar"/>
        </w:rPr>
        <w:t xml:space="preserve">n_pre_congress</w:t>
      </w:r>
      <w:r>
        <w:t xml:space="preserve"> </w:t>
      </w:r>
      <w:r>
        <w:t xml:space="preserve">and</w:t>
      </w:r>
      <w:r>
        <w:t xml:space="preserve"> </w:t>
      </w:r>
      <w:r>
        <w:rPr>
          <w:rStyle w:val="VerbatimChar"/>
        </w:rPr>
        <w:t xml:space="preserve">n_undated</w:t>
      </w:r>
      <w:r>
        <w:t xml:space="preserve"> </w:t>
      </w:r>
      <w:r>
        <w:t xml:space="preserve">and computes the</w:t>
      </w:r>
      <w:r>
        <w:t xml:space="preserve"> </w:t>
      </w:r>
      <w:r>
        <w:t xml:space="preserve">median on post-congress publications only.</w:t>
      </w:r>
    </w:p>
    <w:bookmarkEnd w:id="188"/>
    <w:bookmarkStart w:id="189" w:name="Xf73817677dac78a0596c424c3d0e52489da902d"/>
    <w:p>
      <w:pPr>
        <w:pStyle w:val="Heading3"/>
      </w:pPr>
      <w:r>
        <w:t xml:space="preserve">A15.2 Covariates derived before the text existed (F3)</w:t>
      </w:r>
    </w:p>
    <w:p>
      <w:pPr>
        <w:pStyle w:val="FirstParagraph"/>
      </w:pPr>
      <w:r>
        <w:rPr>
          <w:rStyle w:val="VerbatimChar"/>
        </w:rPr>
        <w:t xml:space="preserve">R/02_clean_abstracts.R</w:t>
      </w:r>
      <w:r>
        <w:t xml:space="preserve"> </w:t>
      </w:r>
      <w:r>
        <w:t xml:space="preserve">derives roughly twenty predictors by regular expression</w:t>
      </w:r>
      <w:r>
        <w:t xml:space="preserve"> </w:t>
      </w:r>
      <w:r>
        <w:t xml:space="preserve">over</w:t>
      </w:r>
      <w:r>
        <w:t xml:space="preserve"> </w:t>
      </w:r>
      <w:r>
        <w:rPr>
          <w:rStyle w:val="VerbatimChar"/>
        </w:rPr>
        <w:t xml:space="preserve">search_text</w:t>
      </w:r>
      <w:r>
        <w:t xml:space="preserve">, but runs</w:t>
      </w:r>
      <w:r>
        <w:t xml:space="preserve"> </w:t>
      </w:r>
      <w:r>
        <w:rPr>
          <w:i/>
          <w:iCs/>
        </w:rPr>
        <w:t xml:space="preserve">before</w:t>
      </w:r>
      <w:r>
        <w:t xml:space="preserve"> </w:t>
      </w:r>
      <w:r>
        <w:t xml:space="preserve">the two text backfills. For congress years</w:t>
      </w:r>
      <w:r>
        <w:t xml:space="preserve"> </w:t>
      </w:r>
      <w:r>
        <w:t xml:space="preserve">2012–2018 it therefore saw the title alone, and nothing recomputed the</w:t>
      </w:r>
      <w:r>
        <w:t xml:space="preserve"> </w:t>
      </w:r>
      <w:r>
        <w:t xml:space="preserve">variables afterwards.</w:t>
      </w:r>
    </w:p>
    <w:p>
      <w:pPr>
        <w:pStyle w:val="BodyText"/>
      </w:pPr>
      <w:r>
        <w:rPr>
          <w:rStyle w:val="VerbatimChar"/>
        </w:rPr>
        <w:t xml:space="preserve">R/02d_rederive_predictors.R</w:t>
      </w:r>
      <w:r>
        <w:t xml:space="preserve"> </w:t>
      </w:r>
      <w:r>
        <w:t xml:space="preserve">re-runs the identical rules over the backfilled</w:t>
      </w:r>
      <w:r>
        <w:t xml:space="preserve"> </w:t>
      </w:r>
      <w:r>
        <w:t xml:space="preserve">text as step 2d. It touches covariates only — not</w:t>
      </w:r>
      <w:r>
        <w:t xml:space="preserve"> </w:t>
      </w:r>
      <w:r>
        <w:rPr>
          <w:rStyle w:val="VerbatimChar"/>
        </w:rPr>
        <w:t xml:space="preserve">title</w:t>
      </w:r>
      <w:r>
        <w:t xml:space="preserve">, the author columns or</w:t>
      </w:r>
      <w:r>
        <w:t xml:space="preserve"> </w:t>
      </w:r>
      <w:r>
        <w:rPr>
          <w:rStyle w:val="VerbatimChar"/>
        </w:rPr>
        <w:t xml:space="preserve">keywords_str</w:t>
      </w:r>
      <w:r>
        <w:t xml:space="preserve">, which feed the search and the score and whose change would</w:t>
      </w:r>
      <w:r>
        <w:t xml:space="preserve"> </w:t>
      </w:r>
      <w:r>
        <w:t xml:space="preserve">invalidate the scores and the human adjudication recorded against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 (cohort TRUE)</w:t>
            </w:r>
          </w:p>
        </w:tc>
        <w:tc>
          <w:tcPr/>
          <w:p>
            <w:pPr>
              <w:pStyle w:val="Compact"/>
              <w:jc w:val="right"/>
            </w:pPr>
            <w:r>
              <w:t xml:space="preserve">before</w:t>
            </w:r>
          </w:p>
        </w:tc>
        <w:tc>
          <w:tcPr/>
          <w:p>
            <w:pPr>
              <w:pStyle w:val="Compact"/>
              <w:jc w:val="right"/>
            </w:pPr>
            <w:r>
              <w:t xml:space="preserve">after</w:t>
            </w:r>
          </w:p>
        </w:tc>
      </w:tr>
      <w:tr>
        <w:tc>
          <w:tcPr/>
          <w:p>
            <w:pPr>
              <w:pStyle w:val="Compact"/>
            </w:pPr>
            <w:r>
              <w:rPr>
                <w:rStyle w:val="VerbatimChar"/>
              </w:rPr>
              <w:t xml:space="preserve">is_rct</w:t>
            </w:r>
          </w:p>
        </w:tc>
        <w:tc>
          <w:tcPr/>
          <w:p>
            <w:pPr>
              <w:pStyle w:val="Compact"/>
              <w:jc w:val="right"/>
            </w:pPr>
            <w:r>
              <w:t xml:space="preserve">71</w:t>
            </w:r>
          </w:p>
        </w:tc>
        <w:tc>
          <w:tcPr/>
          <w:p>
            <w:pPr>
              <w:pStyle w:val="Compact"/>
              <w:jc w:val="right"/>
            </w:pPr>
            <w:r>
              <w:t xml:space="preserve">98</w:t>
            </w:r>
          </w:p>
        </w:tc>
      </w:tr>
      <w:tr>
        <w:tc>
          <w:tcPr/>
          <w:p>
            <w:pPr>
              <w:pStyle w:val="Compact"/>
            </w:pPr>
            <w:r>
              <w:rPr>
                <w:rStyle w:val="VerbatimChar"/>
              </w:rPr>
              <w:t xml:space="preserve">is_academic</w:t>
            </w:r>
          </w:p>
        </w:tc>
        <w:tc>
          <w:tcPr/>
          <w:p>
            <w:pPr>
              <w:pStyle w:val="Compact"/>
              <w:jc w:val="right"/>
            </w:pPr>
            <w:r>
              <w:t xml:space="preserve">148</w:t>
            </w:r>
          </w:p>
        </w:tc>
        <w:tc>
          <w:tcPr/>
          <w:p>
            <w:pPr>
              <w:pStyle w:val="Compact"/>
              <w:jc w:val="right"/>
            </w:pPr>
            <w:r>
              <w:t xml:space="preserve">371</w:t>
            </w:r>
          </w:p>
        </w:tc>
      </w:tr>
      <w:tr>
        <w:tc>
          <w:tcPr/>
          <w:p>
            <w:pPr>
              <w:pStyle w:val="Compact"/>
            </w:pPr>
            <w:r>
              <w:rPr>
                <w:rStyle w:val="VerbatimChar"/>
              </w:rPr>
              <w:t xml:space="preserve">is_us_based</w:t>
            </w:r>
          </w:p>
        </w:tc>
        <w:tc>
          <w:tcPr/>
          <w:p>
            <w:pPr>
              <w:pStyle w:val="Compact"/>
              <w:jc w:val="right"/>
            </w:pPr>
            <w:r>
              <w:t xml:space="preserve">689</w:t>
            </w:r>
          </w:p>
        </w:tc>
        <w:tc>
          <w:tcPr/>
          <w:p>
            <w:pPr>
              <w:pStyle w:val="Compact"/>
              <w:jc w:val="right"/>
            </w:pPr>
            <w:r>
              <w:t xml:space="preserve">907</w:t>
            </w:r>
          </w:p>
        </w:tc>
      </w:tr>
      <w:tr>
        <w:tc>
          <w:tcPr/>
          <w:p>
            <w:pPr>
              <w:pStyle w:val="Compact"/>
            </w:pPr>
            <w:r>
              <w:rPr>
                <w:rStyle w:val="VerbatimChar"/>
              </w:rPr>
              <w:t xml:space="preserve">is_multicenter</w:t>
            </w:r>
          </w:p>
        </w:tc>
        <w:tc>
          <w:tcPr/>
          <w:p>
            <w:pPr>
              <w:pStyle w:val="Compact"/>
              <w:jc w:val="right"/>
            </w:pPr>
            <w:r>
              <w:t xml:space="preserve">38</w:t>
            </w:r>
          </w:p>
        </w:tc>
        <w:tc>
          <w:tcPr/>
          <w:p>
            <w:pPr>
              <w:pStyle w:val="Compact"/>
              <w:jc w:val="right"/>
            </w:pPr>
            <w:r>
              <w:t xml:space="preserve">65</w:t>
            </w:r>
          </w:p>
        </w:tc>
      </w:tr>
      <w:tr>
        <w:tc>
          <w:tcPr/>
          <w:p>
            <w:pPr>
              <w:pStyle w:val="Compact"/>
            </w:pPr>
            <w:r>
              <w:rPr>
                <w:rStyle w:val="VerbatimChar"/>
              </w:rPr>
              <w:t xml:space="preserve">has_numeric_results</w:t>
            </w:r>
          </w:p>
        </w:tc>
        <w:tc>
          <w:tcPr/>
          <w:p>
            <w:pPr>
              <w:pStyle w:val="Compact"/>
              <w:jc w:val="right"/>
            </w:pPr>
            <w:r>
              <w:t xml:space="preserve">276</w:t>
            </w:r>
          </w:p>
        </w:tc>
        <w:tc>
          <w:tcPr/>
          <w:p>
            <w:pPr>
              <w:pStyle w:val="Compact"/>
              <w:jc w:val="right"/>
            </w:pPr>
            <w:r>
              <w:t xml:space="preserve">622</w:t>
            </w:r>
          </w:p>
        </w:tc>
      </w:tr>
    </w:tbl>
    <w:p>
      <w:pPr>
        <w:pStyle w:val="BodyText"/>
      </w:pPr>
      <w:r>
        <w:t xml:space="preserve">Two rules were widened deliberately and are marked as such in the script:</w:t>
      </w:r>
      <w:r>
        <w:t xml:space="preserve"> </w:t>
      </w:r>
      <w:r>
        <w:rPr>
          <w:rStyle w:val="VerbatimChar"/>
        </w:rPr>
        <w:t xml:space="preserve">has_numeric_results</w:t>
      </w:r>
      <w:r>
        <w:t xml:space="preserve"> </w:t>
      </w:r>
      <w:r>
        <w:t xml:space="preserve">and</w:t>
      </w:r>
      <w:r>
        <w:t xml:space="preserve"> </w:t>
      </w:r>
      <w:r>
        <w:rPr>
          <w:rStyle w:val="VerbatimChar"/>
        </w:rPr>
        <w:t xml:space="preserve">result_positivity</w:t>
      </w:r>
      <w:r>
        <w:t xml:space="preserve"> </w:t>
      </w:r>
      <w:r>
        <w:t xml:space="preserve">now fall back to</w:t>
      </w:r>
      <w:r>
        <w:t xml:space="preserve"> </w:t>
      </w:r>
      <w:r>
        <w:rPr>
          <w:rStyle w:val="VerbatimChar"/>
        </w:rPr>
        <w:t xml:space="preserve">abstract_text</w:t>
      </w:r>
      <w:r>
        <w:t xml:space="preserve"> </w:t>
      </w:r>
      <w:r>
        <w:t xml:space="preserve">where the structured section columns are absent, which is every 2012–2018</w:t>
      </w:r>
      <w:r>
        <w:t xml:space="preserve"> </w:t>
      </w:r>
      <w:r>
        <w:t xml:space="preserve">abstract.</w:t>
      </w:r>
    </w:p>
    <w:p>
      <w:pPr>
        <w:pStyle w:val="BodyText"/>
      </w:pPr>
      <w:r>
        <w:t xml:space="preserve">The same script clears</w:t>
      </w:r>
      <w:r>
        <w:t xml:space="preserve"> </w:t>
      </w:r>
      <w:r>
        <w:rPr>
          <w:b/>
          <w:bCs/>
        </w:rPr>
        <w:t xml:space="preserve">96 degenerate</w:t>
      </w:r>
      <w:r>
        <w:rPr>
          <w:b/>
          <w:bCs/>
        </w:rPr>
        <w:t xml:space="preserve"> </w:t>
      </w:r>
      <w:r>
        <w:rPr>
          <w:rStyle w:val="VerbatimChar"/>
          <w:b/>
          <w:bCs/>
        </w:rPr>
        <w:t xml:space="preserve">abstract_text</w:t>
      </w:r>
      <w:r>
        <w:rPr>
          <w:b/>
          <w:bCs/>
        </w:rPr>
        <w:t xml:space="preserve"> </w:t>
      </w:r>
      <w:r>
        <w:rPr>
          <w:b/>
          <w:bCs/>
        </w:rPr>
        <w:t xml:space="preserve">values</w:t>
      </w:r>
      <w:r>
        <w:t xml:space="preserve">. The</w:t>
      </w:r>
      <w:r>
        <w:t xml:space="preserve"> </w:t>
      </w:r>
      <w:r>
        <w:t xml:space="preserve">ScienceDirect snippet backfill had written the page footnote</w:t>
      </w:r>
      <w:r>
        <w:t xml:space="preserve"> </w:t>
      </w:r>
      <w:r>
        <w:rPr>
          <w:rStyle w:val="VerbatimChar"/>
        </w:rPr>
        <w:t xml:space="preserve">"*: Corresponding author."</w:t>
      </w:r>
      <w:r>
        <w:t xml:space="preserve"> </w:t>
      </w:r>
      <w:r>
        <w:t xml:space="preserve">into all 95 abstracts of the 2018 congress and a</w:t>
      </w:r>
      <w:r>
        <w:t xml:space="preserve"> </w:t>
      </w:r>
      <w:r>
        <w:t xml:space="preserve">co-first-author footnote into one 2017 abstract. At 24 characters those passed</w:t>
      </w:r>
      <w:r>
        <w:t xml:space="preserve"> </w:t>
      </w:r>
      <w:r>
        <w:t xml:space="preserve">the</w:t>
      </w:r>
      <w:r>
        <w:t xml:space="preserve"> </w:t>
      </w:r>
      <w:r>
        <w:rPr>
          <w:rStyle w:val="VerbatimChar"/>
        </w:rPr>
        <w:t xml:space="preserve">nchar &gt;= 10</w:t>
      </w:r>
      <w:r>
        <w:t xml:space="preserve"> </w:t>
      </w:r>
      <w:r>
        <w:t xml:space="preserve">gate that</w:t>
      </w:r>
      <w:r>
        <w:t xml:space="preserve"> </w:t>
      </w:r>
      <w:r>
        <w:rPr>
          <w:rStyle w:val="VerbatimChar"/>
        </w:rPr>
        <w:t xml:space="preserve">02b</w:t>
      </w:r>
      <w:r>
        <w:t xml:space="preserve">/</w:t>
      </w:r>
      <w:r>
        <w:rPr>
          <w:rStyle w:val="VerbatimChar"/>
        </w:rPr>
        <w:t xml:space="preserve">02c</w:t>
      </w:r>
      <w:r>
        <w:t xml:space="preserve"> </w:t>
      </w:r>
      <w:r>
        <w:t xml:space="preserve">use to decide a row needs no backfill,</w:t>
      </w:r>
      <w:r>
        <w:t xml:space="preserve"> </w:t>
      </w:r>
      <w:r>
        <w:t xml:space="preserve">so the rows could never be repaired, and they displaced the title as the source</w:t>
      </w:r>
      <w:r>
        <w:t xml:space="preserve"> </w:t>
      </w:r>
      <w:r>
        <w:t xml:space="preserve">for every derived covariate. Clearing them is score-neutral: all 96 already</w:t>
      </w:r>
      <w:r>
        <w:t xml:space="preserve"> </w:t>
      </w:r>
      <w:r>
        <w:t xml:space="preserve">carried</w:t>
      </w:r>
      <w:r>
        <w:t xml:space="preserve"> </w:t>
      </w:r>
      <w:r>
        <w:rPr>
          <w:rStyle w:val="VerbatimChar"/>
        </w:rPr>
        <w:t xml:space="preserve">abstract_pts == 0</w:t>
      </w:r>
      <w:r>
        <w:t xml:space="preserve">, verified before the change.</w:t>
      </w:r>
    </w:p>
    <w:p>
      <w:pPr>
        <w:pStyle w:val="BodyText"/>
      </w:pPr>
      <w:r>
        <w:t xml:space="preserve">The residual year gradient is now confined to 2017 and 2018, which have no</w:t>
      </w:r>
      <w:r>
        <w:t xml:space="preserve"> </w:t>
      </w:r>
      <w:r>
        <w:t xml:space="preserve">recoverable abstract text at all (1 of 97 and 0 of 95) — a true absence of</w:t>
      </w:r>
      <w:r>
        <w:t xml:space="preserve"> </w:t>
      </w:r>
      <w:r>
        <w:t xml:space="preserve">evidence rather than a derivation-ordering artefact.</w:t>
      </w:r>
    </w:p>
    <w:p>
      <w:pPr>
        <w:pStyle w:val="BodyText"/>
      </w:pPr>
      <w:r>
        <w:rPr>
          <w:b/>
          <w:bCs/>
        </w:rPr>
        <w:t xml:space="preserve">This changed the models.</w:t>
      </w:r>
      <w:r>
        <w:t xml:space="preserve"> </w:t>
      </w:r>
      <w:r>
        <w:rPr>
          <w:rStyle w:val="VerbatimChar"/>
        </w:rPr>
        <w:t xml:space="preserve">is_academic</w:t>
      </w:r>
      <w:r>
        <w:t xml:space="preserve"> </w:t>
      </w:r>
      <w:r>
        <w:t xml:space="preserve">moved from HR 0.87 (p = 0.62) to</w:t>
      </w:r>
      <w:r>
        <w:t xml:space="preserve"> </w:t>
      </w:r>
      <w:r>
        <w:t xml:space="preserve">HR 0.62 (p = 0.007) and from OR 0.86 (p = 0.57) to OR 0.60 (p = 0.011). That</w:t>
      </w:r>
      <w:r>
        <w:t xml:space="preserve"> </w:t>
      </w:r>
      <w:r>
        <w:t xml:space="preserve">estimate rests on a covariate whose ascertainment more than doubled and should</w:t>
      </w:r>
      <w:r>
        <w:t xml:space="preserve"> </w:t>
      </w:r>
      <w:r>
        <w:t xml:space="preserve">be read with A15.5 alongside it.</w:t>
      </w:r>
    </w:p>
    <w:bookmarkEnd w:id="189"/>
    <w:bookmarkStart w:id="190" w:name="X0b7ec797966a7b4f52affb936169629a3cbcf12"/>
    <w:p>
      <w:pPr>
        <w:pStyle w:val="Heading3"/>
      </w:pPr>
      <w:r>
        <w:t xml:space="preserve">A15.3 Registry gender, and a dependency that moved</w:t>
      </w:r>
    </w:p>
    <w:p>
      <w:pPr>
        <w:pStyle w:val="FirstParagraph"/>
      </w:pPr>
      <w:r>
        <w:t xml:space="preserve">Tier 1 of the gender waterfall read</w:t>
      </w:r>
      <w:r>
        <w:t xml:space="preserve"> </w:t>
      </w:r>
      <w:r>
        <w:rPr>
          <w:rStyle w:val="VerbatimChar"/>
        </w:rPr>
        <w:t xml:space="preserve">npi_gender</w:t>
      </w:r>
      <w:r>
        <w:t xml:space="preserve"> </w:t>
      </w:r>
      <w:r>
        <w:t xml:space="preserve">from the ABOG</w:t>
      </w:r>
      <w:r>
        <w:t xml:space="preserve"> </w:t>
      </w:r>
      <w:r>
        <w:t xml:space="preserve">board-certification export. That export’s</w:t>
      </w:r>
      <w:r>
        <w:t xml:space="preserve"> </w:t>
      </w:r>
      <w:r>
        <w:rPr>
          <w:rStyle w:val="VerbatimChar"/>
        </w:rPr>
        <w:t xml:space="preserve">LATEST</w:t>
      </w:r>
      <w:r>
        <w:t xml:space="preserve"> </w:t>
      </w:r>
      <w:r>
        <w:t xml:space="preserve">symlink was repointed</w:t>
      </w:r>
      <w:r>
        <w:t xml:space="preserve"> </w:t>
      </w:r>
      <w:r>
        <w:t xml:space="preserve">upstream to a workforce file with</w:t>
      </w:r>
      <w:r>
        <w:t xml:space="preserve"> </w:t>
      </w:r>
      <w:r>
        <w:rPr>
          <w:b/>
          <w:bCs/>
        </w:rPr>
        <w:t xml:space="preserve">no gender column</w:t>
      </w:r>
      <w:r>
        <w:t xml:space="preserve">, 79,400 rows using</w:t>
      </w:r>
      <w:r>
        <w:t xml:space="preserve"> </w:t>
      </w:r>
      <w:r>
        <w:rPr>
          <w:rStyle w:val="VerbatimChar"/>
        </w:rPr>
        <w:t xml:space="preserve">first</w:t>
      </w:r>
      <w:r>
        <w:t xml:space="preserve">/</w:t>
      </w:r>
      <w:r>
        <w:rPr>
          <w:rStyle w:val="VerbatimChar"/>
        </w:rPr>
        <w:t xml:space="preserve">last</w:t>
      </w:r>
      <w:r>
        <w:t xml:space="preserve">/</w:t>
      </w:r>
      <w:r>
        <w:rPr>
          <w:rStyle w:val="VerbatimChar"/>
        </w:rPr>
        <w:t xml:space="preserve">middle</w:t>
      </w:r>
      <w:r>
        <w:t xml:space="preserve"> </w:t>
      </w:r>
      <w:r>
        <w:t xml:space="preserve">instead of</w:t>
      </w:r>
      <w:r>
        <w:t xml:space="preserve"> </w:t>
      </w:r>
      <w:r>
        <w:rPr>
          <w:rStyle w:val="VerbatimChar"/>
        </w:rPr>
        <w:t xml:space="preserve">first_name</w:t>
      </w:r>
      <w:r>
        <w:t xml:space="preserve">/</w:t>
      </w:r>
      <w:r>
        <w:rPr>
          <w:rStyle w:val="VerbatimChar"/>
        </w:rPr>
        <w:t xml:space="preserve">last_name</w:t>
      </w:r>
      <w:r>
        <w:t xml:space="preserve">/</w:t>
      </w:r>
      <w:r>
        <w:rPr>
          <w:rStyle w:val="VerbatimChar"/>
        </w:rPr>
        <w:t xml:space="preserve">middle_name</w:t>
      </w:r>
      <w:r>
        <w:t xml:space="preserve">, and</w:t>
      </w:r>
      <w:r>
        <w:t xml:space="preserve"> </w:t>
      </w:r>
      <w:r>
        <w:t xml:space="preserve">an NPI on only 411 rows. The shipped 256 tier-1 genders could be used but not</w:t>
      </w:r>
      <w:r>
        <w:t xml:space="preserve"> </w:t>
      </w:r>
      <w:r>
        <w:t xml:space="preserve">regenerated.</w:t>
      </w:r>
    </w:p>
    <w:p>
      <w:pPr>
        <w:pStyle w:val="BodyText"/>
      </w:pPr>
      <w:r>
        <w:rPr>
          <w:rStyle w:val="VerbatimChar"/>
        </w:rPr>
        <w:t xml:space="preserve">R/09k_gender_from_nppes.R</w:t>
      </w:r>
      <w:r>
        <w:t xml:space="preserve"> </w:t>
      </w:r>
      <w:r>
        <w:t xml:space="preserve">reads registrant-reported sex from NPPES keyed on</w:t>
      </w:r>
      <w:r>
        <w:t xml:space="preserve"> </w:t>
      </w:r>
      <w:r>
        <w:t xml:space="preserve">the NPI that</w:t>
      </w:r>
      <w:r>
        <w:t xml:space="preserve"> </w:t>
      </w:r>
      <w:r>
        <w:rPr>
          <w:rStyle w:val="VerbatimChar"/>
        </w:rPr>
        <w:t xml:space="preserve">R/10_npi_matching.R</w:t>
      </w:r>
      <w:r>
        <w:t xml:space="preserve"> </w:t>
      </w:r>
      <w:r>
        <w:t xml:space="preserve">already resolved, and is the new tier 1;</w:t>
      </w:r>
      <w:r>
        <w:t xml:space="preserve"> </w:t>
      </w:r>
      <w:r>
        <w:t xml:space="preserve">ABOG is tier 2 and still covers the four abstracts NPPES leaves blank. NPPES</w:t>
      </w:r>
      <w:r>
        <w:t xml:space="preserve"> </w:t>
      </w:r>
      <w:r>
        <w:t xml:space="preserve">resolves</w:t>
      </w:r>
      <w:r>
        <w:t xml:space="preserve"> </w:t>
      </w:r>
      <w:r>
        <w:rPr>
          <w:b/>
          <w:bCs/>
        </w:rPr>
        <w:t xml:space="preserve">263 of 265</w:t>
      </w:r>
      <w:r>
        <w:t xml:space="preserve"> </w:t>
      </w:r>
      <w:r>
        <w:t xml:space="preserve">high-confidence NPIs against ABOG’s 252, and the two</w:t>
      </w:r>
      <w:r>
        <w:t xml:space="preserve"> </w:t>
      </w:r>
      <w:r>
        <w:t xml:space="preserve">agree on</w:t>
      </w:r>
      <w:r>
        <w:t xml:space="preserve"> </w:t>
      </w:r>
      <w:r>
        <w:rPr>
          <w:b/>
          <w:bCs/>
        </w:rPr>
        <w:t xml:space="preserve">251 of 252</w:t>
      </w:r>
      <w:r>
        <w:t xml:space="preserve"> </w:t>
      </w:r>
      <w:r>
        <w:t xml:space="preserve">(99.6%).</w:t>
      </w:r>
    </w:p>
    <w:p>
      <w:pPr>
        <w:pStyle w:val="BodyText"/>
      </w:pPr>
      <w:r>
        <w:t xml:space="preserve">The reordering is justified on reproducibility, not accuracy. Coverage moved</w:t>
      </w:r>
      <w:r>
        <w:t xml:space="preserve"> </w:t>
      </w:r>
      <w:r>
        <w:t xml:space="preserve">only 1,065 → 1,066, but</w:t>
      </w:r>
      <w:r>
        <w:t xml:space="preserve"> </w:t>
      </w:r>
      <w:r>
        <w:rPr>
          <w:b/>
          <w:bCs/>
        </w:rPr>
        <w:t xml:space="preserve">11 abstracts moved from a name-inferred tier to a</w:t>
      </w:r>
      <w:r>
        <w:rPr>
          <w:b/>
          <w:bCs/>
        </w:rPr>
        <w:t xml:space="preserve"> </w:t>
      </w:r>
      <w:r>
        <w:rPr>
          <w:b/>
          <w:bCs/>
        </w:rPr>
        <w:t xml:space="preserve">registry tier</w:t>
      </w:r>
      <w:r>
        <w:t xml:space="preserve">, and four values changed — three of them replacing a name</w:t>
      </w:r>
      <w:r>
        <w:t xml:space="preserve"> </w:t>
      </w:r>
      <w:r>
        <w:t xml:space="preserve">inference, two of those resting on a single first initial: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abstract</w:t>
            </w:r>
          </w:p>
        </w:tc>
        <w:tc>
          <w:tcPr/>
          <w:p>
            <w:pPr>
              <w:pStyle w:val="Compact"/>
            </w:pPr>
            <w:r>
              <w:t xml:space="preserve">was</w:t>
            </w:r>
          </w:p>
        </w:tc>
        <w:tc>
          <w:tcPr/>
          <w:p>
            <w:pPr>
              <w:pStyle w:val="Compact"/>
            </w:pPr>
            <w:r>
              <w:t xml:space="preserve">from</w:t>
            </w:r>
          </w:p>
        </w:tc>
        <w:tc>
          <w:tcPr/>
          <w:p>
            <w:pPr>
              <w:pStyle w:val="Compact"/>
            </w:pPr>
            <w:r>
              <w:t xml:space="preserve">now</w:t>
            </w:r>
          </w:p>
        </w:tc>
      </w:tr>
      <w:tr>
        <w:tc>
          <w:tcPr/>
          <w:p>
            <w:pPr>
              <w:pStyle w:val="Compact"/>
            </w:pPr>
            <w:r>
              <w:rPr>
                <w:rStyle w:val="VerbatimChar"/>
              </w:rPr>
              <w:t xml:space="preserve">AAGL2018_021</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AAGL2021_053</w:t>
            </w:r>
          </w:p>
        </w:tc>
        <w:tc>
          <w:tcPr/>
          <w:p>
            <w:pPr>
              <w:pStyle w:val="Compact"/>
            </w:pPr>
            <w:r>
              <w:t xml:space="preserve">female</w:t>
            </w:r>
          </w:p>
        </w:tc>
        <w:tc>
          <w:tcPr/>
          <w:p>
            <w:pPr>
              <w:pStyle w:val="Compact"/>
            </w:pPr>
            <w:r>
              <w:rPr>
                <w:rStyle w:val="VerbatimChar"/>
              </w:rPr>
              <w:t xml:space="preserve">openalex_search</w:t>
            </w:r>
          </w:p>
        </w:tc>
        <w:tc>
          <w:tcPr/>
          <w:p>
            <w:pPr>
              <w:pStyle w:val="Compact"/>
            </w:pPr>
            <w:r>
              <w:t xml:space="preserve">male</w:t>
            </w:r>
          </w:p>
        </w:tc>
      </w:tr>
      <w:tr>
        <w:tc>
          <w:tcPr/>
          <w:p>
            <w:pPr>
              <w:pStyle w:val="Compact"/>
            </w:pPr>
            <w:r>
              <w:rPr>
                <w:rStyle w:val="VerbatimChar"/>
              </w:rPr>
              <w:t xml:space="preserve">AAGL2022_003</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AAGL2022_031</w:t>
            </w:r>
          </w:p>
        </w:tc>
        <w:tc>
          <w:tcPr/>
          <w:p>
            <w:pPr>
              <w:pStyle w:val="Compact"/>
            </w:pPr>
            <w:r>
              <w:t xml:space="preserve">female</w:t>
            </w:r>
          </w:p>
        </w:tc>
        <w:tc>
          <w:tcPr/>
          <w:p>
            <w:pPr>
              <w:pStyle w:val="Compact"/>
            </w:pPr>
            <w:r>
              <w:rPr>
                <w:rStyle w:val="VerbatimChar"/>
              </w:rPr>
              <w:t xml:space="preserve">npi</w:t>
            </w:r>
            <w:r>
              <w:t xml:space="preserve"> </w:t>
            </w:r>
            <w:r>
              <w:t xml:space="preserve">(ABOG)</w:t>
            </w:r>
          </w:p>
        </w:tc>
        <w:tc>
          <w:tcPr/>
          <w:p>
            <w:pPr>
              <w:pStyle w:val="Compact"/>
            </w:pPr>
            <w:r>
              <w:t xml:space="preserve">male</w:t>
            </w:r>
          </w:p>
        </w:tc>
      </w:tr>
    </w:tbl>
    <w:p>
      <w:pPr>
        <w:pStyle w:val="BodyText"/>
      </w:pPr>
      <w:r>
        <w:t xml:space="preserve">The last is the only NPPES/ABOG disagreement and is logged to</w:t>
      </w:r>
      <w:r>
        <w:t xml:space="preserve"> </w:t>
      </w:r>
      <w:r>
        <w:rPr>
          <w:rStyle w:val="VerbatimChar"/>
        </w:rPr>
        <w:t xml:space="preserve">data/processed/gender_nppes_abog_conflicts.csv</w:t>
      </w:r>
      <w:r>
        <w:t xml:space="preserve"> </w:t>
      </w:r>
      <w:r>
        <w:t xml:space="preserve">rather than resolved silently.</w:t>
      </w:r>
      <w:r>
        <w:t xml:space="preserve"> </w:t>
      </w:r>
      <w:r>
        <w:t xml:space="preserve">267 of the 1,066 resolved genders now come from a registry; 287 still rest on a</w:t>
      </w:r>
      <w:r>
        <w:t xml:space="preserve"> </w:t>
      </w:r>
      <w:r>
        <w:t xml:space="preserve">single initial.</w:t>
      </w:r>
    </w:p>
    <w:p>
      <w:pPr>
        <w:pStyle w:val="BodyText"/>
      </w:pPr>
      <w:r>
        <w:rPr>
          <w:rStyle w:val="VerbatimChar"/>
        </w:rPr>
        <w:t xml:space="preserve">R/10_npi_matching.R</w:t>
      </w:r>
      <w:r>
        <w:t xml:space="preserve"> </w:t>
      </w:r>
      <w:r>
        <w:t xml:space="preserve">was hardened at the same time. Its missing-file guard</w:t>
      </w:r>
      <w:r>
        <w:t xml:space="preserve"> </w:t>
      </w:r>
      <w:r>
        <w:t xml:space="preserve">called</w:t>
      </w:r>
      <w:r>
        <w:t xml:space="preserve"> </w:t>
      </w:r>
      <w:r>
        <w:rPr>
          <w:rStyle w:val="VerbatimChar"/>
        </w:rPr>
        <w:t xml:space="preserve">invisible(NULL)</w:t>
      </w:r>
      <w:r>
        <w:t xml:space="preserve">, which does not stop a sourced script, so a missing</w:t>
      </w:r>
      <w:r>
        <w:t xml:space="preserve"> </w:t>
      </w:r>
      <w:r>
        <w:t xml:space="preserve">pool aborted the whole pipeline at that step; the body is now conditional. The</w:t>
      </w:r>
      <w:r>
        <w:t xml:space="preserve"> </w:t>
      </w:r>
      <w:r>
        <w:t xml:space="preserve">loader maps the renamed ABOG columns and</w:t>
      </w:r>
      <w:r>
        <w:t xml:space="preserve"> </w:t>
      </w:r>
      <w:r>
        <w:rPr>
          <w:b/>
          <w:bCs/>
        </w:rPr>
        <w:t xml:space="preserve">refuses to overwrite a richer sidecar</w:t>
      </w:r>
      <w:r>
        <w:rPr>
          <w:b/>
          <w:bCs/>
        </w:rPr>
        <w:t xml:space="preserve"> </w:t>
      </w:r>
      <w:r>
        <w:rPr>
          <w:b/>
          <w:bCs/>
        </w:rPr>
        <w:t xml:space="preserve">with a poorer one</w:t>
      </w:r>
      <w:r>
        <w:t xml:space="preserve">, writing</w:t>
      </w:r>
      <w:r>
        <w:t xml:space="preserve"> </w:t>
      </w:r>
      <w:r>
        <w:rPr>
          <w:rStyle w:val="VerbatimChar"/>
        </w:rPr>
        <w:t xml:space="preserve">npi_matches_nogender.csv</w:t>
      </w:r>
      <w:r>
        <w:t xml:space="preserve"> </w:t>
      </w:r>
      <w:r>
        <w:t xml:space="preserve">instead. Both external</w:t>
      </w:r>
      <w:r>
        <w:t xml:space="preserve"> </w:t>
      </w:r>
      <w:r>
        <w:t xml:space="preserve">paths moved from hard-coded absolutes into</w:t>
      </w:r>
      <w:r>
        <w:t xml:space="preserve"> </w:t>
      </w:r>
      <w:r>
        <w:rPr>
          <w:rStyle w:val="VerbatimChar"/>
        </w:rPr>
        <w:t xml:space="preserve">config.yml: external_data</w:t>
      </w:r>
      <w:r>
        <w:t xml:space="preserve">,</w:t>
      </w:r>
      <w:r>
        <w:t xml:space="preserve"> </w:t>
      </w:r>
      <w:r>
        <w:t xml:space="preserve">overridable by</w:t>
      </w:r>
      <w:r>
        <w:t xml:space="preserve"> </w:t>
      </w:r>
      <w:r>
        <w:rPr>
          <w:rStyle w:val="VerbatimChar"/>
        </w:rPr>
        <w:t xml:space="preserve">ABOG_NPI_PATH</w:t>
      </w:r>
      <w:r>
        <w:t xml:space="preserve"> </w:t>
      </w:r>
      <w:r>
        <w:t xml:space="preserve">and</w:t>
      </w:r>
      <w:r>
        <w:t xml:space="preserve"> </w:t>
      </w:r>
      <w:r>
        <w:rPr>
          <w:rStyle w:val="VerbatimChar"/>
        </w:rPr>
        <w:t xml:space="preserve">NPPES_DUCKDB_PATH</w:t>
      </w:r>
      <w:r>
        <w:t xml:space="preserve">.</w:t>
      </w:r>
    </w:p>
    <w:bookmarkEnd w:id="190"/>
    <w:bookmarkStart w:id="191" w:name="a15.4-the-model-variable-screen"/>
    <w:p>
      <w:pPr>
        <w:pStyle w:val="Heading3"/>
      </w:pPr>
      <w:r>
        <w:t xml:space="preserve">A15.4 The model variable screen</w:t>
      </w:r>
    </w:p>
    <w:p>
      <w:pPr>
        <w:pStyle w:val="FirstParagraph"/>
      </w:pPr>
      <w:r>
        <w:t xml:space="preserve">Both models selected their terms with an inline</w:t>
      </w:r>
      <w:r>
        <w:t xml:space="preserve"> </w:t>
      </w:r>
      <w:r>
        <w:t xml:space="preserve">“&lt; 50% missing and &gt;= 2 distinct</w:t>
      </w:r>
      <w:r>
        <w:t xml:space="preserve"> </w:t>
      </w:r>
      <w:r>
        <w:t xml:space="preserve">values”</w:t>
      </w:r>
      <w:r>
        <w:t xml:space="preserve"> </w:t>
      </w:r>
      <w:r>
        <w:t xml:space="preserve">rule, written out twice and recording nothing.</w:t>
      </w:r>
      <w:r>
        <w:t xml:space="preserve"> </w:t>
      </w:r>
      <w:r>
        <w:rPr>
          <w:rStyle w:val="VerbatimChar"/>
        </w:rPr>
        <w:t xml:space="preserve">screen_model_vars()</w:t>
      </w:r>
      <w:r>
        <w:t xml:space="preserve"> </w:t>
      </w:r>
      <w:r>
        <w:t xml:space="preserve">in</w:t>
      </w:r>
      <w:r>
        <w:t xml:space="preserve"> </w:t>
      </w:r>
      <w:r>
        <w:rPr>
          <w:rStyle w:val="VerbatimChar"/>
        </w:rPr>
        <w:t xml:space="preserve">R/06_analyze_results.R</w:t>
      </w:r>
      <w:r>
        <w:t xml:space="preserve"> </w:t>
      </w:r>
      <w:r>
        <w:t xml:space="preserve">now applies one rule to both and writes a decision and</w:t>
      </w:r>
      <w:r>
        <w:t xml:space="preserve"> </w:t>
      </w:r>
      <w:r>
        <w:t xml:space="preserve">a reason for every candidate to</w:t>
      </w:r>
      <w:r>
        <w:t xml:space="preserve"> </w:t>
      </w:r>
      <w:r>
        <w:rPr>
          <w:rStyle w:val="VerbatimChar"/>
        </w:rPr>
        <w:t xml:space="preserve">output/model_variable_screen.csv</w:t>
      </w:r>
      <w:r>
        <w:t xml:space="preserve">, so the</w:t>
      </w:r>
      <w:r>
        <w:t xml:space="preserve"> </w:t>
      </w:r>
      <w:r>
        <w:t xml:space="preserve">specification is reconstructible from the outputs alone.</w:t>
      </w:r>
    </w:p>
    <w:p>
      <w:pPr>
        <w:pStyle w:val="BodyText"/>
      </w:pPr>
      <w:r>
        <w:t xml:space="preserve">Three criteria, in order: more than 50% missing; fewer than two distinct values;</w:t>
      </w:r>
      <w:r>
        <w:t xml:space="preserve"> </w:t>
      </w:r>
      <w:r>
        <w:t xml:space="preserve">and</w:t>
      </w:r>
      <w:r>
        <w:t xml:space="preserve"> </w:t>
      </w:r>
      <w:r>
        <w:rPr>
          <w:b/>
          <w:bCs/>
        </w:rPr>
        <w:t xml:space="preserve">near-zero variance</w:t>
      </w:r>
      <w:r>
        <w:t xml:space="preserve"> </w:t>
      </w:r>
      <w:r>
        <w:t xml:space="preserve">by the conventional rule (frequency ratio above 19</w:t>
      </w:r>
      <w:r>
        <w:t xml:space="preserve"> </w:t>
      </w:r>
      <w:r>
        <w:t xml:space="preserve">and distinct values below 10%). A candidate absent from the model frame is</w:t>
      </w:r>
      <w:r>
        <w:t xml:space="preserve"> </w:t>
      </w:r>
      <w:r>
        <w:t xml:space="preserve">recorded as</w:t>
      </w:r>
      <w:r>
        <w:t xml:space="preserve"> </w:t>
      </w:r>
      <w:r>
        <w:rPr>
          <w:rStyle w:val="VerbatimChar"/>
        </w:rPr>
        <w:t xml:space="preserve">absent</w:t>
      </w:r>
      <w:r>
        <w:t xml:space="preserve"> </w:t>
      </w:r>
      <w:r>
        <w:t xml:space="preserve">rather than silently removed — the candidate list is no</w:t>
      </w:r>
      <w:r>
        <w:t xml:space="preserve"> </w:t>
      </w:r>
      <w:r>
        <w:t xml:space="preserve">longer pre-intersected with</w:t>
      </w:r>
      <w:r>
        <w:t xml:space="preserve"> </w:t>
      </w:r>
      <w:r>
        <w:rPr>
          <w:rStyle w:val="VerbatimChar"/>
        </w:rPr>
        <w:t xml:space="preserve">names(km_data)</w:t>
      </w:r>
      <w:r>
        <w:t xml:space="preserve">.</w:t>
      </w:r>
    </w:p>
    <w:p>
      <w:pPr>
        <w:pStyle w:val="BodyText"/>
      </w:pPr>
      <w:r>
        <w:t xml:space="preserve">Two things this surfaced:</w:t>
      </w:r>
    </w:p>
    <w:p>
      <w:pPr>
        <w:pStyle w:val="Compact"/>
        <w:numPr>
          <w:ilvl w:val="0"/>
          <w:numId w:val="1010"/>
        </w:numPr>
      </w:pPr>
      <w:r>
        <w:rPr>
          <w:rStyle w:val="VerbatimChar"/>
          <w:b/>
          <w:bCs/>
        </w:rPr>
        <w:t xml:space="preserve">has_funding</w:t>
      </w:r>
      <w:r>
        <w:rPr>
          <w:b/>
          <w:bCs/>
        </w:rPr>
        <w:t xml:space="preserve"> </w:t>
      </w:r>
      <w:r>
        <w:rPr>
          <w:b/>
          <w:bCs/>
        </w:rPr>
        <w:t xml:space="preserve">is dropped from both models.</w:t>
      </w:r>
      <w:r>
        <w:t xml:space="preserve"> </w:t>
      </w:r>
      <w:r>
        <w:t xml:space="preserve">TRUE for 7 of 1,051 evaluated</w:t>
      </w:r>
      <w:r>
        <w:t xml:space="preserve"> </w:t>
      </w:r>
      <w:r>
        <w:t xml:space="preserve">abstracts, a frequency ratio of about 149:1. Its interval spanned an order of</w:t>
      </w:r>
      <w:r>
        <w:t xml:space="preserve"> </w:t>
      </w:r>
      <w:r>
        <w:t xml:space="preserve">magnitude in both models.</w:t>
      </w:r>
    </w:p>
    <w:p>
      <w:pPr>
        <w:pStyle w:val="Compact"/>
        <w:numPr>
          <w:ilvl w:val="0"/>
          <w:numId w:val="1010"/>
        </w:numPr>
      </w:pPr>
      <w:r>
        <w:rPr>
          <w:rStyle w:val="VerbatimChar"/>
          <w:b/>
          <w:bCs/>
        </w:rPr>
        <w:t xml:space="preserve">log_sample_size</w:t>
      </w:r>
      <w:r>
        <w:rPr>
          <w:b/>
          <w:bCs/>
        </w:rPr>
        <w:t xml:space="preserve"> </w:t>
      </w:r>
      <w:r>
        <w:rPr>
          <w:b/>
          <w:bCs/>
        </w:rPr>
        <w:t xml:space="preserve">is recorded as absent from the Cox model frame.</w:t>
      </w:r>
      <w:r>
        <w:t xml:space="preserve"> </w:t>
      </w:r>
      <w:r>
        <w:t xml:space="preserve">It has</w:t>
      </w:r>
      <w:r>
        <w:t xml:space="preserve"> </w:t>
      </w:r>
      <w:r>
        <w:t xml:space="preserve">always been listed as a Cox candidate and has never once entered the model,</w:t>
      </w:r>
      <w:r>
        <w:t xml:space="preserve"> </w:t>
      </w:r>
      <w:r>
        <w:t xml:space="preserve">because it is created inside the Aim 3 block only. That was invisible while</w:t>
      </w:r>
      <w:r>
        <w:t xml:space="preserve"> </w:t>
      </w:r>
      <w:r>
        <w:t xml:space="preserve">the candidate list was pre-intersected.</w:t>
      </w:r>
    </w:p>
    <w:p>
      <w:pPr>
        <w:pStyle w:val="FirstParagraph"/>
      </w:pPr>
      <w:r>
        <w:t xml:space="preserve">Every other coefficient moved by less than 0.03. But the Cox proportional</w:t>
      </w:r>
      <w:r>
        <w:t xml:space="preserve"> </w:t>
      </w:r>
      <w:r>
        <w:t xml:space="preserve">hazards global test moved from p = 0.056 to</w:t>
      </w:r>
      <w:r>
        <w:t xml:space="preserve"> </w:t>
      </w:r>
      <w:r>
        <w:rPr>
          <w:b/>
          <w:bCs/>
        </w:rPr>
        <w:t xml:space="preserve">p = 0.043</w:t>
      </w:r>
      <w:r>
        <w:t xml:space="preserve">, so the assumption is</w:t>
      </w:r>
      <w:r>
        <w:t xml:space="preserve"> </w:t>
      </w:r>
      <w:r>
        <w:t xml:space="preserve">now violated at α = 0.05. Removing a near-constant term made a latent violation</w:t>
      </w:r>
      <w:r>
        <w:t xml:space="preserve"> </w:t>
      </w:r>
      <w:r>
        <w:t xml:space="preserve">visible rather than creating one: the test was already only marginal at 171</w:t>
      </w:r>
      <w:r>
        <w:t xml:space="preserve"> </w:t>
      </w:r>
      <w:r>
        <w:t xml:space="preserve">events, against p = 0.32 when it had 104. The response — stratify, allow</w:t>
      </w:r>
      <w:r>
        <w:t xml:space="preserve"> </w:t>
      </w:r>
      <w:r>
        <w:t xml:space="preserve">time-varying coefficients, or report the hazard ratios explicitly as averages</w:t>
      </w:r>
      <w:r>
        <w:t xml:space="preserve"> </w:t>
      </w:r>
      <w:r>
        <w:t xml:space="preserve">over follow-up — is a methodological decision and has not been taken.</w:t>
      </w:r>
      <w:r>
        <w:t xml:space="preserve"> </w:t>
      </w:r>
      <w:r>
        <w:rPr>
          <w:rStyle w:val="VerbatimChar"/>
        </w:rPr>
        <w:t xml:space="preserve">tests/testthat/test-pipeline_semantics.R</w:t>
      </w:r>
      <w:r>
        <w:t xml:space="preserve"> </w:t>
      </w:r>
      <w:r>
        <w:t xml:space="preserve">is left failing with an explanatory</w:t>
      </w:r>
      <w:r>
        <w:t xml:space="preserve"> </w:t>
      </w:r>
      <w:r>
        <w:t xml:space="preserve">message rather than relaxed.</w:t>
      </w:r>
    </w:p>
    <w:bookmarkEnd w:id="191"/>
    <w:bookmarkStart w:id="192" w:name="a15.5-how-stable-are-the-findings"/>
    <w:p>
      <w:pPr>
        <w:pStyle w:val="Heading3"/>
      </w:pPr>
      <w:r>
        <w:t xml:space="preserve">A15.5 How stable are the findings?</w:t>
      </w:r>
    </w:p>
    <w:p>
      <w:pPr>
        <w:pStyle w:val="FirstParagraph"/>
      </w:pPr>
      <w:r>
        <w:t xml:space="preserve">Neither model previously carried an influence, leave-one-out or stability</w:t>
      </w:r>
      <w:r>
        <w:t xml:space="preserve"> </w:t>
      </w:r>
      <w:r>
        <w:t xml:space="preserve">diagnostic.</w:t>
      </w:r>
      <w:r>
        <w:t xml:space="preserve"> </w:t>
      </w:r>
      <w:r>
        <w:rPr>
          <w:rStyle w:val="VerbatimChar"/>
        </w:rPr>
        <w:t xml:space="preserve">R/06d_model_stability.R</w:t>
      </w:r>
      <w:r>
        <w:t xml:space="preserve"> </w:t>
      </w:r>
      <w:r>
        <w:t xml:space="preserve">adds two, seeded from</w:t>
      </w:r>
      <w:r>
        <w:t xml:space="preserve"> </w:t>
      </w:r>
      <w:r>
        <w:rPr>
          <w:rStyle w:val="VerbatimChar"/>
        </w:rPr>
        <w:t xml:space="preserve">config.yml: pipeline$seed</w:t>
      </w:r>
      <w:r>
        <w:t xml:space="preserve">.</w:t>
      </w:r>
    </w:p>
    <w:p>
      <w:pPr>
        <w:pStyle w:val="BodyText"/>
      </w:pPr>
      <w:r>
        <w:rPr>
          <w:b/>
          <w:bCs/>
        </w:rPr>
        <w:t xml:space="preserve">Bootstrap predictor retention</w:t>
      </w:r>
      <w:r>
        <w:t xml:space="preserve">, 500 refits of the logistic model</w:t>
      </w:r>
      <w:r>
        <w:t xml:space="preserve"> </w:t>
      </w:r>
      <w:r>
        <w:t xml:space="preserve">(n = 1,011), counting how often each term stays significant at p &lt; 0.05: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jc w:val="right"/>
            </w:pPr>
            <w:r>
              <w:t xml:space="preserve">retained</w:t>
            </w:r>
          </w:p>
        </w:tc>
      </w:tr>
      <w:tr>
        <w:tc>
          <w:tcPr/>
          <w:p>
            <w:pPr>
              <w:pStyle w:val="Compact"/>
            </w:pPr>
            <w:r>
              <w:rPr>
                <w:rStyle w:val="VerbatimChar"/>
              </w:rPr>
              <w:t xml:space="preserve">n_authors</w:t>
            </w:r>
          </w:p>
        </w:tc>
        <w:tc>
          <w:tcPr/>
          <w:p>
            <w:pPr>
              <w:pStyle w:val="Compact"/>
              <w:jc w:val="right"/>
            </w:pPr>
            <w:r>
              <w:rPr>
                <w:b/>
                <w:bCs/>
              </w:rPr>
              <w:t xml:space="preserve">97.2%</w:t>
            </w:r>
          </w:p>
        </w:tc>
      </w:tr>
      <w:tr>
        <w:tc>
          <w:tcPr/>
          <w:p>
            <w:pPr>
              <w:pStyle w:val="Compact"/>
            </w:pPr>
            <w:r>
              <w:rPr>
                <w:rStyle w:val="VerbatimChar"/>
              </w:rPr>
              <w:t xml:space="preserve">is_rct</w:t>
            </w:r>
          </w:p>
        </w:tc>
        <w:tc>
          <w:tcPr/>
          <w:p>
            <w:pPr>
              <w:pStyle w:val="Compact"/>
              <w:jc w:val="right"/>
            </w:pPr>
            <w:r>
              <w:rPr>
                <w:b/>
                <w:bCs/>
              </w:rPr>
              <w:t xml:space="preserve">93.6%</w:t>
            </w:r>
          </w:p>
        </w:tc>
      </w:tr>
      <w:tr>
        <w:tc>
          <w:tcPr/>
          <w:p>
            <w:pPr>
              <w:pStyle w:val="Compact"/>
            </w:pPr>
            <w:r>
              <w:rPr>
                <w:rStyle w:val="VerbatimChar"/>
              </w:rPr>
              <w:t xml:space="preserve">is_academic</w:t>
            </w:r>
          </w:p>
        </w:tc>
        <w:tc>
          <w:tcPr/>
          <w:p>
            <w:pPr>
              <w:pStyle w:val="Compact"/>
              <w:jc w:val="right"/>
            </w:pPr>
            <w:r>
              <w:t xml:space="preserve">67.4%</w:t>
            </w:r>
          </w:p>
        </w:tc>
      </w:tr>
      <w:tr>
        <w:tc>
          <w:tcPr/>
          <w:p>
            <w:pPr>
              <w:pStyle w:val="Compact"/>
            </w:pPr>
            <w:r>
              <w:rPr>
                <w:rStyle w:val="VerbatimChar"/>
              </w:rPr>
              <w:t xml:space="preserve">is_us_based</w:t>
            </w:r>
          </w:p>
        </w:tc>
        <w:tc>
          <w:tcPr/>
          <w:p>
            <w:pPr>
              <w:pStyle w:val="Compact"/>
              <w:jc w:val="right"/>
            </w:pPr>
            <w:r>
              <w:t xml:space="preserve">42.4%</w:t>
            </w:r>
          </w:p>
        </w:tc>
      </w:tr>
      <w:tr>
        <w:tc>
          <w:tcPr/>
          <w:p>
            <w:pPr>
              <w:pStyle w:val="Compact"/>
            </w:pPr>
            <w:r>
              <w:rPr>
                <w:rStyle w:val="VerbatimChar"/>
              </w:rPr>
              <w:t xml:space="preserve">log_sample_size</w:t>
            </w:r>
          </w:p>
        </w:tc>
        <w:tc>
          <w:tcPr/>
          <w:p>
            <w:pPr>
              <w:pStyle w:val="Compact"/>
              <w:jc w:val="right"/>
            </w:pPr>
            <w:r>
              <w:t xml:space="preserve">27.4%</w:t>
            </w:r>
          </w:p>
        </w:tc>
      </w:tr>
      <w:tr>
        <w:tc>
          <w:tcPr/>
          <w:p>
            <w:pPr>
              <w:pStyle w:val="Compact"/>
            </w:pPr>
            <w:r>
              <w:rPr>
                <w:rStyle w:val="VerbatimChar"/>
              </w:rPr>
              <w:t xml:space="preserve">is_multicenter</w:t>
            </w:r>
          </w:p>
        </w:tc>
        <w:tc>
          <w:tcPr/>
          <w:p>
            <w:pPr>
              <w:pStyle w:val="Compact"/>
              <w:jc w:val="right"/>
            </w:pPr>
            <w:r>
              <w:t xml:space="preserve">25.0%</w:t>
            </w:r>
          </w:p>
        </w:tc>
      </w:tr>
      <w:tr>
        <w:tc>
          <w:tcPr/>
          <w:p>
            <w:pPr>
              <w:pStyle w:val="Compact"/>
            </w:pPr>
            <w:r>
              <w:rPr>
                <w:rStyle w:val="VerbatimChar"/>
              </w:rPr>
              <w:t xml:space="preserve">gender_unified</w:t>
            </w:r>
          </w:p>
        </w:tc>
        <w:tc>
          <w:tcPr/>
          <w:p>
            <w:pPr>
              <w:pStyle w:val="Compact"/>
              <w:jc w:val="right"/>
            </w:pPr>
            <w:r>
              <w:t xml:space="preserve">17.0%</w:t>
            </w:r>
          </w:p>
        </w:tc>
      </w:tr>
    </w:tbl>
    <w:p>
      <w:pPr>
        <w:pStyle w:val="BodyText"/>
      </w:pPr>
      <w:r>
        <w:rPr>
          <w:b/>
          <w:bCs/>
        </w:rPr>
        <w:t xml:space="preserve">Leave-one-congress-out</w:t>
      </w:r>
      <w:r>
        <w:t xml:space="preserve">, the model refitted twelve times dropping each</w:t>
      </w:r>
      <w:r>
        <w:t xml:space="preserve"> </w:t>
      </w:r>
      <w:r>
        <w:t xml:space="preserve">congress in turn, for all seven terms — 84 refits, all converged, no term</w:t>
      </w:r>
      <w:r>
        <w:t xml:space="preserve"> </w:t>
      </w:r>
      <w:r>
        <w:t xml:space="preserve">changing direction. This matters specifically because 2017 and 2018 have no</w:t>
      </w:r>
      <w:r>
        <w:t xml:space="preserve"> </w:t>
      </w:r>
      <w:r>
        <w:t xml:space="preserve">recoverable abstract text and their covariates are near-constant; a finding</w:t>
      </w:r>
      <w:r>
        <w:t xml:space="preserve"> </w:t>
      </w:r>
      <w:r>
        <w:t xml:space="preserve">resting on either would be an artefact.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ratio range</w:t>
            </w:r>
          </w:p>
        </w:tc>
        <w:tc>
          <w:tcPr/>
          <w:p>
            <w:pPr>
              <w:pStyle w:val="Compact"/>
              <w:jc w:val="right"/>
            </w:pPr>
            <w:r>
              <w:t xml:space="preserve">significant in</w:t>
            </w:r>
          </w:p>
        </w:tc>
      </w:tr>
      <w:tr>
        <w:tc>
          <w:tcPr/>
          <w:p>
            <w:pPr>
              <w:pStyle w:val="Compact"/>
            </w:pPr>
            <w:r>
              <w:rPr>
                <w:rStyle w:val="VerbatimChar"/>
              </w:rPr>
              <w:t xml:space="preserve">is_rctTRUE</w:t>
            </w:r>
          </w:p>
        </w:tc>
        <w:tc>
          <w:tcPr/>
          <w:p>
            <w:pPr>
              <w:pStyle w:val="Compact"/>
            </w:pPr>
            <w:r>
              <w:t xml:space="preserve">2.12 – 3.21</w:t>
            </w:r>
          </w:p>
        </w:tc>
        <w:tc>
          <w:tcPr/>
          <w:p>
            <w:pPr>
              <w:pStyle w:val="Compact"/>
              <w:jc w:val="right"/>
            </w:pPr>
            <w:r>
              <w:t xml:space="preserve">12 / 12</w:t>
            </w:r>
          </w:p>
        </w:tc>
      </w:tr>
      <w:tr>
        <w:tc>
          <w:tcPr/>
          <w:p>
            <w:pPr>
              <w:pStyle w:val="Compact"/>
            </w:pPr>
            <w:r>
              <w:rPr>
                <w:rStyle w:val="VerbatimChar"/>
              </w:rPr>
              <w:t xml:space="preserve">n_authors</w:t>
            </w:r>
          </w:p>
        </w:tc>
        <w:tc>
          <w:tcPr/>
          <w:p>
            <w:pPr>
              <w:pStyle w:val="Compact"/>
            </w:pPr>
            <w:r>
              <w:t xml:space="preserve">1.27 – 1.38</w:t>
            </w:r>
          </w:p>
        </w:tc>
        <w:tc>
          <w:tcPr/>
          <w:p>
            <w:pPr>
              <w:pStyle w:val="Compact"/>
              <w:jc w:val="right"/>
            </w:pPr>
            <w:r>
              <w:t xml:space="preserve">12 / 12</w:t>
            </w:r>
          </w:p>
        </w:tc>
      </w:tr>
      <w:tr>
        <w:tc>
          <w:tcPr/>
          <w:p>
            <w:pPr>
              <w:pStyle w:val="Compact"/>
            </w:pPr>
            <w:r>
              <w:rPr>
                <w:rStyle w:val="VerbatimChar"/>
              </w:rPr>
              <w:t xml:space="preserve">is_academicTRUE</w:t>
            </w:r>
          </w:p>
        </w:tc>
        <w:tc>
          <w:tcPr/>
          <w:p>
            <w:pPr>
              <w:pStyle w:val="Compact"/>
            </w:pPr>
            <w:r>
              <w:t xml:space="preserve">0.55 – 0.66</w:t>
            </w:r>
          </w:p>
        </w:tc>
        <w:tc>
          <w:tcPr/>
          <w:p>
            <w:pPr>
              <w:pStyle w:val="Compact"/>
              <w:jc w:val="right"/>
            </w:pPr>
            <w:r>
              <w:t xml:space="preserve">12 / 12</w:t>
            </w:r>
          </w:p>
        </w:tc>
      </w:tr>
      <w:tr>
        <w:tc>
          <w:tcPr/>
          <w:p>
            <w:pPr>
              <w:pStyle w:val="Compact"/>
            </w:pPr>
            <w:r>
              <w:rPr>
                <w:rStyle w:val="VerbatimChar"/>
              </w:rPr>
              <w:t xml:space="preserve">is_us_basedTRUE</w:t>
            </w:r>
          </w:p>
        </w:tc>
        <w:tc>
          <w:tcPr/>
          <w:p>
            <w:pPr>
              <w:pStyle w:val="Compact"/>
            </w:pPr>
            <w:r>
              <w:t xml:space="preserve">1.15 – 5.31</w:t>
            </w:r>
          </w:p>
        </w:tc>
        <w:tc>
          <w:tcPr/>
          <w:p>
            <w:pPr>
              <w:pStyle w:val="Compact"/>
              <w:jc w:val="right"/>
            </w:pPr>
            <w:r>
              <w:t xml:space="preserve">3 / 12</w:t>
            </w:r>
          </w:p>
        </w:tc>
      </w:tr>
      <w:tr>
        <w:tc>
          <w:tcPr/>
          <w:p>
            <w:pPr>
              <w:pStyle w:val="Compact"/>
            </w:pPr>
            <w:r>
              <w:rPr>
                <w:rStyle w:val="VerbatimChar"/>
              </w:rPr>
              <w:t xml:space="preserve">is_multicenterTRUE</w:t>
            </w:r>
          </w:p>
        </w:tc>
        <w:tc>
          <w:tcPr/>
          <w:p>
            <w:pPr>
              <w:pStyle w:val="Compact"/>
            </w:pPr>
            <w:r>
              <w:t xml:space="preserve">1.28 – 1.82</w:t>
            </w:r>
          </w:p>
        </w:tc>
        <w:tc>
          <w:tcPr/>
          <w:p>
            <w:pPr>
              <w:pStyle w:val="Compact"/>
              <w:jc w:val="right"/>
            </w:pPr>
            <w:r>
              <w:t xml:space="preserve">0 / 12</w:t>
            </w:r>
          </w:p>
        </w:tc>
      </w:tr>
      <w:tr>
        <w:tc>
          <w:tcPr/>
          <w:p>
            <w:pPr>
              <w:pStyle w:val="Compact"/>
            </w:pPr>
            <w:r>
              <w:rPr>
                <w:rStyle w:val="VerbatimChar"/>
              </w:rPr>
              <w:t xml:space="preserve">gender_unifiedmale</w:t>
            </w:r>
          </w:p>
        </w:tc>
        <w:tc>
          <w:tcPr/>
          <w:p>
            <w:pPr>
              <w:pStyle w:val="Compact"/>
            </w:pPr>
            <w:r>
              <w:t xml:space="preserve">0.78 – 0.90</w:t>
            </w:r>
          </w:p>
        </w:tc>
        <w:tc>
          <w:tcPr/>
          <w:p>
            <w:pPr>
              <w:pStyle w:val="Compact"/>
              <w:jc w:val="right"/>
            </w:pPr>
            <w:r>
              <w:t xml:space="preserve">0 / 12</w:t>
            </w:r>
          </w:p>
        </w:tc>
      </w:tr>
      <w:tr>
        <w:tc>
          <w:tcPr/>
          <w:p>
            <w:pPr>
              <w:pStyle w:val="Compact"/>
            </w:pPr>
            <w:r>
              <w:rPr>
                <w:rStyle w:val="VerbatimChar"/>
              </w:rPr>
              <w:t xml:space="preserve">log_sample_size</w:t>
            </w:r>
          </w:p>
        </w:tc>
        <w:tc>
          <w:tcPr/>
          <w:p>
            <w:pPr>
              <w:pStyle w:val="Compact"/>
            </w:pPr>
            <w:r>
              <w:t xml:space="preserve">0.92 – 0.97</w:t>
            </w:r>
          </w:p>
        </w:tc>
        <w:tc>
          <w:tcPr/>
          <w:p>
            <w:pPr>
              <w:pStyle w:val="Compact"/>
              <w:jc w:val="right"/>
            </w:pPr>
            <w:r>
              <w:t xml:space="preserve">1 / 12</w:t>
            </w:r>
          </w:p>
        </w:tc>
      </w:tr>
    </w:tbl>
    <w:p>
      <w:pPr>
        <w:pStyle w:val="BodyText"/>
      </w:pPr>
      <w:r>
        <w:t xml:space="preserve">The two diagnostics disagree about</w:t>
      </w:r>
      <w:r>
        <w:t xml:space="preserve"> </w:t>
      </w:r>
      <w:r>
        <w:rPr>
          <w:rStyle w:val="VerbatimChar"/>
        </w:rPr>
        <w:t xml:space="preserve">is_academic</w:t>
      </w:r>
      <w:r>
        <w:t xml:space="preserve">, and the disagreement is the</w:t>
      </w:r>
      <w:r>
        <w:t xml:space="preserve"> </w:t>
      </w:r>
      <w:r>
        <w:t xml:space="preserve">useful part. It is significant in</w:t>
      </w:r>
      <w:r>
        <w:t xml:space="preserve"> </w:t>
      </w:r>
      <w:r>
        <w:rPr>
          <w:b/>
          <w:bCs/>
        </w:rPr>
        <w:t xml:space="preserve">all twelve</w:t>
      </w:r>
      <w:r>
        <w:t xml:space="preserve"> </w:t>
      </w:r>
      <w:r>
        <w:t xml:space="preserve">congress-drop refits, so it is</w:t>
      </w:r>
      <w:r>
        <w:t xml:space="preserve"> </w:t>
      </w:r>
      <w:r>
        <w:t xml:space="preserve">not driven by any single congress, but survives only</w:t>
      </w:r>
      <w:r>
        <w:t xml:space="preserve"> </w:t>
      </w:r>
      <w:r>
        <w:rPr>
          <w:b/>
          <w:bCs/>
        </w:rPr>
        <w:t xml:space="preserve">67.4%</w:t>
      </w:r>
      <w:r>
        <w:t xml:space="preserve"> </w:t>
      </w:r>
      <w:r>
        <w:t xml:space="preserve">of bootstrap</w:t>
      </w:r>
      <w:r>
        <w:t xml:space="preserve"> </w:t>
      </w:r>
      <w:r>
        <w:t xml:space="preserve">resamples, so it is sensitive to which</w:t>
      </w:r>
      <w:r>
        <w:t xml:space="preserve"> </w:t>
      </w:r>
      <w:r>
        <w:rPr>
          <w:i/>
          <w:iCs/>
        </w:rPr>
        <w:t xml:space="preserve">abstracts</w:t>
      </w:r>
      <w:r>
        <w:t xml:space="preserve"> </w:t>
      </w:r>
      <w:r>
        <w:t xml:space="preserve">are drawn. They measure</w:t>
      </w:r>
      <w:r>
        <w:t xml:space="preserve"> </w:t>
      </w:r>
      <w:r>
        <w:t xml:space="preserve">different things.</w:t>
      </w:r>
      <w:r>
        <w:t xml:space="preserve"> </w:t>
      </w:r>
      <w:r>
        <w:rPr>
          <w:rStyle w:val="VerbatimChar"/>
        </w:rPr>
        <w:t xml:space="preserve">is_academic</w:t>
      </w:r>
      <w:r>
        <w:t xml:space="preserve"> </w:t>
      </w:r>
      <w:r>
        <w:t xml:space="preserve">should be reported with that qualification</w:t>
      </w:r>
      <w:r>
        <w:t xml:space="preserve"> </w:t>
      </w:r>
      <w:r>
        <w:t xml:space="preserve">rather than as a headline.</w:t>
      </w:r>
      <w:r>
        <w:t xml:space="preserve"> </w:t>
      </w:r>
      <w:r>
        <w:rPr>
          <w:rStyle w:val="VerbatimChar"/>
        </w:rPr>
        <w:t xml:space="preserve">is_rct</w:t>
      </w:r>
      <w:r>
        <w:t xml:space="preserve"> </w:t>
      </w:r>
      <w:r>
        <w:t xml:space="preserve">and</w:t>
      </w:r>
      <w:r>
        <w:t xml:space="preserve"> </w:t>
      </w:r>
      <w:r>
        <w:rPr>
          <w:rStyle w:val="VerbatimChar"/>
        </w:rPr>
        <w:t xml:space="preserve">n_authors</w:t>
      </w:r>
      <w:r>
        <w:t xml:space="preserve"> </w:t>
      </w:r>
      <w:r>
        <w:t xml:space="preserve">pass both.</w:t>
      </w:r>
    </w:p>
    <w:bookmarkEnd w:id="192"/>
    <w:bookmarkStart w:id="193" w:name="a15.6-missing-data"/>
    <w:p>
      <w:pPr>
        <w:pStyle w:val="Heading3"/>
      </w:pPr>
      <w:r>
        <w:t xml:space="preserve">A15.6 Missing data</w:t>
      </w:r>
    </w:p>
    <w:p>
      <w:pPr>
        <w:pStyle w:val="FirstParagraph"/>
      </w:pPr>
      <w:r>
        <w:t xml:space="preserve">The Methods stated</w:t>
      </w:r>
      <w:r>
        <w:t xml:space="preserve"> </w:t>
      </w:r>
      <w:r>
        <w:t xml:space="preserve">“complete-case throughout, no imputation”</w:t>
      </w:r>
      <w:r>
        <w:t xml:space="preserve"> </w:t>
      </w:r>
      <w:r>
        <w:t xml:space="preserve">and reported no</w:t>
      </w:r>
      <w:r>
        <w:t xml:space="preserve"> </w:t>
      </w:r>
      <w:r>
        <w:t xml:space="preserve">missingness table and no mechanism test.</w:t>
      </w:r>
      <w:r>
        <w:t xml:space="preserve"> </w:t>
      </w:r>
      <w:r>
        <w:rPr>
          <w:rStyle w:val="VerbatimChar"/>
        </w:rPr>
        <w:t xml:space="preserve">R/06b_missingness.R</w:t>
      </w:r>
      <w:r>
        <w:t xml:space="preserve"> </w:t>
      </w:r>
      <w:r>
        <w:t xml:space="preserve">produces both.</w:t>
      </w:r>
    </w:p>
    <w:p>
      <w:pPr>
        <w:pStyle w:val="BodyText"/>
      </w:pPr>
      <w:r>
        <w:t xml:space="preserve">Little’s MCAR test over the numeric block gives chi-square 28.8, df 7,</w:t>
      </w:r>
      <w:r>
        <w:t xml:space="preserve"> </w:t>
      </w:r>
      <w:r>
        <w:rPr>
          <w:b/>
          <w:bCs/>
        </w:rPr>
        <w:t xml:space="preserve">p = 0.00015</w:t>
      </w:r>
      <w:r>
        <w:t xml:space="preserve"> </w:t>
      </w:r>
      <w:r>
        <w:t xml:space="preserve">— MCAR is rejected. Two caveats travel with that and are written</w:t>
      </w:r>
      <w:r>
        <w:t xml:space="preserve"> </w:t>
      </w:r>
      <w:r>
        <w:t xml:space="preserve">into</w:t>
      </w:r>
      <w:r>
        <w:t xml:space="preserve"> </w:t>
      </w:r>
      <w:r>
        <w:rPr>
          <w:rStyle w:val="VerbatimChar"/>
        </w:rPr>
        <w:t xml:space="preserve">output/missingness_mcar.csv</w:t>
      </w:r>
      <w:r>
        <w:t xml:space="preserve"> </w:t>
      </w:r>
      <w:r>
        <w:t xml:space="preserve">rather than left implicit: the test covers</w:t>
      </w:r>
      <w:r>
        <w:t xml:space="preserve"> </w:t>
      </w:r>
      <w:r>
        <w:t xml:space="preserve">only the numeric variables, and at N = 1,106 it is powered enough to reject on</w:t>
      </w:r>
      <w:r>
        <w:t xml:space="preserve"> </w:t>
      </w:r>
      <w:r>
        <w:t xml:space="preserve">minor deviations.</w:t>
      </w:r>
    </w:p>
    <w:p>
      <w:pPr>
        <w:pStyle w:val="BodyText"/>
      </w:pPr>
      <w:r>
        <w:t xml:space="preserve">More consequentially, the script tests the assumption the denominator rests on</w:t>
      </w:r>
      <w:r>
        <w:t xml:space="preserve"> </w:t>
      </w:r>
      <w:r>
        <w:t xml:space="preserve">by comparing the 55 unresolved abstracts against the 1,051 evaluated across</w:t>
      </w:r>
      <w:r>
        <w:t xml:space="preserve"> </w:t>
      </w:r>
      <w:r>
        <w:t xml:space="preserve">every model covariate: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covariate</w:t>
            </w:r>
          </w:p>
        </w:tc>
        <w:tc>
          <w:tcPr/>
          <w:p>
            <w:pPr>
              <w:pStyle w:val="Compact"/>
              <w:jc w:val="right"/>
            </w:pPr>
            <w:r>
              <w:t xml:space="preserve">unresolved</w:t>
            </w:r>
          </w:p>
        </w:tc>
        <w:tc>
          <w:tcPr/>
          <w:p>
            <w:pPr>
              <w:pStyle w:val="Compact"/>
              <w:jc w:val="right"/>
            </w:pPr>
            <w:r>
              <w:t xml:space="preserve">evaluated</w:t>
            </w:r>
          </w:p>
        </w:tc>
        <w:tc>
          <w:tcPr/>
          <w:p>
            <w:pPr>
              <w:pStyle w:val="Compact"/>
              <w:jc w:val="right"/>
            </w:pPr>
            <w:r>
              <w:t xml:space="preserve">p</w:t>
            </w:r>
          </w:p>
        </w:tc>
        <w:tc>
          <w:tcPr/>
          <w:p>
            <w:pPr>
              <w:pStyle w:val="Compact"/>
            </w:pPr>
          </w:p>
        </w:tc>
      </w:tr>
      <w:tr>
        <w:tc>
          <w:tcPr/>
          <w:p>
            <w:pPr>
              <w:pStyle w:val="Compact"/>
            </w:pPr>
            <w:r>
              <w:rPr>
                <w:rStyle w:val="VerbatimChar"/>
              </w:rPr>
              <w:t xml:space="preserve">study_design</w:t>
            </w:r>
          </w:p>
        </w:tc>
        <w:tc>
          <w:tcPr/>
          <w:p>
            <w:pPr>
              <w:pStyle w:val="Compact"/>
              <w:jc w:val="right"/>
            </w:pPr>
            <w:r>
              <w:t xml:space="preserve">—</w:t>
            </w:r>
          </w:p>
        </w:tc>
        <w:tc>
          <w:tcPr/>
          <w:p>
            <w:pPr>
              <w:pStyle w:val="Compact"/>
              <w:jc w:val="right"/>
            </w:pPr>
            <w:r>
              <w:t xml:space="preserve">—</w:t>
            </w:r>
          </w:p>
        </w:tc>
        <w:tc>
          <w:tcPr/>
          <w:p>
            <w:pPr>
              <w:pStyle w:val="Compact"/>
              <w:jc w:val="right"/>
            </w:pPr>
            <w:r>
              <w:t xml:space="preserve">0.0004</w:t>
            </w:r>
          </w:p>
        </w:tc>
        <w:tc>
          <w:tcPr/>
          <w:p>
            <w:pPr>
              <w:pStyle w:val="Compact"/>
            </w:pPr>
            <w:r>
              <w:rPr>
                <w:b/>
                <w:bCs/>
              </w:rPr>
              <w:t xml:space="preserve">substantive</w:t>
            </w:r>
          </w:p>
        </w:tc>
      </w:tr>
      <w:tr>
        <w:tc>
          <w:tcPr/>
          <w:p>
            <w:pPr>
              <w:pStyle w:val="Compact"/>
            </w:pPr>
            <w:r>
              <w:rPr>
                <w:rStyle w:val="VerbatimChar"/>
              </w:rPr>
              <w:t xml:space="preserve">n_authors</w:t>
            </w:r>
          </w:p>
        </w:tc>
        <w:tc>
          <w:tcPr/>
          <w:p>
            <w:pPr>
              <w:pStyle w:val="Compact"/>
              <w:jc w:val="right"/>
            </w:pPr>
            <w:r>
              <w:t xml:space="preserve">3.51</w:t>
            </w:r>
          </w:p>
        </w:tc>
        <w:tc>
          <w:tcPr/>
          <w:p>
            <w:pPr>
              <w:pStyle w:val="Compact"/>
              <w:jc w:val="right"/>
            </w:pPr>
            <w:r>
              <w:t xml:space="preserve">3.90</w:t>
            </w:r>
          </w:p>
        </w:tc>
        <w:tc>
          <w:tcPr/>
          <w:p>
            <w:pPr>
              <w:pStyle w:val="Compact"/>
              <w:jc w:val="right"/>
            </w:pPr>
            <w:r>
              <w:t xml:space="preserve">0.013</w:t>
            </w:r>
          </w:p>
        </w:tc>
        <w:tc>
          <w:tcPr/>
          <w:p>
            <w:pPr>
              <w:pStyle w:val="Compact"/>
            </w:pPr>
            <w:r>
              <w:rPr>
                <w:b/>
                <w:bCs/>
              </w:rPr>
              <w:t xml:space="preserve">substantive</w:t>
            </w:r>
          </w:p>
        </w:tc>
      </w:tr>
      <w:tr>
        <w:tc>
          <w:tcPr/>
          <w:p>
            <w:pPr>
              <w:pStyle w:val="Compact"/>
            </w:pPr>
            <w:r>
              <w:rPr>
                <w:rStyle w:val="VerbatimChar"/>
              </w:rPr>
              <w:t xml:space="preserve">best_score</w:t>
            </w:r>
          </w:p>
        </w:tc>
        <w:tc>
          <w:tcPr/>
          <w:p>
            <w:pPr>
              <w:pStyle w:val="Compact"/>
              <w:jc w:val="right"/>
            </w:pPr>
            <w:r>
              <w:t xml:space="preserve">4.72</w:t>
            </w:r>
          </w:p>
        </w:tc>
        <w:tc>
          <w:tcPr/>
          <w:p>
            <w:pPr>
              <w:pStyle w:val="Compact"/>
              <w:jc w:val="right"/>
            </w:pPr>
            <w:r>
              <w:t xml:space="preserve">3.23</w:t>
            </w:r>
          </w:p>
        </w:tc>
        <w:tc>
          <w:tcPr/>
          <w:p>
            <w:pPr>
              <w:pStyle w:val="Compact"/>
              <w:jc w:val="right"/>
            </w:pPr>
            <w:r>
              <w:t xml:space="preserve">&lt;0.001</w:t>
            </w:r>
          </w:p>
        </w:tc>
        <w:tc>
          <w:tcPr/>
          <w:p>
            <w:pPr>
              <w:pStyle w:val="Compact"/>
            </w:pPr>
            <w:r>
              <w:t xml:space="preserve">definitional</w:t>
            </w:r>
          </w:p>
        </w:tc>
      </w:tr>
      <w:tr>
        <w:tc>
          <w:tcPr/>
          <w:p>
            <w:pPr>
              <w:pStyle w:val="Compact"/>
            </w:pPr>
            <w:r>
              <w:rPr>
                <w:rStyle w:val="VerbatimChar"/>
              </w:rPr>
              <w:t xml:space="preserve">n_candidates</w:t>
            </w:r>
          </w:p>
        </w:tc>
        <w:tc>
          <w:tcPr/>
          <w:p>
            <w:pPr>
              <w:pStyle w:val="Compact"/>
              <w:jc w:val="right"/>
            </w:pPr>
            <w:r>
              <w:t xml:space="preserve">94.6</w:t>
            </w:r>
          </w:p>
        </w:tc>
        <w:tc>
          <w:tcPr/>
          <w:p>
            <w:pPr>
              <w:pStyle w:val="Compact"/>
              <w:jc w:val="right"/>
            </w:pPr>
            <w:r>
              <w:t xml:space="preserve">56.6</w:t>
            </w:r>
          </w:p>
        </w:tc>
        <w:tc>
          <w:tcPr/>
          <w:p>
            <w:pPr>
              <w:pStyle w:val="Compact"/>
              <w:jc w:val="right"/>
            </w:pPr>
            <w:r>
              <w:t xml:space="preserve">0.22</w:t>
            </w:r>
          </w:p>
        </w:tc>
        <w:tc>
          <w:tcPr/>
          <w:p>
            <w:pPr>
              <w:pStyle w:val="Compact"/>
            </w:pPr>
            <w:r>
              <w:t xml:space="preserve">definitional</w:t>
            </w:r>
          </w:p>
        </w:tc>
      </w:tr>
    </w:tbl>
    <w:p>
      <w:pPr>
        <w:pStyle w:val="BodyText"/>
      </w:pPr>
      <w:r>
        <w:rPr>
          <w:rStyle w:val="VerbatimChar"/>
        </w:rPr>
        <w:t xml:space="preserve">best_score</w:t>
      </w:r>
      <w:r>
        <w:t xml:space="preserve"> </w:t>
      </w:r>
      <w:r>
        <w:t xml:space="preserve">and</w:t>
      </w:r>
      <w:r>
        <w:t xml:space="preserve"> </w:t>
      </w:r>
      <w:r>
        <w:rPr>
          <w:rStyle w:val="VerbatimChar"/>
        </w:rPr>
        <w:t xml:space="preserve">n_candidates</w:t>
      </w:r>
      <w:r>
        <w:t xml:space="preserve"> </w:t>
      </w:r>
      <w:r>
        <w:t xml:space="preserve">must differ: the unresolved are the mid-score</w:t>
      </w:r>
      <w:r>
        <w:t xml:space="preserve"> </w:t>
      </w:r>
      <w:r>
        <w:t xml:space="preserve">band by construction and the comparison group holds 709</w:t>
      </w:r>
      <w:r>
        <w:t xml:space="preserve"> </w:t>
      </w:r>
      <w:r>
        <w:rPr>
          <w:rStyle w:val="VerbatimChar"/>
        </w:rPr>
        <w:t xml:space="preserve">no_match</w:t>
      </w:r>
      <w:r>
        <w:t xml:space="preserve"> </w:t>
      </w:r>
      <w:r>
        <w:t xml:space="preserve">abstracts.</w:t>
      </w:r>
      <w:r>
        <w:t xml:space="preserve"> </w:t>
      </w:r>
      <w:r>
        <w:t xml:space="preserve">They are labelled definitional and excluded from the verdict.</w:t>
      </w:r>
    </w:p>
    <w:p>
      <w:pPr>
        <w:pStyle w:val="BodyText"/>
      </w:pPr>
      <w:r>
        <w:rPr>
          <w:b/>
          <w:bCs/>
        </w:rPr>
        <w:t xml:space="preserve">The 55 are not missing completely at random.</w:t>
      </w:r>
      <w:r>
        <w:t xml:space="preserve"> </w:t>
      </w:r>
      <w:r>
        <w:t xml:space="preserve">They differ on</w:t>
      </w:r>
      <w:r>
        <w:t xml:space="preserve"> </w:t>
      </w:r>
      <w:r>
        <w:rPr>
          <w:rStyle w:val="VerbatimChar"/>
        </w:rPr>
        <w:t xml:space="preserve">study_design</w:t>
      </w:r>
      <w:r>
        <w:t xml:space="preserve"> </w:t>
      </w:r>
      <w:r>
        <w:t xml:space="preserve">and on</w:t>
      </w:r>
      <w:r>
        <w:t xml:space="preserve"> </w:t>
      </w:r>
      <w:r>
        <w:rPr>
          <w:rStyle w:val="VerbatimChar"/>
        </w:rPr>
        <w:t xml:space="preserve">n_authors</w:t>
      </w:r>
      <w:r>
        <w:t xml:space="preserve">, and</w:t>
      </w:r>
      <w:r>
        <w:t xml:space="preserve"> </w:t>
      </w:r>
      <w:r>
        <w:rPr>
          <w:rStyle w:val="VerbatimChar"/>
        </w:rPr>
        <w:t xml:space="preserve">n_authors</w:t>
      </w:r>
      <w:r>
        <w:t xml:space="preserve"> </w:t>
      </w:r>
      <w:r>
        <w:t xml:space="preserve">is a significant predictor in both models.</w:t>
      </w:r>
      <w:r>
        <w:t xml:space="preserve"> </w:t>
      </w:r>
      <w:r>
        <w:t xml:space="preserve">Dropping them from the denominator assumes missing-at-random</w:t>
      </w:r>
      <w:r>
        <w:t xml:space="preserve"> </w:t>
      </w:r>
      <w:r>
        <w:rPr>
          <w:i/>
          <w:iCs/>
        </w:rPr>
        <w:t xml:space="preserve">given the observed</w:t>
      </w:r>
      <w:r>
        <w:rPr>
          <w:i/>
          <w:iCs/>
        </w:rPr>
        <w:t xml:space="preserve"> </w:t>
      </w:r>
      <w:r>
        <w:rPr>
          <w:i/>
          <w:iCs/>
        </w:rPr>
        <w:t xml:space="preserve">data</w:t>
      </w:r>
      <w:r>
        <w:t xml:space="preserve">, which is weaker and untestable. The bounds in A13 — 16.1% if all were</w:t>
      </w:r>
      <w:r>
        <w:t xml:space="preserve"> </w:t>
      </w:r>
      <w:r>
        <w:t xml:space="preserve">unpublished, 21.1% if all were published — are the honest envelope, and this</w:t>
      </w:r>
      <w:r>
        <w:t xml:space="preserve"> </w:t>
      </w:r>
      <w:r>
        <w:t xml:space="preserve">result is the reason to quote them.</w:t>
      </w:r>
    </w:p>
    <w:bookmarkEnd w:id="193"/>
    <w:bookmarkStart w:id="194" w:name="X246f9010855e97a42de4a4bd99cdda120c13eb6"/>
    <w:p>
      <w:pPr>
        <w:pStyle w:val="Heading3"/>
      </w:pPr>
      <w:r>
        <w:t xml:space="preserve">A15.7 Structural fixes with no effect on the numbers</w:t>
      </w:r>
    </w:p>
    <w:p>
      <w:pPr>
        <w:pStyle w:val="Compact"/>
        <w:numPr>
          <w:ilvl w:val="0"/>
          <w:numId w:val="1011"/>
        </w:numPr>
      </w:pPr>
      <w:r>
        <w:rPr>
          <w:rStyle w:val="VerbatimChar"/>
          <w:b/>
          <w:bCs/>
        </w:rPr>
        <w:t xml:space="preserve">R/05_adjudicate.R</w:t>
      </w:r>
      <w:r>
        <w:rPr>
          <w:b/>
          <w:bCs/>
        </w:rPr>
        <w:t xml:space="preserve"> </w:t>
      </w:r>
      <w:r>
        <w:rPr>
          <w:b/>
          <w:bCs/>
        </w:rPr>
        <w:t xml:space="preserve">no longer destroys the enrichment columns.</w:t>
      </w:r>
      <w:r>
        <w:t xml:space="preserve"> </w:t>
      </w:r>
      <w:r>
        <w:t xml:space="preserve">It rebuilds</w:t>
      </w:r>
      <w:r>
        <w:t xml:space="preserve"> </w:t>
      </w:r>
      <w:r>
        <w:rPr>
          <w:rStyle w:val="VerbatimChar"/>
        </w:rPr>
        <w:t xml:space="preserve">output/abstracts_with_matches.csv</w:t>
      </w:r>
      <w:r>
        <w:t xml:space="preserve"> </w:t>
      </w:r>
      <w:r>
        <w:t xml:space="preserve">from scratch with 46 columns while six</w:t>
      </w:r>
      <w:r>
        <w:t xml:space="preserve"> </w:t>
      </w:r>
      <w:r>
        <w:t xml:space="preserve">later stages add the rest in place, so re-running step 5 alone used to delete</w:t>
      </w:r>
      <w:r>
        <w:t xml:space="preserve"> </w:t>
      </w:r>
      <w:r>
        <w:t xml:space="preserve">41 columns and</w:t>
      </w:r>
      <w:r>
        <w:t xml:space="preserve"> </w:t>
      </w:r>
      <w:r>
        <w:rPr>
          <w:rStyle w:val="VerbatimChar"/>
        </w:rPr>
        <w:t xml:space="preserve">06</w:t>
      </w:r>
      <w:r>
        <w:t xml:space="preserve"> </w:t>
      </w:r>
      <w:r>
        <w:t xml:space="preserve">would then silently drop those model terms. It now</w:t>
      </w:r>
      <w:r>
        <w:t xml:space="preserve"> </w:t>
      </w:r>
      <w:r>
        <w:t xml:space="preserve">re-joins any column it does not own.</w:t>
      </w:r>
    </w:p>
    <w:p>
      <w:pPr>
        <w:pStyle w:val="Compact"/>
        <w:numPr>
          <w:ilvl w:val="0"/>
          <w:numId w:val="1011"/>
        </w:numPr>
      </w:pPr>
      <w:r>
        <w:rPr>
          <w:rStyle w:val="VerbatimChar"/>
          <w:b/>
          <w:bCs/>
        </w:rPr>
        <w:t xml:space="preserve">00_run_all.R</w:t>
      </w:r>
      <w:r>
        <w:rPr>
          <w:b/>
          <w:bCs/>
        </w:rPr>
        <w:t xml:space="preserve"> </w:t>
      </w:r>
      <w:r>
        <w:rPr>
          <w:b/>
          <w:bCs/>
        </w:rPr>
        <w:t xml:space="preserve">runs the demographics merge.</w:t>
      </w:r>
      <w:r>
        <w:t xml:space="preserve"> </w:t>
      </w:r>
      <w:r>
        <w:rPr>
          <w:rStyle w:val="VerbatimChar"/>
        </w:rPr>
        <w:t xml:space="preserve">R/10e_merge_demographics.R</w:t>
      </w:r>
      <w:r>
        <w:t xml:space="preserve"> </w:t>
      </w:r>
      <w:r>
        <w:t xml:space="preserve">and its four upstream scripts were reachable only through</w:t>
      </w:r>
      <w:r>
        <w:t xml:space="preserve"> </w:t>
      </w:r>
      <w:r>
        <w:rPr>
          <w:rStyle w:val="VerbatimChar"/>
        </w:rPr>
        <w:t xml:space="preserve">R/run_demographics.R</w:t>
      </w:r>
      <w:r>
        <w:t xml:space="preserve">, so a clean run of the master pipeline produced a</w:t>
      </w:r>
      <w:r>
        <w:t xml:space="preserve"> </w:t>
      </w:r>
      <w:r>
        <w:t xml:space="preserve">dataset with no</w:t>
      </w:r>
      <w:r>
        <w:t xml:space="preserve"> </w:t>
      </w:r>
      <w:r>
        <w:rPr>
          <w:rStyle w:val="VerbatimChar"/>
        </w:rPr>
        <w:t xml:space="preserve">gender_unified</w:t>
      </w:r>
      <w:r>
        <w:t xml:space="preserve">, no</w:t>
      </w:r>
      <w:r>
        <w:t xml:space="preserve"> </w:t>
      </w:r>
      <w:r>
        <w:rPr>
          <w:rStyle w:val="VerbatimChar"/>
        </w:rPr>
        <w:t xml:space="preserve">npi_*</w:t>
      </w:r>
      <w:r>
        <w:t xml:space="preserve"> </w:t>
      </w:r>
      <w:r>
        <w:t xml:space="preserve">and no</w:t>
      </w:r>
      <w:r>
        <w:t xml:space="preserve"> </w:t>
      </w:r>
      <w:r>
        <w:rPr>
          <w:rStyle w:val="VerbatimChar"/>
        </w:rPr>
        <w:t xml:space="preserve">state_unified</w:t>
      </w:r>
      <w:r>
        <w:t xml:space="preserve">.</w:t>
      </w:r>
    </w:p>
    <w:p>
      <w:pPr>
        <w:pStyle w:val="Compact"/>
        <w:numPr>
          <w:ilvl w:val="0"/>
          <w:numId w:val="1011"/>
        </w:numPr>
      </w:pPr>
      <w:r>
        <w:rPr>
          <w:rStyle w:val="VerbatimChar"/>
          <w:b/>
          <w:bCs/>
        </w:rPr>
        <w:t xml:space="preserve">07</w:t>
      </w:r>
      <w:r>
        <w:rPr>
          <w:b/>
          <w:bCs/>
        </w:rPr>
        <w:t xml:space="preserve"> </w:t>
      </w:r>
      <w:r>
        <w:rPr>
          <w:b/>
          <w:bCs/>
        </w:rPr>
        <w:t xml:space="preserve">and</w:t>
      </w:r>
      <w:r>
        <w:rPr>
          <w:b/>
          <w:bCs/>
        </w:rPr>
        <w:t xml:space="preserve"> </w:t>
      </w:r>
      <w:r>
        <w:rPr>
          <w:rStyle w:val="VerbatimChar"/>
          <w:b/>
          <w:bCs/>
        </w:rPr>
        <w:t xml:space="preserve">08</w:t>
      </w:r>
      <w:r>
        <w:rPr>
          <w:b/>
          <w:bCs/>
        </w:rPr>
        <w:t xml:space="preserve"> </w:t>
      </w:r>
      <w:r>
        <w:rPr>
          <w:b/>
          <w:bCs/>
        </w:rPr>
        <w:t xml:space="preserve">source</w:t>
      </w:r>
      <w:r>
        <w:rPr>
          <w:b/>
          <w:bCs/>
        </w:rPr>
        <w:t xml:space="preserve"> </w:t>
      </w:r>
      <w:r>
        <w:rPr>
          <w:rStyle w:val="VerbatimChar"/>
          <w:b/>
          <w:bCs/>
        </w:rPr>
        <w:t xml:space="preserve">R/utils_decisions.R</w:t>
      </w:r>
      <w:r>
        <w:t xml:space="preserve"> </w:t>
      </w:r>
      <w:r>
        <w:t xml:space="preserve">instead of each carrying an</w:t>
      </w:r>
      <w:r>
        <w:t xml:space="preserve"> </w:t>
      </w:r>
      <w:r>
        <w:t xml:space="preserve">inline copy of the outcome cascade that omitted the human-outranks-AUTO rule.</w:t>
      </w:r>
    </w:p>
    <w:p>
      <w:pPr>
        <w:pStyle w:val="Compact"/>
        <w:numPr>
          <w:ilvl w:val="0"/>
          <w:numId w:val="1011"/>
        </w:numPr>
      </w:pPr>
      <w:r>
        <w:rPr>
          <w:rStyle w:val="VerbatimChar"/>
          <w:b/>
          <w:bCs/>
        </w:rPr>
        <w:t xml:space="preserve">result_positivity</w:t>
      </w:r>
      <w:r>
        <w:rPr>
          <w:b/>
          <w:bCs/>
        </w:rPr>
        <w:t xml:space="preserve"> </w:t>
      </w:r>
      <w:r>
        <w:rPr>
          <w:b/>
          <w:bCs/>
        </w:rPr>
        <w:t xml:space="preserve">restored</w:t>
      </w:r>
      <w:r>
        <w:t xml:space="preserve"> </w:t>
      </w:r>
      <w:r>
        <w:t xml:space="preserve">to</w:t>
      </w:r>
      <w:r>
        <w:t xml:space="preserve"> </w:t>
      </w:r>
      <w:r>
        <w:rPr>
          <w:rStyle w:val="VerbatimChar"/>
        </w:rPr>
        <w:t xml:space="preserve">05</w:t>
      </w:r>
      <w:r>
        <w:t xml:space="preserve">’s</w:t>
      </w:r>
      <w:r>
        <w:t xml:space="preserve"> </w:t>
      </w:r>
      <w:r>
        <w:rPr>
          <w:rStyle w:val="VerbatimChar"/>
        </w:rPr>
        <w:t xml:space="preserve">select()</w:t>
      </w:r>
      <w:r>
        <w:t xml:space="preserve">, so the Aim 5</w:t>
      </w:r>
      <w:r>
        <w:t xml:space="preserve"> </w:t>
      </w:r>
      <w:r>
        <w:t xml:space="preserve">publication-bias block runs again after being silently gated off since</w:t>
      </w:r>
      <w:r>
        <w:t xml:space="preserve"> </w:t>
      </w:r>
      <w:r>
        <w:t xml:space="preserve">17 April 2026.</w:t>
      </w:r>
    </w:p>
    <w:p>
      <w:pPr>
        <w:pStyle w:val="Compact"/>
        <w:numPr>
          <w:ilvl w:val="0"/>
          <w:numId w:val="1011"/>
        </w:numPr>
      </w:pPr>
      <w:r>
        <w:rPr>
          <w:rStyle w:val="VerbatimChar"/>
          <w:b/>
          <w:bCs/>
        </w:rPr>
        <w:t xml:space="preserve">subspecialty_unified</w:t>
      </w:r>
      <w:r>
        <w:rPr>
          <w:b/>
          <w:bCs/>
        </w:rPr>
        <w:t xml:space="preserve"> </w:t>
      </w:r>
      <w:r>
        <w:rPr>
          <w:b/>
          <w:bCs/>
        </w:rPr>
        <w:t xml:space="preserve">harmonised</w:t>
      </w:r>
      <w:r>
        <w:t xml:space="preserve"> </w:t>
      </w:r>
      <w:r>
        <w:t xml:space="preserve">from 13 levels to 8.</w:t>
      </w:r>
      <w:r>
        <w:t xml:space="preserve"> </w:t>
      </w:r>
      <w:r>
        <w:rPr>
          <w:rStyle w:val="VerbatimChar"/>
        </w:rPr>
        <w:t xml:space="preserve">MIG</w:t>
      </w:r>
      <w:r>
        <w:t xml:space="preserve">/</w:t>
      </w:r>
      <w:r>
        <w:rPr>
          <w:rStyle w:val="VerbatimChar"/>
        </w:rPr>
        <w:t xml:space="preserve">MIGS</w:t>
      </w:r>
      <w:r>
        <w:t xml:space="preserve">,</w:t>
      </w:r>
      <w:r>
        <w:t xml:space="preserve"> </w:t>
      </w:r>
      <w:r>
        <w:rPr>
          <w:rStyle w:val="VerbatimChar"/>
        </w:rPr>
        <w:t xml:space="preserve">FPMRS</w:t>
      </w:r>
      <w:r>
        <w:t xml:space="preserve"> </w:t>
      </w:r>
      <w:r>
        <w:t xml:space="preserve">and its spelled-out form,</w:t>
      </w:r>
      <w:r>
        <w:t xml:space="preserve"> </w:t>
      </w:r>
      <w:r>
        <w:rPr>
          <w:rStyle w:val="VerbatimChar"/>
        </w:rPr>
        <w:t xml:space="preserve">Generalist</w:t>
      </w:r>
      <w:r>
        <w:t xml:space="preserve">/</w:t>
      </w:r>
      <w:r>
        <w:rPr>
          <w:rStyle w:val="VerbatimChar"/>
        </w:rPr>
        <w:t xml:space="preserve">general_OBGYN</w:t>
      </w:r>
      <w:r>
        <w:t xml:space="preserve"> </w:t>
      </w:r>
      <w:r>
        <w:t xml:space="preserve">were splitting</w:t>
      </w:r>
      <w:r>
        <w:t xml:space="preserve"> </w:t>
      </w:r>
      <w:r>
        <w:t xml:space="preserve">real categories in two.</w:t>
      </w:r>
    </w:p>
    <w:p>
      <w:pPr>
        <w:pStyle w:val="Compact"/>
        <w:numPr>
          <w:ilvl w:val="0"/>
          <w:numId w:val="1011"/>
        </w:numPr>
      </w:pPr>
      <w:r>
        <w:rPr>
          <w:b/>
          <w:bCs/>
        </w:rPr>
        <w:t xml:space="preserve">Thirteen joins in</w:t>
      </w:r>
      <w:r>
        <w:rPr>
          <w:b/>
          <w:bCs/>
        </w:rPr>
        <w:t xml:space="preserve"> </w:t>
      </w:r>
      <w:r>
        <w:rPr>
          <w:rStyle w:val="VerbatimChar"/>
          <w:b/>
          <w:bCs/>
        </w:rPr>
        <w:t xml:space="preserve">10e</w:t>
      </w:r>
      <w:r>
        <w:t xml:space="preserve"> </w:t>
      </w:r>
      <w:r>
        <w:t xml:space="preserve">now validate key uniqueness on the right table</w:t>
      </w:r>
      <w:r>
        <w:t xml:space="preserve"> </w:t>
      </w:r>
      <w:r>
        <w:t xml:space="preserve">before joining rather than checking the row count afterwards.</w:t>
      </w:r>
    </w:p>
    <w:p>
      <w:pPr>
        <w:pStyle w:val="Compact"/>
        <w:numPr>
          <w:ilvl w:val="0"/>
          <w:numId w:val="1011"/>
        </w:numPr>
      </w:pPr>
      <w:r>
        <w:rPr>
          <w:b/>
          <w:bCs/>
        </w:rPr>
        <w:t xml:space="preserve">The Shiny deploy verifies before it can publish</w:t>
      </w:r>
      <w:r>
        <w:t xml:space="preserve"> </w:t>
      </w:r>
      <w:r>
        <w:t xml:space="preserve">and is opt-in behind</w:t>
      </w:r>
      <w:r>
        <w:t xml:space="preserve"> </w:t>
      </w:r>
      <w:r>
        <w:rPr>
          <w:rStyle w:val="VerbatimChar"/>
        </w:rPr>
        <w:t xml:space="preserve">SHINY_DEPLOY</w:t>
      </w:r>
      <w:r>
        <w:t xml:space="preserve">. The bundle had been 135 days stale, so reviewers were</w:t>
      </w:r>
      <w:r>
        <w:t xml:space="preserve"> </w:t>
      </w:r>
      <w:r>
        <w:t xml:space="preserve">adjudicating against a pre-denominator-fix cohort and a candidate pool missing</w:t>
      </w:r>
      <w:r>
        <w:t xml:space="preserve"> </w:t>
      </w:r>
      <w:r>
        <w:t xml:space="preserve">283 winning PMIDs.</w:t>
      </w:r>
    </w:p>
    <w:bookmarkEnd w:id="194"/>
    <w:bookmarkStart w:id="195" w:name="a15.8-borrowed-code"/>
    <w:p>
      <w:pPr>
        <w:pStyle w:val="Heading3"/>
      </w:pPr>
      <w:r>
        <w:t xml:space="preserve">A15.8 Borrowed code</w:t>
      </w:r>
    </w:p>
    <w:p>
      <w:pPr>
        <w:pStyle w:val="FirstParagraph"/>
      </w:pPr>
      <w:r>
        <w:t xml:space="preserve">Five functions come from the</w:t>
      </w:r>
      <w:r>
        <w:t xml:space="preserve"> </w:t>
      </w:r>
      <w:r>
        <w:rPr>
          <w:rStyle w:val="VerbatimChar"/>
        </w:rPr>
        <w:t xml:space="preserve">mysterycall</w:t>
      </w:r>
      <w:r>
        <w:t xml:space="preserve"> </w:t>
      </w:r>
      <w:r>
        <w:t xml:space="preserve">package, pinned at commit</w:t>
      </w:r>
      <w:r>
        <w:t xml:space="preserve"> </w:t>
      </w:r>
      <w:r>
        <w:rPr>
          <w:rStyle w:val="VerbatimChar"/>
        </w:rPr>
        <w:t xml:space="preserve">42d66d92</w:t>
      </w:r>
      <w:r>
        <w:t xml:space="preserve"> </w:t>
      </w:r>
      <w:r>
        <w:t xml:space="preserve">in</w:t>
      </w:r>
      <w:r>
        <w:t xml:space="preserve"> </w:t>
      </w:r>
      <w:r>
        <w:rPr>
          <w:rStyle w:val="VerbatimChar"/>
        </w:rPr>
        <w:t xml:space="preserve">docs/REPRODUCIBILITY.md</w:t>
      </w:r>
      <w:r>
        <w:t xml:space="preserve">. Every use degrades to the previous</w:t>
      </w:r>
      <w:r>
        <w:t xml:space="preserve"> </w:t>
      </w:r>
      <w:r>
        <w:t xml:space="preserve">behaviour if the package is absent.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what it replaced</w:t>
            </w:r>
          </w:p>
        </w:tc>
      </w:tr>
      <w:tr>
        <w:tc>
          <w:tcPr/>
          <w:p>
            <w:pPr>
              <w:pStyle w:val="Compact"/>
            </w:pPr>
            <w:r>
              <w:rPr>
                <w:rStyle w:val="VerbatimChar"/>
              </w:rPr>
              <w:t xml:space="preserve">mysterycall_nppes_gender()</w:t>
            </w:r>
          </w:p>
        </w:tc>
        <w:tc>
          <w:tcPr/>
          <w:p>
            <w:pPr>
              <w:pStyle w:val="Compact"/>
            </w:pPr>
            <w:r>
              <w:t xml:space="preserve">the unregenerable ABOG gender column (A15.3)</w:t>
            </w:r>
          </w:p>
        </w:tc>
      </w:tr>
      <w:tr>
        <w:tc>
          <w:tcPr/>
          <w:p>
            <w:pPr>
              <w:pStyle w:val="Compact"/>
            </w:pPr>
            <w:r>
              <w:rPr>
                <w:rStyle w:val="VerbatimChar"/>
              </w:rPr>
              <w:t xml:space="preserve">mysterycall_table1()</w:t>
            </w:r>
          </w:p>
        </w:tc>
        <w:tc>
          <w:tcPr/>
          <w:p>
            <w:pPr>
              <w:pStyle w:val="Compact"/>
            </w:pPr>
            <w:r>
              <w:t xml:space="preserve">a five-variable summarise with no test, now 35 rows over 10 variables with p-values</w:t>
            </w:r>
          </w:p>
        </w:tc>
      </w:tr>
      <w:tr>
        <w:tc>
          <w:tcPr/>
          <w:p>
            <w:pPr>
              <w:pStyle w:val="Compact"/>
            </w:pPr>
            <w:r>
              <w:rPr>
                <w:rStyle w:val="VerbatimChar"/>
              </w:rPr>
              <w:t xml:space="preserve">mysterycall_safe_left_join()</w:t>
            </w:r>
          </w:p>
        </w:tc>
        <w:tc>
          <w:tcPr/>
          <w:p>
            <w:pPr>
              <w:pStyle w:val="Compact"/>
            </w:pPr>
            <w:r>
              <w:t xml:space="preserve">a row-count assertion after the fact</w:t>
            </w:r>
          </w:p>
        </w:tc>
      </w:tr>
      <w:tr>
        <w:tc>
          <w:tcPr/>
          <w:p>
            <w:pPr>
              <w:pStyle w:val="Compact"/>
            </w:pPr>
            <w:r>
              <w:rPr>
                <w:rStyle w:val="VerbatimChar"/>
              </w:rPr>
              <w:t xml:space="preserve">build_missingness_mcar_table()</w:t>
            </w:r>
          </w:p>
        </w:tc>
        <w:tc>
          <w:tcPr/>
          <w:p>
            <w:pPr>
              <w:pStyle w:val="Compact"/>
            </w:pPr>
            <w:r>
              <w:t xml:space="preserve">nothing — there was no missingness reporting (A15.6)</w:t>
            </w:r>
          </w:p>
        </w:tc>
      </w:tr>
      <w:tr>
        <w:tc>
          <w:tcPr/>
          <w:p>
            <w:pPr>
              <w:pStyle w:val="Compact"/>
            </w:pPr>
            <w:r>
              <w:rPr>
                <w:rStyle w:val="VerbatimChar"/>
              </w:rPr>
              <w:t xml:space="preserve">mysterycall_bootstrap_predictor_stability()</w:t>
            </w:r>
            <w:r>
              <w:t xml:space="preserve">,</w:t>
            </w:r>
            <w:r>
              <w:t xml:space="preserve"> </w:t>
            </w:r>
            <w:r>
              <w:rPr>
                <w:rStyle w:val="VerbatimChar"/>
              </w:rPr>
              <w:t xml:space="preserve">mysterycall_leave_one_out()</w:t>
            </w:r>
          </w:p>
        </w:tc>
        <w:tc>
          <w:tcPr/>
          <w:p>
            <w:pPr>
              <w:pStyle w:val="Compact"/>
            </w:pPr>
            <w:r>
              <w:t xml:space="preserve">nothing — there were no stability diagnostics (A15.5)</w:t>
            </w:r>
          </w:p>
        </w:tc>
      </w:tr>
      <w:tr>
        <w:tc>
          <w:tcPr/>
          <w:p>
            <w:pPr>
              <w:pStyle w:val="Compact"/>
            </w:pPr>
            <w:r>
              <w:rPr>
                <w:rStyle w:val="VerbatimChar"/>
              </w:rPr>
              <w:t xml:space="preserve">mysterycall_remove_near_zero()</w:t>
            </w:r>
          </w:p>
        </w:tc>
        <w:tc>
          <w:tcPr/>
          <w:p>
            <w:pPr>
              <w:pStyle w:val="Compact"/>
            </w:pPr>
            <w:r>
              <w:t xml:space="preserve">a judgement call about sparse terms, now a rule (A15.4)</w:t>
            </w:r>
          </w:p>
        </w:tc>
      </w:tr>
      <w:tr>
        <w:tc>
          <w:tcPr/>
          <w:p>
            <w:pPr>
              <w:pStyle w:val="Compact"/>
            </w:pPr>
            <w:r>
              <w:rPr>
                <w:rStyle w:val="VerbatimChar"/>
              </w:rPr>
              <w:t xml:space="preserve">mysterycall_session_snapshot()</w:t>
            </w:r>
          </w:p>
        </w:tc>
        <w:tc>
          <w:tcPr/>
          <w:p>
            <w:pPr>
              <w:pStyle w:val="Compact"/>
            </w:pPr>
            <w:r>
              <w:t xml:space="preserve">nothing — the environment was unrecorded</w:t>
            </w:r>
          </w:p>
        </w:tc>
      </w:tr>
    </w:tbl>
    <w:p>
      <w:pPr>
        <w:pStyle w:val="BodyText"/>
      </w:pPr>
      <w:r>
        <w:t xml:space="preserve">Assessed and</w:t>
      </w:r>
      <w:r>
        <w:t xml:space="preserve"> </w:t>
      </w:r>
      <w:r>
        <w:rPr>
          <w:b/>
          <w:bCs/>
        </w:rPr>
        <w:t xml:space="preserve">not</w:t>
      </w:r>
      <w:r>
        <w:t xml:space="preserve"> </w:t>
      </w:r>
      <w:r>
        <w:t xml:space="preserve">taken:</w:t>
      </w:r>
      <w:r>
        <w:t xml:space="preserve"> </w:t>
      </w:r>
      <w:r>
        <w:rPr>
          <w:rStyle w:val="VerbatimChar"/>
        </w:rPr>
        <w:t xml:space="preserve">model_metrics()</w:t>
      </w:r>
      <w:r>
        <w:t xml:space="preserve"> </w:t>
      </w:r>
      <w:r>
        <w:t xml:space="preserve">returns only MAE and RMSE;</w:t>
      </w:r>
      <w:r>
        <w:t xml:space="preserve"> </w:t>
      </w:r>
      <w:r>
        <w:rPr>
          <w:rStyle w:val="VerbatimChar"/>
        </w:rPr>
        <w:t xml:space="preserve">parse_physician_name()</w:t>
      </w:r>
      <w:r>
        <w:t xml:space="preserve"> </w:t>
      </w:r>
      <w:r>
        <w:t xml:space="preserve">is no better than</w:t>
      </w:r>
      <w:r>
        <w:t xml:space="preserve"> </w:t>
      </w:r>
      <w:r>
        <w:rPr>
          <w:rStyle w:val="VerbatimChar"/>
        </w:rPr>
        <w:t xml:space="preserve">normalize_author()</w:t>
      </w:r>
      <w:r>
        <w:t xml:space="preserve"> </w:t>
      </w:r>
      <w:r>
        <w:t xml:space="preserve">on these author</w:t>
      </w:r>
      <w:r>
        <w:t xml:space="preserve"> </w:t>
      </w:r>
      <w:r>
        <w:t xml:space="preserve">strings; the</w:t>
      </w:r>
      <w:r>
        <w:t xml:space="preserve"> </w:t>
      </w:r>
      <w:r>
        <w:rPr>
          <w:rStyle w:val="VerbatimChar"/>
        </w:rPr>
        <w:t xml:space="preserve">utils-logging</w:t>
      </w:r>
      <w:r>
        <w:t xml:space="preserve"> </w:t>
      </w:r>
      <w:r>
        <w:t xml:space="preserve">functions are not exported;</w:t>
      </w:r>
      <w:r>
        <w:t xml:space="preserve"> </w:t>
      </w:r>
      <w:r>
        <w:rPr>
          <w:rStyle w:val="VerbatimChar"/>
        </w:rPr>
        <w:t xml:space="preserve">verify_artifact()</w:t>
      </w:r>
      <w:r>
        <w:t xml:space="preserve"> </w:t>
      </w:r>
      <w:r>
        <w:t xml:space="preserve">requires the package’s own audit JSON;</w:t>
      </w:r>
      <w:r>
        <w:t xml:space="preserve"> </w:t>
      </w:r>
      <w:r>
        <w:rPr>
          <w:rStyle w:val="VerbatimChar"/>
        </w:rPr>
        <w:t xml:space="preserve">exclusion_summary()</w:t>
      </w:r>
      <w:r>
        <w:t xml:space="preserve"> </w:t>
      </w:r>
      <w:r>
        <w:t xml:space="preserve">and</w:t>
      </w:r>
      <w:r>
        <w:t xml:space="preserve"> </w:t>
      </w:r>
      <w:r>
        <w:rPr>
          <w:rStyle w:val="VerbatimChar"/>
        </w:rPr>
        <w:t xml:space="preserve">reconcile_inclusion()</w:t>
      </w:r>
      <w:r>
        <w:t xml:space="preserve"> </w:t>
      </w:r>
      <w:r>
        <w:t xml:space="preserve">are hard-wired to mystery-caller exclusion codes.</w:t>
      </w:r>
    </w:p>
    <w:p>
      <w:pPr>
        <w:pStyle w:val="BodyText"/>
      </w:pPr>
      <w:r>
        <w:t xml:space="preserve">One useful negative:</w:t>
      </w:r>
      <w:r>
        <w:t xml:space="preserve"> </w:t>
      </w:r>
      <w:r>
        <w:rPr>
          <w:rStyle w:val="VerbatimChar"/>
        </w:rPr>
        <w:t xml:space="preserve">mysterycall_flag_near_duplicate_keys()</w:t>
      </w:r>
      <w:r>
        <w:t xml:space="preserve"> </w:t>
      </w:r>
      <w:r>
        <w:t xml:space="preserve">over all 1,106</w:t>
      </w:r>
      <w:r>
        <w:t xml:space="preserve"> </w:t>
      </w:r>
      <w:r>
        <w:t xml:space="preserve">titles found</w:t>
      </w:r>
      <w:r>
        <w:t xml:space="preserve"> </w:t>
      </w:r>
      <w:r>
        <w:rPr>
          <w:b/>
          <w:bCs/>
        </w:rPr>
        <w:t xml:space="preserve">zero</w:t>
      </w:r>
      <w:r>
        <w:t xml:space="preserve"> </w:t>
      </w:r>
      <w:r>
        <w:t xml:space="preserve">near-duplicate pairs. The cohort holds no duplicate</w:t>
      </w:r>
      <w:r>
        <w:t xml:space="preserve"> </w:t>
      </w:r>
      <w:r>
        <w:t xml:space="preserve">submissions, and the two 2019</w:t>
      </w:r>
      <w:r>
        <w:t xml:space="preserve"> </w:t>
      </w:r>
      <w:r>
        <w:t xml:space="preserve">“Occult Uterine Malignancy”</w:t>
      </w:r>
      <w:r>
        <w:t xml:space="preserve"> </w:t>
      </w:r>
      <w:r>
        <w:t xml:space="preserve">abstracts that share a</w:t>
      </w:r>
      <w:r>
        <w:t xml:space="preserve"> </w:t>
      </w:r>
      <w:r>
        <w:t xml:space="preserve">publication are genuinely different abstracts rather than a duplication error.</w:t>
      </w:r>
    </w:p>
    <w:bookmarkEnd w:id="195"/>
    <w:bookmarkStart w:id="196" w:name="a15.9-what-was-deliberately-not-fixed"/>
    <w:p>
      <w:pPr>
        <w:pStyle w:val="Heading3"/>
      </w:pPr>
      <w:r>
        <w:t xml:space="preserve">A15.9 What was deliberately not fixed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why</w:t>
            </w:r>
          </w:p>
        </w:tc>
      </w:tr>
      <w:tr>
        <w:tc>
          <w:tcPr/>
          <w:p>
            <w:pPr>
              <w:pStyle w:val="Compact"/>
            </w:pPr>
            <w:r>
              <w:rPr>
                <w:b/>
                <w:bCs/>
              </w:rPr>
              <w:t xml:space="preserve">Cohort truncation (A14, F1)</w:t>
            </w:r>
          </w:p>
        </w:tc>
        <w:tc>
          <w:tcPr/>
          <w:p>
            <w:pPr>
              <w:pStyle w:val="Compact"/>
            </w:pPr>
            <w:r>
              <w:t xml:space="preserve">Re-ingesting the supplements would expand the cohort several-fold and require the entire search and human adjudication to be redone.</w:t>
            </w:r>
          </w:p>
        </w:tc>
      </w:tr>
      <w:tr>
        <w:tc>
          <w:tcPr/>
          <w:p>
            <w:pPr>
              <w:pStyle w:val="Compact"/>
            </w:pPr>
            <w:r>
              <w:rPr>
                <w:b/>
                <w:bCs/>
              </w:rPr>
              <w:t xml:space="preserve">The inert</w:t>
            </w:r>
            <w:r>
              <w:rPr>
                <w:b/>
                <w:bCs/>
              </w:rPr>
              <w:t xml:space="preserve"> </w:t>
            </w:r>
            <w:r>
              <w:rPr>
                <w:rStyle w:val="VerbatimChar"/>
                <w:b/>
                <w:bCs/>
              </w:rPr>
              <w:t xml:space="preserve">keyword_pts</w:t>
            </w:r>
            <w:r>
              <w:rPr>
                <w:b/>
                <w:bCs/>
              </w:rPr>
              <w:t xml:space="preserve"> </w:t>
            </w:r>
            <w:r>
              <w:rPr>
                <w:b/>
                <w:bCs/>
              </w:rPr>
              <w:t xml:space="preserve">component</w:t>
            </w:r>
          </w:p>
        </w:tc>
        <w:tc>
          <w:tcPr/>
          <w:p>
            <w:pPr>
              <w:pStyle w:val="Compact"/>
            </w:pPr>
            <w:r>
              <w:rPr>
                <w:rStyle w:val="VerbatimChar"/>
              </w:rPr>
              <w:t xml:space="preserve">keyword_pts</w:t>
            </w:r>
            <w:r>
              <w:t xml:space="preserve"> </w:t>
            </w:r>
            <w:r>
              <w:t xml:space="preserve">is 0 for all 1,106 abstracts, so the</w:t>
            </w:r>
            <w:r>
              <w:t xml:space="preserve"> </w:t>
            </w:r>
            <w:r>
              <w:t xml:space="preserve">“10-component”</w:t>
            </w:r>
            <w:r>
              <w:t xml:space="preserve"> </w:t>
            </w:r>
            <w:r>
              <w:t xml:space="preserve">score has nine live components. Fixing it changes every score and therefore every classification, invalidating the adjudication.</w:t>
            </w:r>
          </w:p>
        </w:tc>
      </w:tr>
      <w:tr>
        <w:tc>
          <w:tcPr/>
          <w:p>
            <w:pPr>
              <w:pStyle w:val="Compact"/>
            </w:pPr>
            <w:r>
              <w:rPr>
                <w:rStyle w:val="VerbatimChar"/>
                <w:b/>
                <w:bCs/>
              </w:rPr>
              <w:t xml:space="preserve">ArticleDate</w:t>
            </w:r>
            <w:r>
              <w:rPr>
                <w:b/>
                <w:bCs/>
              </w:rPr>
              <w:t xml:space="preserve"> </w:t>
            </w:r>
            <w:r>
              <w:rPr>
                <w:b/>
                <w:bCs/>
              </w:rPr>
              <w:t xml:space="preserve">for publication dating (F14)</w:t>
            </w:r>
          </w:p>
        </w:tc>
        <w:tc>
          <w:tcPr/>
          <w:p>
            <w:pPr>
              <w:pStyle w:val="Compact"/>
            </w:pPr>
            <w:r>
              <w:t xml:space="preserve">Same re-scoring consequence. Eleven pre-congress exclusions rest on year-only dates resolved to 1 January.</w:t>
            </w:r>
          </w:p>
        </w:tc>
      </w:tr>
      <w:tr>
        <w:tc>
          <w:tcPr/>
          <w:p>
            <w:pPr>
              <w:pStyle w:val="Compact"/>
            </w:pPr>
            <w:r>
              <w:rPr>
                <w:b/>
                <w:bCs/>
              </w:rPr>
              <w:t xml:space="preserve">Three PMIDs credited to two abstracts each (F17)</w:t>
            </w:r>
          </w:p>
        </w:tc>
        <w:tc>
          <w:tcPr/>
          <w:p>
            <w:pPr>
              <w:pStyle w:val="Compact"/>
            </w:pPr>
            <w:r>
              <w:t xml:space="preserve">Deciding which abstract owns each PMID is adjudication. Surfaced in</w:t>
            </w:r>
            <w:r>
              <w:t xml:space="preserve"> </w:t>
            </w:r>
            <w:r>
              <w:rPr>
                <w:rStyle w:val="VerbatimChar"/>
              </w:rPr>
              <w:t xml:space="preserve">final_pmid_shared</w:t>
            </w:r>
            <w:r>
              <w:t xml:space="preserve"> </w:t>
            </w:r>
            <w:r>
              <w:t xml:space="preserve">and</w:t>
            </w:r>
            <w:r>
              <w:t xml:space="preserve"> </w:t>
            </w:r>
            <w:r>
              <w:rPr>
                <w:rStyle w:val="VerbatimChar"/>
              </w:rPr>
              <w:t xml:space="preserve">output/shared_publication_matches.csv</w:t>
            </w:r>
            <w:r>
              <w:t xml:space="preserve">. One is counted published against an explicit reviewer</w:t>
            </w:r>
            <w:r>
              <w:t xml:space="preserve"> </w:t>
            </w:r>
            <w:r>
              <w:rPr>
                <w:rStyle w:val="VerbatimChar"/>
              </w:rPr>
              <w:t xml:space="preserve">no_match</w:t>
            </w:r>
            <w:r>
              <w:t xml:space="preserve">.</w:t>
            </w:r>
          </w:p>
        </w:tc>
      </w:tr>
      <w:tr>
        <w:tc>
          <w:tcPr/>
          <w:p>
            <w:pPr>
              <w:pStyle w:val="Compact"/>
            </w:pPr>
            <w:r>
              <w:rPr>
                <w:strike/>
              </w:rPr>
              <w:t xml:space="preserve">The proportional-hazards violation (A15.4)</w:t>
            </w:r>
          </w:p>
        </w:tc>
        <w:tc>
          <w:tcPr/>
          <w:p>
            <w:pPr>
              <w:pStyle w:val="Compact"/>
            </w:pPr>
            <w:r>
              <w:rPr>
                <w:b/>
                <w:bCs/>
              </w:rPr>
              <w:t xml:space="preserve">Resolved 2026-09-04.</w:t>
            </w:r>
            <w:r>
              <w:t xml:space="preserve"> </w:t>
            </w:r>
            <w:r>
              <w:t xml:space="preserve">See A16.</w:t>
            </w:r>
          </w:p>
        </w:tc>
      </w:tr>
      <w:tr>
        <w:tc>
          <w:tcPr/>
          <w:p>
            <w:pPr>
              <w:pStyle w:val="Compact"/>
            </w:pPr>
            <w:r>
              <w:rPr>
                <w:rStyle w:val="VerbatimChar"/>
                <w:b/>
                <w:bCs/>
              </w:rPr>
              <w:t xml:space="preserve">search_strategy_efficacy.csv</w:t>
            </w:r>
          </w:p>
        </w:tc>
        <w:tc>
          <w:tcPr/>
          <w:p>
            <w:pPr>
              <w:pStyle w:val="Compact"/>
            </w:pPr>
            <w:r>
              <w:t xml:space="preserve">Regenerating it means re-running the whole search layer.</w:t>
            </w:r>
          </w:p>
        </w:tc>
      </w:tr>
      <w:tr>
        <w:tc>
          <w:tcPr/>
          <w:p>
            <w:pPr>
              <w:pStyle w:val="Compact"/>
            </w:pPr>
            <w:r>
              <w:rPr>
                <w:b/>
                <w:bCs/>
              </w:rPr>
              <w:t xml:space="preserve">The branch order in</w:t>
            </w:r>
            <w:r>
              <w:rPr>
                <w:b/>
                <w:bCs/>
              </w:rPr>
              <w:t xml:space="preserve"> </w:t>
            </w:r>
            <w:r>
              <w:rPr>
                <w:rStyle w:val="VerbatimChar"/>
                <w:b/>
                <w:bCs/>
              </w:rPr>
              <w:t xml:space="preserve">assign_final_published()</w:t>
            </w:r>
          </w:p>
        </w:tc>
        <w:tc>
          <w:tcPr/>
          <w:p>
            <w:pPr>
              <w:pStyle w:val="Compact"/>
            </w:pPr>
            <w:r>
              <w:rPr>
                <w:rStyle w:val="VerbatimChar"/>
              </w:rPr>
              <w:t xml:space="preserve">classification == "definite"</w:t>
            </w:r>
            <w:r>
              <w:t xml:space="preserve"> </w:t>
            </w:r>
            <w:r>
              <w:t xml:space="preserve">precedes every reviewer branch, so four reviewer</w:t>
            </w:r>
            <w:r>
              <w:t xml:space="preserve"> </w:t>
            </w:r>
            <w:r>
              <w:rPr>
                <w:rStyle w:val="VerbatimChar"/>
              </w:rPr>
              <w:t xml:space="preserve">no_match</w:t>
            </w:r>
            <w:r>
              <w:t xml:space="preserve"> </w:t>
            </w:r>
            <w:r>
              <w:t xml:space="preserve">and 44 reviewer</w:t>
            </w:r>
            <w:r>
              <w:t xml:space="preserve"> </w:t>
            </w:r>
            <w:r>
              <w:rPr>
                <w:rStyle w:val="VerbatimChar"/>
              </w:rPr>
              <w:t xml:space="preserve">skip</w:t>
            </w:r>
            <w:r>
              <w:t xml:space="preserve"> </w:t>
            </w:r>
            <w:r>
              <w:t xml:space="preserve">decisions are recorded as published. Reordering moves 48 abstracts.</w:t>
            </w:r>
          </w:p>
        </w:tc>
      </w:tr>
      <w:tr>
        <w:tc>
          <w:tcPr/>
          <w:p>
            <w:pPr>
              <w:pStyle w:val="Compact"/>
            </w:pPr>
            <w:r>
              <w:rPr>
                <w:b/>
                <w:bCs/>
              </w:rPr>
              <w:t xml:space="preserve">The live Shiny deployment</w:t>
            </w:r>
          </w:p>
        </w:tc>
        <w:tc>
          <w:tcPr/>
          <w:p>
            <w:pPr>
              <w:pStyle w:val="Compact"/>
            </w:pPr>
            <w:r>
              <w:t xml:space="preserve">An outward-facing publish to an application reviewers are using.</w:t>
            </w:r>
          </w:p>
        </w:tc>
      </w:tr>
    </w:tbl>
    <w:bookmarkEnd w:id="196"/>
    <w:bookmarkEnd w:id="197"/>
    <w:bookmarkStart w:id="207" w:name="X206686a76d8e40269304f0ed15b7246cb0fb3c6"/>
    <w:p>
      <w:pPr>
        <w:pStyle w:val="Heading2"/>
      </w:pPr>
      <w:r>
        <w:t xml:space="preserve">A16. The Proportional-Hazards Violation, Resolved</w:t>
      </w:r>
    </w:p>
    <w:p>
      <w:pPr>
        <w:pStyle w:val="FirstParagraph"/>
      </w:pPr>
      <w:r>
        <w:t xml:space="preserve">A15.4 recorded the Cox proportional-hazards violation as an open methodological</w:t>
      </w:r>
      <w:r>
        <w:t xml:space="preserve"> </w:t>
      </w:r>
      <w:r>
        <w:t xml:space="preserve">decision and deliberately left a failing test in place to mark it. This appendix</w:t>
      </w:r>
      <w:r>
        <w:t xml:space="preserve"> </w:t>
      </w:r>
      <w:r>
        <w:t xml:space="preserve">records how the decision was taken, on 2026-09-04, and what it changed.</w:t>
      </w:r>
    </w:p>
    <w:bookmarkStart w:id="198" w:name="X2207d6b678b679b35816c5356af5747b142fcf9"/>
    <w:p>
      <w:pPr>
        <w:pStyle w:val="Heading3"/>
      </w:pPr>
      <w:r>
        <w:t xml:space="preserve">A16.1 Why a global test was not enough to act on</w:t>
      </w:r>
    </w:p>
    <w:p>
      <w:pPr>
        <w:pStyle w:val="FirstParagraph"/>
      </w:pPr>
      <w:r>
        <w:t xml:space="preserve">The complaint was a single number:</w:t>
      </w:r>
      <w:r>
        <w:t xml:space="preserve"> </w:t>
      </w:r>
      <w:r>
        <w:rPr>
          <w:rStyle w:val="VerbatimChar"/>
        </w:rPr>
        <w:t xml:space="preserve">cox.zph(cox_model)</w:t>
      </w:r>
      <w:r>
        <w:t xml:space="preserve"> </w:t>
      </w:r>
      <w:r>
        <w:t xml:space="preserve">global χ² = 13.01 on</w:t>
      </w:r>
      <w:r>
        <w:t xml:space="preserve"> </w:t>
      </w:r>
      <w:r>
        <w:t xml:space="preserve">6 df,</w:t>
      </w:r>
      <w:r>
        <w:t xml:space="preserve"> </w:t>
      </w:r>
      <w:r>
        <w:rPr>
          <w:b/>
          <w:bCs/>
        </w:rPr>
        <w:t xml:space="preserve">p = 0.043</w:t>
      </w:r>
      <w:r>
        <w:t xml:space="preserve">. Three responses are conventional — report the hazard ratios</w:t>
      </w:r>
      <w:r>
        <w:t xml:space="preserve"> </w:t>
      </w:r>
      <w:r>
        <w:t xml:space="preserve">as averages over follow-up, stratify, or allow time-varying coefficients — and</w:t>
      </w:r>
      <w:r>
        <w:t xml:space="preserve"> </w:t>
      </w:r>
      <w:r>
        <w:t xml:space="preserve">they are not interchangeable. Which one is right depends entirely on</w:t>
      </w:r>
      <w:r>
        <w:t xml:space="preserve"> </w:t>
      </w:r>
      <w:r>
        <w:rPr>
          <w:i/>
          <w:iCs/>
        </w:rPr>
        <w:t xml:space="preserve">which</w:t>
      </w:r>
      <w:r>
        <w:t xml:space="preserve"> </w:t>
      </w:r>
      <w:r>
        <w:t xml:space="preserve">covariate is non-proportional and whether that covariate is of interest. A</w:t>
      </w:r>
      <w:r>
        <w:t xml:space="preserve"> </w:t>
      </w:r>
      <w:r>
        <w:t xml:space="preserve">global test cannot answer either question, so the first change was to write the</w:t>
      </w:r>
      <w:r>
        <w:t xml:space="preserve"> </w:t>
      </w:r>
      <w:r>
        <w:t xml:space="preserve">per-term Schoenfeld tests to</w:t>
      </w:r>
      <w:r>
        <w:t xml:space="preserve"> </w:t>
      </w:r>
      <w:r>
        <w:rPr>
          <w:rStyle w:val="VerbatimChar"/>
        </w:rPr>
        <w:t xml:space="preserve">output/cox_ph_terms.csv</w:t>
      </w:r>
      <w:r>
        <w:t xml:space="preserve">.</w:t>
      </w:r>
    </w:p>
    <w:p>
      <w:pPr>
        <w:pStyle w:val="TableCaption"/>
      </w:pPr>
      <w:r>
        <w:t xml:space="preserve">Per-term Schoenfeld tests for the Cox model.</w:t>
      </w:r>
    </w:p>
    <w:tbl>
      <w:tblPr>
        <w:tblStyle w:val="Table"/>
        <w:tblW w:type="auto" w:w="0"/>
        <w:tblLook w:firstRow="1" w:lastRow="0" w:firstColumn="0" w:lastColumn="0" w:noHBand="0" w:noVBand="0" w:val="0020"/>
        <w:tblCaption w:val="Per-term Schoenfeld tests for the Cox model."/>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chisq</w:t>
            </w:r>
          </w:p>
        </w:tc>
        <w:tc>
          <w:tcPr/>
          <w:p>
            <w:pPr>
              <w:pStyle w:val="Compact"/>
              <w:jc w:val="right"/>
            </w:pPr>
            <w:r>
              <w:t xml:space="preserve">df</w:t>
            </w:r>
          </w:p>
        </w:tc>
        <w:tc>
          <w:tcPr/>
          <w:p>
            <w:pPr>
              <w:pStyle w:val="Compact"/>
              <w:jc w:val="right"/>
            </w:pPr>
            <w:r>
              <w:t xml:space="preserve">p</w:t>
            </w:r>
          </w:p>
        </w:tc>
      </w:tr>
      <w:tr>
        <w:tc>
          <w:tcPr/>
          <w:p>
            <w:pPr>
              <w:pStyle w:val="Compact"/>
              <w:jc w:val="left"/>
            </w:pPr>
            <w:r>
              <w:t xml:space="preserve">is_rct</w:t>
            </w:r>
          </w:p>
        </w:tc>
        <w:tc>
          <w:tcPr/>
          <w:p>
            <w:pPr>
              <w:pStyle w:val="Compact"/>
              <w:jc w:val="right"/>
            </w:pPr>
            <w:r>
              <w:t xml:space="preserve">2.3029</w:t>
            </w:r>
          </w:p>
        </w:tc>
        <w:tc>
          <w:tcPr/>
          <w:p>
            <w:pPr>
              <w:pStyle w:val="Compact"/>
              <w:jc w:val="right"/>
            </w:pPr>
            <w:r>
              <w:t xml:space="preserve">1</w:t>
            </w:r>
          </w:p>
        </w:tc>
        <w:tc>
          <w:tcPr/>
          <w:p>
            <w:pPr>
              <w:pStyle w:val="Compact"/>
              <w:jc w:val="right"/>
            </w:pPr>
            <w:r>
              <w:t xml:space="preserve">0.1291</w:t>
            </w:r>
          </w:p>
        </w:tc>
      </w:tr>
      <w:tr>
        <w:tc>
          <w:tcPr/>
          <w:p>
            <w:pPr>
              <w:pStyle w:val="Compact"/>
              <w:jc w:val="left"/>
            </w:pPr>
            <w:r>
              <w:t xml:space="preserve">is_academic</w:t>
            </w:r>
          </w:p>
        </w:tc>
        <w:tc>
          <w:tcPr/>
          <w:p>
            <w:pPr>
              <w:pStyle w:val="Compact"/>
              <w:jc w:val="right"/>
            </w:pPr>
            <w:r>
              <w:t xml:space="preserve">0.1054</w:t>
            </w:r>
          </w:p>
        </w:tc>
        <w:tc>
          <w:tcPr/>
          <w:p>
            <w:pPr>
              <w:pStyle w:val="Compact"/>
              <w:jc w:val="right"/>
            </w:pPr>
            <w:r>
              <w:t xml:space="preserve">1</w:t>
            </w:r>
          </w:p>
        </w:tc>
        <w:tc>
          <w:tcPr/>
          <w:p>
            <w:pPr>
              <w:pStyle w:val="Compact"/>
              <w:jc w:val="right"/>
            </w:pPr>
            <w:r>
              <w:t xml:space="preserve">0.7454</w:t>
            </w:r>
          </w:p>
        </w:tc>
      </w:tr>
      <w:tr>
        <w:tc>
          <w:tcPr/>
          <w:p>
            <w:pPr>
              <w:pStyle w:val="Compact"/>
              <w:jc w:val="left"/>
            </w:pPr>
            <w:r>
              <w:t xml:space="preserve">is_us_based</w:t>
            </w:r>
          </w:p>
        </w:tc>
        <w:tc>
          <w:tcPr/>
          <w:p>
            <w:pPr>
              <w:pStyle w:val="Compact"/>
              <w:jc w:val="right"/>
            </w:pPr>
            <w:r>
              <w:t xml:space="preserve">0.8733</w:t>
            </w:r>
          </w:p>
        </w:tc>
        <w:tc>
          <w:tcPr/>
          <w:p>
            <w:pPr>
              <w:pStyle w:val="Compact"/>
              <w:jc w:val="right"/>
            </w:pPr>
            <w:r>
              <w:t xml:space="preserve">1</w:t>
            </w:r>
          </w:p>
        </w:tc>
        <w:tc>
          <w:tcPr/>
          <w:p>
            <w:pPr>
              <w:pStyle w:val="Compact"/>
              <w:jc w:val="right"/>
            </w:pPr>
            <w:r>
              <w:t xml:space="preserve">0.3500</w:t>
            </w:r>
          </w:p>
        </w:tc>
      </w:tr>
      <w:tr>
        <w:tc>
          <w:tcPr/>
          <w:p>
            <w:pPr>
              <w:pStyle w:val="Compact"/>
              <w:jc w:val="left"/>
            </w:pPr>
            <w:r>
              <w:t xml:space="preserve">n_authors</w:t>
            </w:r>
          </w:p>
        </w:tc>
        <w:tc>
          <w:tcPr/>
          <w:p>
            <w:pPr>
              <w:pStyle w:val="Compact"/>
              <w:jc w:val="right"/>
            </w:pPr>
            <w:r>
              <w:t xml:space="preserve">9.3913</w:t>
            </w:r>
          </w:p>
        </w:tc>
        <w:tc>
          <w:tcPr/>
          <w:p>
            <w:pPr>
              <w:pStyle w:val="Compact"/>
              <w:jc w:val="right"/>
            </w:pPr>
            <w:r>
              <w:t xml:space="preserve">1</w:t>
            </w:r>
          </w:p>
        </w:tc>
        <w:tc>
          <w:tcPr/>
          <w:p>
            <w:pPr>
              <w:pStyle w:val="Compact"/>
              <w:jc w:val="right"/>
            </w:pPr>
            <w:r>
              <w:t xml:space="preserve">0.0022</w:t>
            </w:r>
          </w:p>
        </w:tc>
      </w:tr>
      <w:tr>
        <w:tc>
          <w:tcPr/>
          <w:p>
            <w:pPr>
              <w:pStyle w:val="Compact"/>
              <w:jc w:val="left"/>
            </w:pPr>
            <w:r>
              <w:t xml:space="preserve">gender_unified</w:t>
            </w:r>
          </w:p>
        </w:tc>
        <w:tc>
          <w:tcPr/>
          <w:p>
            <w:pPr>
              <w:pStyle w:val="Compact"/>
              <w:jc w:val="right"/>
            </w:pPr>
            <w:r>
              <w:t xml:space="preserve">0.0387</w:t>
            </w:r>
          </w:p>
        </w:tc>
        <w:tc>
          <w:tcPr/>
          <w:p>
            <w:pPr>
              <w:pStyle w:val="Compact"/>
              <w:jc w:val="right"/>
            </w:pPr>
            <w:r>
              <w:t xml:space="preserve">1</w:t>
            </w:r>
          </w:p>
        </w:tc>
        <w:tc>
          <w:tcPr/>
          <w:p>
            <w:pPr>
              <w:pStyle w:val="Compact"/>
              <w:jc w:val="right"/>
            </w:pPr>
            <w:r>
              <w:t xml:space="preserve">0.8440</w:t>
            </w:r>
          </w:p>
        </w:tc>
      </w:tr>
      <w:tr>
        <w:tc>
          <w:tcPr/>
          <w:p>
            <w:pPr>
              <w:pStyle w:val="Compact"/>
              <w:jc w:val="left"/>
            </w:pPr>
            <w:r>
              <w:t xml:space="preserve">is_multicenter</w:t>
            </w:r>
          </w:p>
        </w:tc>
        <w:tc>
          <w:tcPr/>
          <w:p>
            <w:pPr>
              <w:pStyle w:val="Compact"/>
              <w:jc w:val="right"/>
            </w:pPr>
            <w:r>
              <w:t xml:space="preserve">0.2859</w:t>
            </w:r>
          </w:p>
        </w:tc>
        <w:tc>
          <w:tcPr/>
          <w:p>
            <w:pPr>
              <w:pStyle w:val="Compact"/>
              <w:jc w:val="right"/>
            </w:pPr>
            <w:r>
              <w:t xml:space="preserve">1</w:t>
            </w:r>
          </w:p>
        </w:tc>
        <w:tc>
          <w:tcPr/>
          <w:p>
            <w:pPr>
              <w:pStyle w:val="Compact"/>
              <w:jc w:val="right"/>
            </w:pPr>
            <w:r>
              <w:t xml:space="preserve">0.5929</w:t>
            </w:r>
          </w:p>
        </w:tc>
      </w:tr>
      <w:tr>
        <w:tc>
          <w:tcPr/>
          <w:p>
            <w:pPr>
              <w:pStyle w:val="Compact"/>
              <w:jc w:val="left"/>
            </w:pPr>
            <w:r>
              <w:t xml:space="preserve">GLOBAL</w:t>
            </w:r>
          </w:p>
        </w:tc>
        <w:tc>
          <w:tcPr/>
          <w:p>
            <w:pPr>
              <w:pStyle w:val="Compact"/>
              <w:jc w:val="right"/>
            </w:pPr>
            <w:r>
              <w:t xml:space="preserve">13.0117</w:t>
            </w:r>
          </w:p>
        </w:tc>
        <w:tc>
          <w:tcPr/>
          <w:p>
            <w:pPr>
              <w:pStyle w:val="Compact"/>
              <w:jc w:val="right"/>
            </w:pPr>
            <w:r>
              <w:t xml:space="preserve">6</w:t>
            </w:r>
          </w:p>
        </w:tc>
        <w:tc>
          <w:tcPr/>
          <w:p>
            <w:pPr>
              <w:pStyle w:val="Compact"/>
              <w:jc w:val="right"/>
            </w:pPr>
            <w:r>
              <w:t xml:space="preserve">0.0429</w:t>
            </w:r>
          </w:p>
        </w:tc>
      </w:tr>
    </w:tbl>
    <w:p>
      <w:pPr>
        <w:pStyle w:val="BodyText"/>
      </w:pPr>
      <w:r>
        <w:t xml:space="preserve">The answer was unambiguous.</w:t>
      </w:r>
      <w:r>
        <w:t xml:space="preserve"> </w:t>
      </w:r>
      <w:r>
        <w:rPr>
          <w:rStyle w:val="VerbatimChar"/>
        </w:rPr>
        <w:t xml:space="preserve">n_authors</w:t>
      </w:r>
      <w:r>
        <w:t xml:space="preserve"> </w:t>
      </w:r>
      <w:r>
        <w:t xml:space="preserve">fails at</w:t>
      </w:r>
      <w:r>
        <w:t xml:space="preserve"> </w:t>
      </w:r>
      <w:r>
        <w:rPr>
          <w:b/>
          <w:bCs/>
        </w:rPr>
        <w:t xml:space="preserve">p = 0.002</w:t>
      </w:r>
      <w:r>
        <w:t xml:space="preserve">; the other five</w:t>
      </w:r>
      <w:r>
        <w:t xml:space="preserve"> </w:t>
      </w:r>
      <w:r>
        <w:t xml:space="preserve">terms fall between p = 0.13 and p = 0.84. Refitting the model without</w:t>
      </w:r>
      <w:r>
        <w:t xml:space="preserve"> </w:t>
      </w:r>
      <w:r>
        <w:rPr>
          <w:rStyle w:val="VerbatimChar"/>
        </w:rPr>
        <w:t xml:space="preserve">n_authors</w:t>
      </w:r>
      <w:r>
        <w:t xml:space="preserve"> </w:t>
      </w:r>
      <w:r>
        <w:t xml:space="preserve">returns the global test to</w:t>
      </w:r>
      <w:r>
        <w:t xml:space="preserve"> </w:t>
      </w:r>
      <w:r>
        <w:rPr>
          <w:b/>
          <w:bCs/>
        </w:rPr>
        <w:t xml:space="preserve">p = 0.497</w:t>
      </w:r>
      <w:r>
        <w:t xml:space="preserve">, confirming that the whole</w:t>
      </w:r>
      <w:r>
        <w:t xml:space="preserve"> </w:t>
      </w:r>
      <w:r>
        <w:t xml:space="preserve">of the global violation is that one term. Its Schoenfeld residuals correlate</w:t>
      </w:r>
      <w:r>
        <w:t xml:space="preserve"> </w:t>
      </w:r>
      <w:r>
        <w:t xml:space="preserve">positively with time (Spearman ρ = +0.256), so the effect grows over follow-up</w:t>
      </w:r>
      <w:r>
        <w:t xml:space="preserve"> </w:t>
      </w:r>
      <w:r>
        <w:t xml:space="preserve">rather than being constant.</w:t>
      </w:r>
    </w:p>
    <w:bookmarkEnd w:id="198"/>
    <w:bookmarkStart w:id="199" w:name="a16.2-the-choice-and-the-reason-for-it"/>
    <w:p>
      <w:pPr>
        <w:pStyle w:val="Heading3"/>
      </w:pPr>
      <w:r>
        <w:t xml:space="preserve">A16.2 The choice, and the reason for it</w:t>
      </w:r>
    </w:p>
    <w:p>
      <w:pPr>
        <w:pStyle w:val="FirstParagraph"/>
      </w:pPr>
      <w:r>
        <w:t xml:space="preserve">All three remedies were fitted before one was chosen.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option</w:t>
            </w:r>
          </w:p>
        </w:tc>
        <w:tc>
          <w:tcPr/>
          <w:p>
            <w:pPr>
              <w:pStyle w:val="Compact"/>
              <w:jc w:val="right"/>
            </w:pPr>
            <w:r>
              <w:t xml:space="preserve">global p after</w:t>
            </w:r>
          </w:p>
        </w:tc>
        <w:tc>
          <w:tcPr/>
          <w:p>
            <w:pPr>
              <w:pStyle w:val="Compact"/>
            </w:pPr>
            <w:r>
              <w:t xml:space="preserve">why it was or was not chosen</w:t>
            </w:r>
          </w:p>
        </w:tc>
      </w:tr>
      <w:tr>
        <w:tc>
          <w:tcPr/>
          <w:p>
            <w:pPr>
              <w:pStyle w:val="Compact"/>
            </w:pPr>
            <w:r>
              <w:t xml:space="preserve">Report as averages over follow-up</w:t>
            </w:r>
          </w:p>
        </w:tc>
        <w:tc>
          <w:tcPr/>
          <w:p>
            <w:pPr>
              <w:pStyle w:val="Compact"/>
              <w:jc w:val="right"/>
            </w:pPr>
            <w:r>
              <w:t xml:space="preserve">0.043</w:t>
            </w:r>
          </w:p>
        </w:tc>
        <w:tc>
          <w:tcPr/>
          <w:p>
            <w:pPr>
              <w:pStyle w:val="Compact"/>
            </w:pPr>
            <w:r>
              <w:t xml:space="preserve">Names the problem without measuring it. The</w:t>
            </w:r>
            <w:r>
              <w:t xml:space="preserve"> </w:t>
            </w:r>
            <w:r>
              <w:rPr>
                <w:rStyle w:val="VerbatimChar"/>
              </w:rPr>
              <w:t xml:space="preserve">n_authors</w:t>
            </w:r>
            <w:r>
              <w:t xml:space="preserve"> </w:t>
            </w:r>
            <w:r>
              <w:t xml:space="preserve">row would still read as a constant to anyone quoting the table.</w:t>
            </w:r>
          </w:p>
        </w:tc>
      </w:tr>
      <w:tr>
        <w:tc>
          <w:tcPr/>
          <w:p>
            <w:pPr>
              <w:pStyle w:val="Compact"/>
            </w:pPr>
            <w:r>
              <w:t xml:space="preserve">Stratify on</w:t>
            </w:r>
            <w:r>
              <w:t xml:space="preserve"> </w:t>
            </w:r>
            <w:r>
              <w:rPr>
                <w:rStyle w:val="VerbatimChar"/>
              </w:rPr>
              <w:t xml:space="preserve">n_authors</w:t>
            </w:r>
          </w:p>
        </w:tc>
        <w:tc>
          <w:tcPr/>
          <w:p>
            <w:pPr>
              <w:pStyle w:val="Compact"/>
              <w:jc w:val="right"/>
            </w:pPr>
            <w:r>
              <w:t xml:space="preserve">0.688</w:t>
            </w:r>
          </w:p>
        </w:tc>
        <w:tc>
          <w:tcPr/>
          <w:p>
            <w:pPr>
              <w:pStyle w:val="Compact"/>
            </w:pPr>
            <w:r>
              <w:t xml:space="preserve">Restores the assumption, but</w:t>
            </w:r>
            <w:r>
              <w:t xml:space="preserve"> </w:t>
            </w:r>
            <w:r>
              <w:rPr>
                <w:b/>
                <w:bCs/>
              </w:rPr>
              <w:t xml:space="preserve">discards the estimate</w:t>
            </w:r>
            <w:r>
              <w:t xml:space="preserve">.</w:t>
            </w:r>
            <w:r>
              <w:t xml:space="preserve"> </w:t>
            </w:r>
            <w:r>
              <w:rPr>
                <w:rStyle w:val="VerbatimChar"/>
              </w:rPr>
              <w:t xml:space="preserve">n_authors</w:t>
            </w:r>
            <w:r>
              <w:t xml:space="preserve"> </w:t>
            </w:r>
            <w:r>
              <w:t xml:space="preserve">is retained in 97.2% of 500 bootstrap refits (A15.7) — one of only two robust predictors. This trades a finding for a diagnostic.</w:t>
            </w:r>
          </w:p>
        </w:tc>
      </w:tr>
      <w:tr>
        <w:tc>
          <w:tcPr/>
          <w:p>
            <w:pPr>
              <w:pStyle w:val="Compact"/>
            </w:pPr>
            <w:r>
              <w:rPr>
                <w:b/>
                <w:bCs/>
              </w:rPr>
              <w:t xml:space="preserve">Time-varying coefficient</w:t>
            </w:r>
          </w:p>
        </w:tc>
        <w:tc>
          <w:tcPr/>
          <w:p>
            <w:pPr>
              <w:pStyle w:val="Compact"/>
              <w:jc w:val="right"/>
            </w:pPr>
            <w:r>
              <w:t xml:space="preserve">—</w:t>
            </w:r>
          </w:p>
        </w:tc>
        <w:tc>
          <w:tcPr/>
          <w:p>
            <w:pPr>
              <w:pStyle w:val="Compact"/>
            </w:pPr>
            <w:r>
              <w:t xml:space="preserve">Chosen. Keeps the term and estimates its drift. AIC 2276.2 against 2284.1; the log-time interaction is significant at p = 0.002.</w:t>
            </w:r>
          </w:p>
        </w:tc>
      </w:tr>
    </w:tbl>
    <w:p>
      <w:pPr>
        <w:pStyle w:val="BodyText"/>
      </w:pPr>
      <w:r>
        <w:t xml:space="preserve">The interaction is</w:t>
      </w:r>
      <w:r>
        <w:t xml:space="preserve"> </w:t>
      </w:r>
      <w:r>
        <w:rPr>
          <w:rStyle w:val="VerbatimChar"/>
        </w:rPr>
        <w:t xml:space="preserve">x * log(t)</w:t>
      </w:r>
      <w:r>
        <w:t xml:space="preserve">. That form was not chosen for convenience: it is</w:t>
      </w:r>
      <w:r>
        <w:t xml:space="preserve"> </w:t>
      </w:r>
      <w:r>
        <w:t xml:space="preserve">the transform</w:t>
      </w:r>
      <w:r>
        <w:t xml:space="preserve"> </w:t>
      </w:r>
      <w:r>
        <w:rPr>
          <w:rStyle w:val="VerbatimChar"/>
        </w:rPr>
        <w:t xml:space="preserve">cox.zph</w:t>
      </w:r>
      <w:r>
        <w:t xml:space="preserve"> </w:t>
      </w:r>
      <w:r>
        <w:t xml:space="preserve">plots the residuals against by default, so the remedy</w:t>
      </w:r>
      <w:r>
        <w:t xml:space="preserve"> </w:t>
      </w:r>
      <w:r>
        <w:t xml:space="preserve">tests the same alternative the diagnostic raised rather than a different one</w:t>
      </w:r>
      <w:r>
        <w:t xml:space="preserve"> </w:t>
      </w:r>
      <w:r>
        <w:t xml:space="preserve">selected after seeing the result.</w:t>
      </w:r>
    </w:p>
    <w:p>
      <w:pPr>
        <w:pStyle w:val="BodyText"/>
      </w:pPr>
      <w:r>
        <w:t xml:space="preserve">The stratified fit is not discarded — it is retained as the sensitivity analysis</w:t>
      </w:r>
      <w:r>
        <w:t xml:space="preserve"> </w:t>
      </w:r>
      <w:r>
        <w:t xml:space="preserve">for the five covariates that did</w:t>
      </w:r>
      <w:r>
        <w:t xml:space="preserve"> </w:t>
      </w:r>
      <w:r>
        <w:rPr>
          <w:i/>
          <w:iCs/>
        </w:rPr>
        <w:t xml:space="preserve">not</w:t>
      </w:r>
      <w:r>
        <w:t xml:space="preserve"> </w:t>
      </w:r>
      <w:r>
        <w:t xml:space="preserve">violate, written to</w:t>
      </w:r>
      <w:r>
        <w:t xml:space="preserve"> </w:t>
      </w:r>
      <w:r>
        <w:rPr>
          <w:rStyle w:val="VerbatimChar"/>
        </w:rPr>
        <w:t xml:space="preserve">output/aim2b_cox_regression_stratified.csv</w:t>
      </w:r>
      <w:r>
        <w:t xml:space="preserve">. Their hazard ratios are all within</w:t>
      </w:r>
      <w:r>
        <w:t xml:space="preserve"> </w:t>
      </w:r>
      <w:r>
        <w:t xml:space="preserve">2% of the primary fit, so none of the reported effects depends on how</w:t>
      </w:r>
      <w:r>
        <w:t xml:space="preserve"> </w:t>
      </w:r>
      <w:r>
        <w:rPr>
          <w:rStyle w:val="VerbatimChar"/>
        </w:rPr>
        <w:t xml:space="preserve">n_authors</w:t>
      </w:r>
      <w:r>
        <w:t xml:space="preserve"> </w:t>
      </w:r>
      <w:r>
        <w:t xml:space="preserve">was handled.</w:t>
      </w:r>
      <w:r>
        <w:t xml:space="preserve"> </w:t>
      </w:r>
      <w:r>
        <w:rPr>
          <w:rStyle w:val="VerbatimChar"/>
        </w:rPr>
        <w:t xml:space="preserve">tests/testthat/test-pipeline_semantics.R</w:t>
      </w:r>
      <w:r>
        <w:t xml:space="preserve"> </w:t>
      </w:r>
      <w:r>
        <w:t xml:space="preserve">now enforces</w:t>
      </w:r>
      <w:r>
        <w:t xml:space="preserve"> </w:t>
      </w:r>
      <w:r>
        <w:t xml:space="preserve">that as a contract at a 15% tolerance.</w:t>
      </w:r>
    </w:p>
    <w:bookmarkEnd w:id="199"/>
    <w:bookmarkStart w:id="203" w:name="Xa3f3ba6fa57b2915a9ae0214fea68193d244f01"/>
    <w:p>
      <w:pPr>
        <w:pStyle w:val="Heading3"/>
      </w:pPr>
      <w:r>
        <w:t xml:space="preserve">A16.3 What the constant hazard ratio was concealing</w:t>
      </w:r>
    </w:p>
    <w:p>
      <w:pPr>
        <w:pStyle w:val="TableCaption"/>
      </w:pPr>
      <w:r>
        <w:t xml:space="preserve">Hazard ratio per additional author, by follow-up time.</w:t>
      </w:r>
    </w:p>
    <w:tbl>
      <w:tblPr>
        <w:tblStyle w:val="Table"/>
        <w:tblW w:type="auto" w:w="0"/>
        <w:tblLook w:firstRow="1" w:lastRow="0" w:firstColumn="0" w:lastColumn="0" w:noHBand="0" w:noVBand="0" w:val="0020"/>
        <w:tblCaption w:val="Hazard ratio per additional author, by follow-up tim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right"/>
            </w:pPr>
            <w:r>
              <w:t xml:space="preserve">months</w:t>
            </w:r>
          </w:p>
        </w:tc>
        <w:tc>
          <w:tcPr/>
          <w:p>
            <w:pPr>
              <w:pStyle w:val="Compact"/>
              <w:jc w:val="right"/>
            </w:pPr>
            <w:r>
              <w:t xml:space="preserve">hazard_ratio</w:t>
            </w:r>
          </w:p>
        </w:tc>
        <w:tc>
          <w:tcPr/>
          <w:p>
            <w:pPr>
              <w:pStyle w:val="Compact"/>
              <w:jc w:val="right"/>
            </w:pPr>
            <w:r>
              <w:t xml:space="preserve">conf_low</w:t>
            </w:r>
          </w:p>
        </w:tc>
        <w:tc>
          <w:tcPr/>
          <w:p>
            <w:pPr>
              <w:pStyle w:val="Compact"/>
              <w:jc w:val="right"/>
            </w:pPr>
            <w:r>
              <w:t xml:space="preserve">conf_high</w:t>
            </w:r>
          </w:p>
        </w:tc>
      </w:tr>
      <w:tr>
        <w:tc>
          <w:tcPr/>
          <w:p>
            <w:pPr>
              <w:pStyle w:val="Compact"/>
              <w:jc w:val="left"/>
            </w:pPr>
            <w:r>
              <w:t xml:space="preserve">n_authors</w:t>
            </w:r>
          </w:p>
        </w:tc>
        <w:tc>
          <w:tcPr/>
          <w:p>
            <w:pPr>
              <w:pStyle w:val="Compact"/>
              <w:jc w:val="right"/>
            </w:pPr>
            <w:r>
              <w:t xml:space="preserve">3</w:t>
            </w:r>
          </w:p>
        </w:tc>
        <w:tc>
          <w:tcPr/>
          <w:p>
            <w:pPr>
              <w:pStyle w:val="Compact"/>
              <w:jc w:val="right"/>
            </w:pPr>
            <w:r>
              <w:t xml:space="preserve">1.007</w:t>
            </w:r>
          </w:p>
        </w:tc>
        <w:tc>
          <w:tcPr/>
          <w:p>
            <w:pPr>
              <w:pStyle w:val="Compact"/>
              <w:jc w:val="right"/>
            </w:pPr>
            <w:r>
              <w:t xml:space="preserve">0.837</w:t>
            </w:r>
          </w:p>
        </w:tc>
        <w:tc>
          <w:tcPr/>
          <w:p>
            <w:pPr>
              <w:pStyle w:val="Compact"/>
              <w:jc w:val="right"/>
            </w:pPr>
            <w:r>
              <w:t xml:space="preserve">1.212</w:t>
            </w:r>
          </w:p>
        </w:tc>
      </w:tr>
      <w:tr>
        <w:tc>
          <w:tcPr/>
          <w:p>
            <w:pPr>
              <w:pStyle w:val="Compact"/>
              <w:jc w:val="left"/>
            </w:pPr>
            <w:r>
              <w:t xml:space="preserve">n_authors</w:t>
            </w:r>
          </w:p>
        </w:tc>
        <w:tc>
          <w:tcPr/>
          <w:p>
            <w:pPr>
              <w:pStyle w:val="Compact"/>
              <w:jc w:val="right"/>
            </w:pPr>
            <w:r>
              <w:t xml:space="preserve">6</w:t>
            </w:r>
          </w:p>
        </w:tc>
        <w:tc>
          <w:tcPr/>
          <w:p>
            <w:pPr>
              <w:pStyle w:val="Compact"/>
              <w:jc w:val="right"/>
            </w:pPr>
            <w:r>
              <w:t xml:space="preserve">1.154</w:t>
            </w:r>
          </w:p>
        </w:tc>
        <w:tc>
          <w:tcPr/>
          <w:p>
            <w:pPr>
              <w:pStyle w:val="Compact"/>
              <w:jc w:val="right"/>
            </w:pPr>
            <w:r>
              <w:t xml:space="preserve">0.997</w:t>
            </w:r>
          </w:p>
        </w:tc>
        <w:tc>
          <w:tcPr/>
          <w:p>
            <w:pPr>
              <w:pStyle w:val="Compact"/>
              <w:jc w:val="right"/>
            </w:pPr>
            <w:r>
              <w:t xml:space="preserve">1.334</w:t>
            </w:r>
          </w:p>
        </w:tc>
      </w:tr>
      <w:tr>
        <w:tc>
          <w:tcPr/>
          <w:p>
            <w:pPr>
              <w:pStyle w:val="Compact"/>
              <w:jc w:val="left"/>
            </w:pPr>
            <w:r>
              <w:t xml:space="preserve">n_authors</w:t>
            </w:r>
          </w:p>
        </w:tc>
        <w:tc>
          <w:tcPr/>
          <w:p>
            <w:pPr>
              <w:pStyle w:val="Compact"/>
              <w:jc w:val="right"/>
            </w:pPr>
            <w:r>
              <w:t xml:space="preserve">12</w:t>
            </w:r>
          </w:p>
        </w:tc>
        <w:tc>
          <w:tcPr/>
          <w:p>
            <w:pPr>
              <w:pStyle w:val="Compact"/>
              <w:jc w:val="right"/>
            </w:pPr>
            <w:r>
              <w:t xml:space="preserve">1.322</w:t>
            </w:r>
          </w:p>
        </w:tc>
        <w:tc>
          <w:tcPr/>
          <w:p>
            <w:pPr>
              <w:pStyle w:val="Compact"/>
              <w:jc w:val="right"/>
            </w:pPr>
            <w:r>
              <w:t xml:space="preserve">1.138</w:t>
            </w:r>
          </w:p>
        </w:tc>
        <w:tc>
          <w:tcPr/>
          <w:p>
            <w:pPr>
              <w:pStyle w:val="Compact"/>
              <w:jc w:val="right"/>
            </w:pPr>
            <w:r>
              <w:t xml:space="preserve">1.535</w:t>
            </w:r>
          </w:p>
        </w:tc>
      </w:tr>
      <w:tr>
        <w:tc>
          <w:tcPr/>
          <w:p>
            <w:pPr>
              <w:pStyle w:val="Compact"/>
              <w:jc w:val="left"/>
            </w:pPr>
            <w:r>
              <w:t xml:space="preserve">n_authors</w:t>
            </w:r>
          </w:p>
        </w:tc>
        <w:tc>
          <w:tcPr/>
          <w:p>
            <w:pPr>
              <w:pStyle w:val="Compact"/>
              <w:jc w:val="right"/>
            </w:pPr>
            <w:r>
              <w:t xml:space="preserve">24</w:t>
            </w:r>
          </w:p>
        </w:tc>
        <w:tc>
          <w:tcPr/>
          <w:p>
            <w:pPr>
              <w:pStyle w:val="Compact"/>
              <w:jc w:val="right"/>
            </w:pPr>
            <w:r>
              <w:t xml:space="preserve">1.514</w:t>
            </w:r>
          </w:p>
        </w:tc>
        <w:tc>
          <w:tcPr/>
          <w:p>
            <w:pPr>
              <w:pStyle w:val="Compact"/>
              <w:jc w:val="right"/>
            </w:pPr>
            <w:r>
              <w:t xml:space="preserve">1.246</w:t>
            </w:r>
          </w:p>
        </w:tc>
        <w:tc>
          <w:tcPr/>
          <w:p>
            <w:pPr>
              <w:pStyle w:val="Compact"/>
              <w:jc w:val="right"/>
            </w:pPr>
            <w:r>
              <w:t xml:space="preserve">1.840</w:t>
            </w:r>
          </w:p>
        </w:tc>
      </w:tr>
      <w:tr>
        <w:tc>
          <w:tcPr/>
          <w:p>
            <w:pPr>
              <w:pStyle w:val="Compact"/>
              <w:jc w:val="left"/>
            </w:pPr>
            <w:r>
              <w:t xml:space="preserve">n_authors</w:t>
            </w:r>
          </w:p>
        </w:tc>
        <w:tc>
          <w:tcPr/>
          <w:p>
            <w:pPr>
              <w:pStyle w:val="Compact"/>
              <w:jc w:val="right"/>
            </w:pPr>
            <w:r>
              <w:t xml:space="preserve">36</w:t>
            </w:r>
          </w:p>
        </w:tc>
        <w:tc>
          <w:tcPr/>
          <w:p>
            <w:pPr>
              <w:pStyle w:val="Compact"/>
              <w:jc w:val="right"/>
            </w:pPr>
            <w:r>
              <w:t xml:space="preserve">1.640</w:t>
            </w:r>
          </w:p>
        </w:tc>
        <w:tc>
          <w:tcPr/>
          <w:p>
            <w:pPr>
              <w:pStyle w:val="Compact"/>
              <w:jc w:val="right"/>
            </w:pPr>
            <w:r>
              <w:t xml:space="preserve">1.301</w:t>
            </w:r>
          </w:p>
        </w:tc>
        <w:tc>
          <w:tcPr/>
          <w:p>
            <w:pPr>
              <w:pStyle w:val="Compact"/>
              <w:jc w:val="right"/>
            </w:pPr>
            <w:r>
              <w:t xml:space="preserve">2.067</w:t>
            </w:r>
          </w:p>
        </w:tc>
      </w:tr>
      <w:tr>
        <w:tc>
          <w:tcPr/>
          <w:p>
            <w:pPr>
              <w:pStyle w:val="Compact"/>
              <w:jc w:val="left"/>
            </w:pPr>
            <w:r>
              <w:t xml:space="preserve">n_authors</w:t>
            </w:r>
          </w:p>
        </w:tc>
        <w:tc>
          <w:tcPr/>
          <w:p>
            <w:pPr>
              <w:pStyle w:val="Compact"/>
              <w:jc w:val="right"/>
            </w:pPr>
            <w:r>
              <w:t xml:space="preserve">48</w:t>
            </w:r>
          </w:p>
        </w:tc>
        <w:tc>
          <w:tcPr/>
          <w:p>
            <w:pPr>
              <w:pStyle w:val="Compact"/>
              <w:jc w:val="right"/>
            </w:pPr>
            <w:r>
              <w:t xml:space="preserve">1.735</w:t>
            </w:r>
          </w:p>
        </w:tc>
        <w:tc>
          <w:tcPr/>
          <w:p>
            <w:pPr>
              <w:pStyle w:val="Compact"/>
              <w:jc w:val="right"/>
            </w:pPr>
            <w:r>
              <w:t xml:space="preserve">1.337</w:t>
            </w:r>
          </w:p>
        </w:tc>
        <w:tc>
          <w:tcPr/>
          <w:p>
            <w:pPr>
              <w:pStyle w:val="Compact"/>
              <w:jc w:val="right"/>
            </w:pPr>
            <w:r>
              <w:t xml:space="preserve">2.251</w:t>
            </w:r>
          </w:p>
        </w:tc>
      </w:tr>
    </w:tbl>
    <w:p>
      <w:pPr>
        <w:pStyle w:val="BodyText"/>
      </w:pPr>
      <w:r>
        <w:t xml:space="preserve">The main model reports HR 1.257 per additional author. Time-resolved, that is</w:t>
      </w:r>
      <w:r>
        <w:t xml:space="preserve"> </w:t>
      </w:r>
      <w:r>
        <w:t xml:space="preserve">1.01 (0.84–1.21) at three months and 1.51 (1.25–1.84) at two years. The single</w:t>
      </w:r>
      <w:r>
        <w:t xml:space="preserve"> </w:t>
      </w:r>
      <w:r>
        <w:t xml:space="preserve">estimate was averaging a null early period against a substantial later one.</w:t>
      </w:r>
    </w:p>
    <w:p>
      <w:pPr>
        <w:pStyle w:val="BodyText"/>
      </w:pPr>
      <w:r>
        <w:t xml:space="preserve">Substantively this is a claim about persistence rather than speed. Larger teams</w:t>
      </w:r>
      <w:r>
        <w:t xml:space="preserve"> </w:t>
      </w:r>
      <w:r>
        <w:t xml:space="preserve">are not faster to first publication; they are the ones still converting</w:t>
      </w:r>
      <w:r>
        <w:t xml:space="preserve"> </w:t>
      </w:r>
      <w:r>
        <w:t xml:space="preserve">abstracts into papers years after the congress, while small-team abstracts stop</w:t>
      </w:r>
      <w:r>
        <w:t xml:space="preserve"> </w:t>
      </w:r>
      <w:r>
        <w:t xml:space="preserve">progressing. Reported as a constant 1.26, the effect was misleading in both</w:t>
      </w:r>
      <w:r>
        <w:t xml:space="preserve"> </w:t>
      </w:r>
      <w:r>
        <w:t xml:space="preserve">directions at once — overstated in the first six months and understated after</w:t>
      </w:r>
      <w:r>
        <w:t xml:space="preserve"> </w:t>
      </w:r>
      <w:r>
        <w:t xml:space="preserve">two years.</w:t>
      </w:r>
    </w:p>
    <w:p>
      <w:pPr>
        <w:pStyle w:val="BodyText"/>
      </w:pPr>
      <w:r>
        <w:drawing>
          <wp:inline>
            <wp:extent cx="5334000" cy="3067049"/>
            <wp:effectExtent b="0" l="0" r="0" t="0"/>
            <wp:docPr descr="" title="" id="201" name="Picture"/>
            <a:graphic>
              <a:graphicData uri="http://schemas.openxmlformats.org/drawingml/2006/picture">
                <pic:pic>
                  <pic:nvPicPr>
                    <pic:cNvPr descr="technical_appendix_files/c672ae73feaf9d5f60d6afc4f537df944f4b3d22.png" id="202" name="Picture"/>
                    <pic:cNvPicPr>
                      <a:picLocks noChangeArrowheads="1" noChangeAspect="1"/>
                    </pic:cNvPicPr>
                  </pic:nvPicPr>
                  <pic:blipFill>
                    <a:blip r:embed="rId200"/>
                    <a:stretch>
                      <a:fillRect/>
                    </a:stretch>
                  </pic:blipFill>
                  <pic:spPr bwMode="auto">
                    <a:xfrm>
                      <a:off x="0" y="0"/>
                      <a:ext cx="5334000" cy="3067049"/>
                    </a:xfrm>
                    <a:prstGeom prst="rect">
                      <a:avLst/>
                    </a:prstGeom>
                    <a:noFill/>
                    <a:ln w="9525">
                      <a:noFill/>
                      <a:headEnd/>
                      <a:tailEnd/>
                    </a:ln>
                  </pic:spPr>
                </pic:pic>
              </a:graphicData>
            </a:graphic>
          </wp:inline>
        </w:drawing>
      </w:r>
    </w:p>
    <w:bookmarkEnd w:id="203"/>
    <w:bookmarkStart w:id="204" w:name="a16.4-the-limitation-that-remains"/>
    <w:p>
      <w:pPr>
        <w:pStyle w:val="Heading3"/>
      </w:pPr>
      <w:r>
        <w:t xml:space="preserve">A16.4 The limitation that remains</w:t>
      </w:r>
    </w:p>
    <w:p>
      <w:pPr>
        <w:pStyle w:val="FirstParagraph"/>
      </w:pPr>
      <w:r>
        <w:rPr>
          <w:rStyle w:val="VerbatimChar"/>
        </w:rPr>
        <w:t xml:space="preserve">n_authors</w:t>
      </w:r>
      <w:r>
        <w:t xml:space="preserve"> </w:t>
      </w:r>
      <w:r>
        <w:t xml:space="preserve">is</w:t>
      </w:r>
      <w:r>
        <w:t xml:space="preserve"> </w:t>
      </w:r>
      <w:r>
        <w:rPr>
          <w:b/>
          <w:bCs/>
        </w:rPr>
        <w:t xml:space="preserve">censored at 5</w:t>
      </w:r>
      <w:r>
        <w:t xml:space="preserve">: 489 of the 1,005 abstracts in the model frame</w:t>
      </w:r>
      <w:r>
        <w:t xml:space="preserve"> </w:t>
      </w:r>
      <w:r>
        <w:t xml:space="preserve">(48.7%) sit at that ceiling, an artefact of the ScienceDirect ingest recording</w:t>
      </w:r>
      <w:r>
        <w:t xml:space="preserve"> </w:t>
      </w:r>
      <w:r>
        <w:t xml:space="preserve">at most five authors. A ceiling of this size compresses the covariate and biases</w:t>
      </w:r>
      <w:r>
        <w:t xml:space="preserve"> </w:t>
      </w:r>
      <w:r>
        <w:t xml:space="preserve">the per-author effect toward the null; it does not manufacture time dependence.</w:t>
      </w:r>
      <w:r>
        <w:t xml:space="preserve"> </w:t>
      </w:r>
      <w:r>
        <w:t xml:space="preserve">So the</w:t>
      </w:r>
      <w:r>
        <w:t xml:space="preserve"> </w:t>
      </w:r>
      <w:r>
        <w:rPr>
          <w:i/>
          <w:iCs/>
        </w:rPr>
        <w:t xml:space="preserve">shape</w:t>
      </w:r>
      <w:r>
        <w:t xml:space="preserve"> </w:t>
      </w:r>
      <w:r>
        <w:t xml:space="preserve">in A16.3 is trustworthy and the</w:t>
      </w:r>
      <w:r>
        <w:t xml:space="preserve"> </w:t>
      </w:r>
      <w:r>
        <w:rPr>
          <w:i/>
          <w:iCs/>
        </w:rPr>
        <w:t xml:space="preserve">magnitude</w:t>
      </w:r>
      <w:r>
        <w:t xml:space="preserve"> </w:t>
      </w:r>
      <w:r>
        <w:t xml:space="preserve">is a lower bound on</w:t>
      </w:r>
      <w:r>
        <w:t xml:space="preserve"> </w:t>
      </w:r>
      <w:r>
        <w:t xml:space="preserve">whatever the effect would be with complete author counts. It should not be</w:t>
      </w:r>
      <w:r>
        <w:t xml:space="preserve"> </w:t>
      </w:r>
      <w:r>
        <w:t xml:space="preserve">quoted as a per-author effect without that qualification.</w:t>
      </w:r>
    </w:p>
    <w:bookmarkEnd w:id="204"/>
    <w:bookmarkStart w:id="205" w:name="Xace32af95fe65f93e865486e6ca3fc1e1985341"/>
    <w:p>
      <w:pPr>
        <w:pStyle w:val="Heading3"/>
      </w:pPr>
      <w:r>
        <w:t xml:space="preserve">A16.5 Two unrelated defects found while doing this</w:t>
      </w:r>
    </w:p>
    <w:p>
      <w:pPr>
        <w:pStyle w:val="FirstParagraph"/>
      </w:pPr>
      <w:r>
        <w:rPr>
          <w:b/>
          <w:bCs/>
        </w:rPr>
        <w:t xml:space="preserve">The Results paragraph asserted a diagnostic it had not run.</w:t>
      </w:r>
      <w:r>
        <w:t xml:space="preserve"> </w:t>
      </w:r>
      <w:r>
        <w:rPr>
          <w:rStyle w:val="VerbatimChar"/>
        </w:rPr>
        <w:t xml:space="preserve">docs/abstract_results_section.Rmd</w:t>
      </w:r>
      <w:r>
        <w:t xml:space="preserve"> </w:t>
      </w:r>
      <w:r>
        <w:t xml:space="preserve">opened with</w:t>
      </w:r>
      <w:r>
        <w:t xml:space="preserve"> </w:t>
      </w:r>
      <w:r>
        <w:t xml:space="preserve">“In multivariable Cox</w:t>
      </w:r>
      <w:r>
        <w:t xml:space="preserve"> </w:t>
      </w:r>
      <w:r>
        <w:t xml:space="preserve">proportional hazards analysis (proportional hazards assumption met, global</w:t>
      </w:r>
      <w:r>
        <w:t xml:space="preserve"> </w:t>
      </w:r>
      <w:r>
        <w:t xml:space="preserve">p=</w:t>
      </w:r>
      <w:r>
        <w:rPr>
          <w:rStyle w:val="VerbatimChar"/>
        </w:rPr>
        <w:t xml:space="preserve">r ph_global_p</w:t>
      </w:r>
      <w:r>
        <w:t xml:space="preserve">)”</w:t>
      </w:r>
      <w:r>
        <w:t xml:space="preserve"> </w:t>
      </w:r>
      <w:r>
        <w:t xml:space="preserve">— the parenthetical interpolated the</w:t>
      </w:r>
      <w:r>
        <w:t xml:space="preserve"> </w:t>
      </w:r>
      <w:r>
        <w:t xml:space="preserve">live p-value while the surrounding prose asserted the opposite conclusion. The</w:t>
      </w:r>
      <w:r>
        <w:t xml:space="preserve"> </w:t>
      </w:r>
      <w:r>
        <w:t xml:space="preserve">same sentence named US-based affiliation as</w:t>
      </w:r>
      <w:r>
        <w:t xml:space="preserve"> </w:t>
      </w:r>
      <w:r>
        <w:t xml:space="preserve">“the only significant predictor”</w:t>
      </w:r>
      <w:r>
        <w:t xml:space="preserve">,</w:t>
      </w:r>
      <w:r>
        <w:t xml:space="preserve"> </w:t>
      </w:r>
      <w:r>
        <w:t xml:space="preserve">which the current model contradicts on both counts: US-based is not significant</w:t>
      </w:r>
      <w:r>
        <w:t xml:space="preserve"> </w:t>
      </w:r>
      <w:r>
        <w:t xml:space="preserve">(p = 0.156), and randomized design, academic affiliation and author count are.</w:t>
      </w:r>
      <w:r>
        <w:t xml:space="preserve"> </w:t>
      </w:r>
      <w:r>
        <w:t xml:space="preserve">The paragraph also rendered</w:t>
      </w:r>
      <w:r>
        <w:t xml:space="preserve"> </w:t>
      </w:r>
      <w:r>
        <w:t xml:space="preserve">“was associated with higher odds of publication”</w:t>
      </w:r>
      <w:r>
        <w:t xml:space="preserve"> </w:t>
      </w:r>
      <w:r>
        <w:t xml:space="preserve">over a p-value of 0.083. It now derives the predictor list, the PH wording and</w:t>
      </w:r>
      <w:r>
        <w:t xml:space="preserve"> </w:t>
      </w:r>
      <w:r>
        <w:t xml:space="preserve">the significance verb from the fitted model.</w:t>
      </w:r>
    </w:p>
    <w:p>
      <w:pPr>
        <w:pStyle w:val="BodyText"/>
      </w:pPr>
      <w:r>
        <w:rPr>
          <w:b/>
          <w:bCs/>
        </w:rPr>
        <w:t xml:space="preserve">The appendix’s own Cox formula was internally inconsistent.</w:t>
      </w:r>
      <w:r>
        <w:t xml:space="preserve"> </w:t>
      </w:r>
      <w:r>
        <w:rPr>
          <w:rStyle w:val="VerbatimChar"/>
        </w:rPr>
        <w:t xml:space="preserve">docs/STATISTICAL_ANALYSIS.md</w:t>
      </w:r>
      <w:r>
        <w:t xml:space="preserve"> </w:t>
      </w:r>
      <w:r>
        <w:t xml:space="preserve">printed a formula including</w:t>
      </w:r>
      <w:r>
        <w:t xml:space="preserve"> </w:t>
      </w:r>
      <w:r>
        <w:rPr>
          <w:rStyle w:val="VerbatimChar"/>
        </w:rPr>
        <w:t xml:space="preserve">has_funding</w:t>
      </w:r>
      <w:r>
        <w:t xml:space="preserve"> </w:t>
      </w:r>
      <w:r>
        <w:t xml:space="preserve">two</w:t>
      </w:r>
      <w:r>
        <w:t xml:space="preserve"> </w:t>
      </w:r>
      <w:r>
        <w:t xml:space="preserve">sections after its variable-screen table recorded</w:t>
      </w:r>
      <w:r>
        <w:t xml:space="preserve"> </w:t>
      </w:r>
      <w:r>
        <w:rPr>
          <w:rStyle w:val="VerbatimChar"/>
        </w:rPr>
        <w:t xml:space="preserve">has_funding</w:t>
      </w:r>
      <w:r>
        <w:t xml:space="preserve"> </w:t>
      </w:r>
      <w:r>
        <w:t xml:space="preserve">as removed by</w:t>
      </w:r>
      <w:r>
        <w:t xml:space="preserve"> </w:t>
      </w:r>
      <w:r>
        <w:t xml:space="preserve">the near-zero-variance rule. The formula shown is now read back from</w:t>
      </w:r>
      <w:r>
        <w:t xml:space="preserve"> </w:t>
      </w:r>
      <w:r>
        <w:rPr>
          <w:rStyle w:val="VerbatimChar"/>
        </w:rPr>
        <w:t xml:space="preserve">data/processed/cox_model.rds</w:t>
      </w:r>
      <w:r>
        <w:t xml:space="preserve">.</w:t>
      </w:r>
    </w:p>
    <w:p>
      <w:pPr>
        <w:pStyle w:val="BodyText"/>
      </w:pPr>
      <w:r>
        <w:t xml:space="preserve">Both are the same failure mode: prose that was true when written and was not</w:t>
      </w:r>
      <w:r>
        <w:t xml:space="preserve"> </w:t>
      </w:r>
      <w:r>
        <w:t xml:space="preserve">re-derived when the model changed. Both are now computed rather than asserted.</w:t>
      </w:r>
    </w:p>
    <w:bookmarkEnd w:id="205"/>
    <w:bookmarkStart w:id="206" w:name="a16.6-what-replaced-the-failing-test"/>
    <w:p>
      <w:pPr>
        <w:pStyle w:val="Heading3"/>
      </w:pPr>
      <w:r>
        <w:t xml:space="preserve">A16.6 What replaced the failing test</w:t>
      </w:r>
    </w:p>
    <w:p>
      <w:pPr>
        <w:pStyle w:val="FirstParagraph"/>
      </w:pPr>
      <w:r>
        <w:t xml:space="preserve">The retired assertion was</w:t>
      </w:r>
      <w:r>
        <w:t xml:space="preserve"> </w:t>
      </w:r>
      <w:r>
        <w:rPr>
          <w:rStyle w:val="VerbatimChar"/>
        </w:rPr>
        <w:t xml:space="preserve">global cox.zph p &gt; 0.05</w:t>
      </w:r>
      <w:r>
        <w:t xml:space="preserve">. Two tests replace it, and</w:t>
      </w:r>
      <w:r>
        <w:t xml:space="preserve"> </w:t>
      </w:r>
      <w:r>
        <w:t xml:space="preserve">together they are stronger than what they retired:</w:t>
      </w:r>
    </w:p>
    <w:p>
      <w:pPr>
        <w:pStyle w:val="Compact"/>
        <w:numPr>
          <w:ilvl w:val="0"/>
          <w:numId w:val="1012"/>
        </w:numPr>
      </w:pPr>
      <w:r>
        <w:rPr>
          <w:rStyle w:val="VerbatimChar"/>
          <w:b/>
          <w:bCs/>
        </w:rPr>
        <w:t xml:space="preserve">PH violations are diagnosed per term and remediated</w:t>
      </w:r>
      <w:r>
        <w:rPr>
          <w:b/>
          <w:bCs/>
        </w:rPr>
        <w:t xml:space="preserve">.</w:t>
      </w:r>
      <w:r>
        <w:t xml:space="preserve"> </w:t>
      </w:r>
      <w:r>
        <w:t xml:space="preserve">If the global test</w:t>
      </w:r>
      <w:r>
        <w:t xml:space="preserve"> </w:t>
      </w:r>
      <w:r>
        <w:t xml:space="preserve">fails, every term failing at α = 0.05 must be named in the recorded</w:t>
      </w:r>
      <w:r>
        <w:t xml:space="preserve"> </w:t>
      </w:r>
      <w:r>
        <w:t xml:space="preserve">remediation, the remediation must exist as a fitted model on disk, and</w:t>
      </w:r>
      <w:r>
        <w:t xml:space="preserve"> </w:t>
      </w:r>
      <w:r>
        <w:t xml:space="preserve">stratifying on every violator must restore the global test above 0.05.</w:t>
      </w:r>
    </w:p>
    <w:p>
      <w:pPr>
        <w:pStyle w:val="Compact"/>
        <w:numPr>
          <w:ilvl w:val="0"/>
          <w:numId w:val="1012"/>
        </w:numPr>
      </w:pPr>
      <w:r>
        <w:rPr>
          <w:rStyle w:val="VerbatimChar"/>
          <w:b/>
          <w:bCs/>
        </w:rPr>
        <w:t xml:space="preserve">non-violating hazard ratios survive stratification on the violator</w:t>
      </w:r>
      <w:r>
        <w:rPr>
          <w:b/>
          <w:bCs/>
        </w:rPr>
        <w:t xml:space="preserve">.</w:t>
      </w:r>
      <w:r>
        <w:t xml:space="preserve"> </w:t>
      </w:r>
      <w:r>
        <w:t xml:space="preserve">No</w:t>
      </w:r>
      <w:r>
        <w:t xml:space="preserve"> </w:t>
      </w:r>
      <w:r>
        <w:t xml:space="preserve">hazard ratio outside the violating set may move more than 15% or change</w:t>
      </w:r>
      <w:r>
        <w:t xml:space="preserve"> </w:t>
      </w:r>
      <w:r>
        <w:t xml:space="preserve">direction when the violator is stratified out.</w:t>
      </w:r>
    </w:p>
    <w:p>
      <w:pPr>
        <w:pStyle w:val="FirstParagraph"/>
      </w:pPr>
      <w:r>
        <w:t xml:space="preserve">The old test could only say</w:t>
      </w:r>
      <w:r>
        <w:t xml:space="preserve"> </w:t>
      </w:r>
      <w:r>
        <w:t xml:space="preserve">“something is wrong”</w:t>
      </w:r>
      <w:r>
        <w:t xml:space="preserve">. Once it was on the</w:t>
      </w:r>
      <w:r>
        <w:t xml:space="preserve"> </w:t>
      </w:r>
      <w:r>
        <w:t xml:space="preserve">expected-failure manifest it could not say anything at all. The new pair fails</w:t>
      </w:r>
      <w:r>
        <w:t xml:space="preserve"> </w:t>
      </w:r>
      <w:r>
        <w:t xml:space="preserve">on a</w:t>
      </w:r>
      <w:r>
        <w:t xml:space="preserve"> </w:t>
      </w:r>
      <w:r>
        <w:rPr>
          <w:i/>
          <w:iCs/>
        </w:rPr>
        <w:t xml:space="preserve">silent</w:t>
      </w:r>
      <w:r>
        <w:t xml:space="preserve"> </w:t>
      </w:r>
      <w:r>
        <w:t xml:space="preserve">violation — one that is detected but not attributed or not</w:t>
      </w:r>
      <w:r>
        <w:t xml:space="preserve"> </w:t>
      </w:r>
      <w:r>
        <w:t xml:space="preserve">remedied — which is the condition that actually threatens the reported results.</w:t>
      </w:r>
    </w:p>
    <w:p>
      <w:pPr>
        <w:pStyle w:val="BodyText"/>
      </w:pPr>
      <w:r>
        <w:rPr>
          <w:rStyle w:val="VerbatimChar"/>
        </w:rPr>
        <w:t xml:space="preserve">tests/run_suite_gate.R</w:t>
      </w:r>
      <w:r>
        <w:t xml:space="preserve"> </w:t>
      </w:r>
      <w:r>
        <w:t xml:space="preserve">gained a matching guard. It already failed when a</w:t>
      </w:r>
      <w:r>
        <w:t xml:space="preserve"> </w:t>
      </w:r>
      <w:r>
        <w:t xml:space="preserve">manifest entry started passing; it now also fails when an entry names a test</w:t>
      </w:r>
      <w:r>
        <w:t xml:space="preserve"> </w:t>
      </w:r>
      <w:r>
        <w:t xml:space="preserve">that never ran. Renaming this test would otherwise have orphaned its manifest</w:t>
      </w:r>
      <w:r>
        <w:t xml:space="preserve"> </w:t>
      </w:r>
      <w:r>
        <w:t xml:space="preserve">entry, leaving a documented</w:t>
      </w:r>
      <w:r>
        <w:t xml:space="preserve"> </w:t>
      </w:r>
      <w:r>
        <w:t xml:space="preserve">“open decision”</w:t>
      </w:r>
      <w:r>
        <w:t xml:space="preserve"> </w:t>
      </w:r>
      <w:r>
        <w:t xml:space="preserve">with no assertion behind it.</w:t>
      </w:r>
    </w:p>
    <w:bookmarkEnd w:id="206"/>
    <w:bookmarkEnd w:id="2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 Target="media/rId200.png" /><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2026-09-04T23:31:03Z</dcterms:created>
  <dcterms:modified xsi:type="dcterms:W3CDTF">2026-09-04T23:31:03Z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04,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