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 defined throughout as the</w:t>
      </w:r>
      <w:r>
        <w:t xml:space="preserve"> </w:t>
      </w:r>
      <w:r>
        <w:rPr>
          <w:b/>
          <w:bCs/>
        </w:rPr>
        <w:t xml:space="preserve">print issue date</w:t>
      </w:r>
      <w:r>
        <w:t xml:space="preserve"> </w:t>
      </w:r>
      <w:r>
        <w:t xml:space="preserve">recorded in PubMed (</w:t>
      </w:r>
      <w:r>
        <w:rPr>
          <w:rStyle w:val="VerbatimChar"/>
        </w:rPr>
        <w:t xml:space="preserve">JournalIssue/PubDate</w:t>
      </w:r>
      <w:r>
        <w:t xml:space="preserve">). Articles released online ahead of print were dated to their print issue rather than to their electronic release, and issue dates given only to the month were resolved to the first of that month. The same date determines whether a publication preceded its congress and is therefore ineligible to count as a conference-to-publication conversion.</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1082 first authors with gender data (97.8% coverage), 570 (52.7%) were female and 512 (47.3%) were male. The majority of presentations originated from academic medical centers (155, 93.4%),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31.1% (2022),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170 of 170), the median time from conference presentation to full publication was 13.6 months (IQR 5.7-22.4).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(p=0.043), attributable to author count; every other covariate satisfied proportional hazards. The author count effect was therefore refitted with a log-time interaction, under which the hazard ratio rose from 1.00 (95% CI 0.83-1.21) at 3 months to 1.51 (95% CI 1.24-1.83) at 24 months, so the single hazard ratio reported for it in the main model is an average over follow-up rather than a constant. Significant predictors of publication velocity were randomized design (HR 2.17, 95% CI 1.45-3.25, p&lt;0.001); academic affiliation (HR 0.65, 95% CI 0.46-0.91, p=0.013); author count (HR 1.25, 95% CI 1.09-1.44, p=0.002). The remaining covariates – US-based affiliation, inferred male first author, multicenter conduct – were not significant. In logistic regression, US-based affiliation was not significantly associated with the odds of publication (OR 1.54, 95% CI 0.91-2.7, p=0.115).</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(88.5%),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2026-09-05T13:54:34Z</dcterms:created>
  <dcterms:modified xsi:type="dcterms:W3CDTF">2026-09-05T13:54:34Z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