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02, 2026</w:t>
      </w:r>
    </w:p>
    <w:bookmarkStart w:id="9" w:name="abstract"/>
    <w:p>
      <w:pPr>
        <w:pStyle w:val="Heading2"/>
      </w:pPr>
      <w:r>
        <w:t xml:space="preserve">Abstract</w:t>
      </w:r>
    </w:p>
    <w:p>
      <w:pPr>
        <w:pStyle w:val="FirstParagraph"/>
      </w:pPr>
      <w:r>
        <w:rPr>
          <w:b/>
          <w:bCs/>
        </w:rPr>
        <w:t xml:space="preserve">OBJECTIVE:</w:t>
      </w:r>
      <w:r>
        <w:t xml:space="preserve"> </w:t>
      </w:r>
      <w:r>
        <w:t xml:space="preserve">To project United States urogynecology and reconstructive pelvic surgery workforce supply through 2050 and compare supply with population-based measures of demographic need.</w:t>
      </w:r>
    </w:p>
    <w:p>
      <w:pPr>
        <w:pStyle w:val="BodyText"/>
      </w:pPr>
      <w:r>
        <w:rPr>
          <w:b/>
          <w:bCs/>
        </w:rPr>
        <w:t xml:space="preserve">METHODS:</w:t>
      </w:r>
      <w:r>
        <w:t xml:space="preserve"> </w:t>
      </w:r>
      <w:r>
        <w:t xml:space="preserve">We linked American Board of Obstetrics and Gynecology and American Board of Urology certification records to national administrative data. Sustained departure from clinical practice was classified using six data sources. A pooled age-band departure hazard, estimated during the fully observable 2016–2021 period with gynecologic oncology as a comparator, informed a dynamic stock-and-flow model. Annual entrants were based on recent Accreditation Council for Graduate Medical Education fellowship completions. The primary projection covered 2025–2029; an exploratory scenario extension through 2050 compared projected supply with the number of United States women aged 65 years or older and the estimated number living with a pelvic floor disorder. Uncertainty was evaluated with Monte Carlo simulation and sensitivity analyses.</w:t>
      </w:r>
    </w:p>
    <w:p>
      <w:pPr>
        <w:pStyle w:val="BodyText"/>
      </w:pPr>
      <w:r>
        <w:rPr>
          <w:b/>
          <w:bCs/>
        </w:rPr>
        <w:t xml:space="preserve">RESULTS:</w:t>
      </w:r>
      <w:r>
        <w:t xml:space="preserve"> </w:t>
      </w:r>
      <w:r>
        <w:t xml:space="preserve">The estimated 2025 workforce included 1,306 urogynecologists. 35 classified departures during 2016–2021 informed a pooled hazard that yielded a model-implied weighted annual departure rate of 0.9%. Fellowship programs produced 64 graduates annually, compared with 11.9 projected annual departures, for a completion-to-departure ratio of 5.4 (95% uncertainty interval 3.9 to 6.5). The transition-adjusted workforce increased to 1,466 by 2029. In the exploratory 2050 scenario, workforce supply increased 84%, compared with increases of 29% in women aged 65 years or older and 19% in women living with a pelvic floor disorder. Urogynecologists per 100,000 older women increased from 3.8 to 5.4, and women with a pelvic floor disorder per urogynecologist decreased from approximately 25,400 to 16,500.</w:t>
      </w:r>
    </w:p>
    <w:p>
      <w:pPr>
        <w:pStyle w:val="BodyText"/>
      </w:pPr>
      <w:r>
        <w:rPr>
          <w:b/>
          <w:bCs/>
        </w:rPr>
        <w:t xml:space="preserve">CONCLUSION:</w:t>
      </w:r>
      <w:r>
        <w:t xml:space="preserve"> </w:t>
      </w:r>
      <w:r>
        <w:t xml:space="preserve">Nationally, recent fellowship completion was sufficient to offset projected near-term departures, and scenario-based supply growth exceeded demographic growth through 2050. These findings do not measure utilization, geographic access, or operative capacity and depend on provisional departure classification and long-horizon assumptions.</w:t>
      </w:r>
    </w:p>
    <w:bookmarkEnd w:id="9"/>
    <w:bookmarkStart w:id="10"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0"/>
    <w:bookmarkStart w:id="18" w:name="materials-and-methods"/>
    <w:p>
      <w:pPr>
        <w:pStyle w:val="Heading1"/>
      </w:pPr>
      <w:r>
        <w:t xml:space="preserve">Materials and Methods</w:t>
      </w:r>
    </w:p>
    <w:bookmarkStart w:id="11"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1"/>
    <w:bookmarkStart w:id="12"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2"/>
    <w:bookmarkStart w:id="13"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3"/>
    <w:bookmarkStart w:id="14"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4"/>
    <w:bookmarkStart w:id="15"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A multidimensional sensitivity analysis crossed the observation window (2016–2021, 2016–2019, 2016–2023),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5"/>
    <w:bookmarkStart w:id="16"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as headcount and as productivity-adjusted capacity, weighting each subspecialist by clinical time devoted to urogynecologic care.</w:t>
      </w:r>
      <w:hyperlink w:anchor="ref-temkin2022fte">
        <w:r>
          <w:rPr>
            <w:rStyle w:val="Hyperlink"/>
            <w:vertAlign w:val="superscript"/>
          </w:rPr>
          <w:t xml:space="preserve">17</w:t>
        </w:r>
      </w:hyperlink>
      <w:r>
        <w:t xml:space="preserve"> </w:t>
      </w:r>
      <w:r>
        <w:t xml:space="preserve">The primary model covered 2025–2029; an exploratory scenario extension carried the same inputs through 2050 to align with the demographic projections, and its long-horizon values are provisional rather than validated forecasts. An accompanying interactive tool allows the productivity and pathway assumptions to be varied.</w:t>
      </w:r>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6"/>
    <w:bookmarkStart w:id="17"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18</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7"/>
    <w:bookmarkEnd w:id="18"/>
    <w:bookmarkStart w:id="32" w:name="results"/>
    <w:p>
      <w:pPr>
        <w:pStyle w:val="Heading1"/>
      </w:pPr>
      <w:r>
        <w:t xml:space="preserve">Results</w:t>
      </w:r>
    </w:p>
    <w:bookmarkStart w:id="19"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19"/>
    <w:bookmarkStart w:id="23"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5.38</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037416"/>
            <wp:effectExtent b="0" l="0" r="0" t="0"/>
            <wp:docPr descr="Figure 1. Projected active workforce, 2025–2029, under the status-quo entrant scenario. Solid lines are the immediate-entry projection with shaded 95% uncertainty bands; dashed lines (hollow endpoints) are the transition-adjusted trajectory. URPS, urogynecology and reconstructive pelvic surgery; GO, gynecologic oncology." title="" id="21" name="Picture"/>
            <a:graphic>
              <a:graphicData uri="http://schemas.openxmlformats.org/drawingml/2006/picture">
                <pic:pic>
                  <pic:nvPicPr>
                    <pic:cNvPr descr="/Users/tylermuffly/cliff/manuscript/manuscript_WORKFORCE_CLIFF_files/figures/figure1-1.png" id="22" name="Picture"/>
                    <pic:cNvPicPr>
                      <a:picLocks noChangeArrowheads="1" noChangeAspect="1"/>
                    </pic:cNvPicPr>
                  </pic:nvPicPr>
                  <pic:blipFill>
                    <a:blip r:embed="rId20"/>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Projected active workforce, 2025–2029, under the status-quo entrant scenario. Solid lines are the immediate-entry projection with shaded 95% uncertainty bands; dashed lines (hollow endpoints) are the transition-adjusted trajectory. URPS, urogynecology and reconstructive pelvic surgery; GO, gynecologic oncology.</w:t>
      </w:r>
    </w:p>
    <w:p>
      <w:pPr>
        <w:pStyle w:val="BodyText"/>
      </w:pPr>
      <w:r>
        <w:t xml:space="preserve">Under the status-quo scenario, the projected 2029 urogynecology workforce rose from the 2025 baseline of 1,306 to 1,466 (transition-adjusted) or 1,514 (immediate-entry), an increase of up to 16.0%; the completion-to-departure ratio was 5.4 (95% uncertainty interval 3.9 to 6.5). The gynecologic oncology comparator rose from 1,052 to 1,262–1,310, with a ratio of 7.1. Both cohorts exceeded the 2025 baseline under all three entrant scenarios (Table 2, Figure 1).</w:t>
      </w:r>
    </w:p>
    <w:bookmarkEnd w:id="23"/>
    <w:bookmarkStart w:id="27"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5.6- to 7.1-fold or graduate output to fall 82% to 86% (Appendix S10).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604054"/>
            <wp:effectExtent b="0" l="0" r="0" t="0"/>
            <wp:docPr descr="Figure 2. Fellowship-completion-to-departure ratio across the primary analysis and selected sensitivity analyses. The dashed line marks one-for-one replacement; points to its right indicate completions exceeding departures. URPS, urogynecology and reconstructive pelvic surgery; GO, gynecologic oncology." title="" id="25" name="Picture"/>
            <a:graphic>
              <a:graphicData uri="http://schemas.openxmlformats.org/drawingml/2006/picture">
                <pic:pic>
                  <pic:nvPicPr>
                    <pic:cNvPr descr="/Users/tylermuffly/cliff/manuscript/manuscript_WORKFORCE_CLIFF_files/figures/figure2-1.png" id="26" name="Picture"/>
                    <pic:cNvPicPr>
                      <a:picLocks noChangeArrowheads="1" noChangeAspect="1"/>
                    </pic:cNvPicPr>
                  </pic:nvPicPr>
                  <pic:blipFill>
                    <a:blip r:embed="rId24"/>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Fellowship-completion-to-departure ratio across the primary analysis and selected sensitivity analyses. The dashed line marks one-for-one replacement; points to its right indicate completions exceeding departures. URPS, urogynecology and reconstructive pelvic surgery; GO, gynecologic oncology.</w:t>
      </w:r>
    </w:p>
    <w:bookmarkEnd w:id="27"/>
    <w:bookmarkStart w:id="31" w:name="supply-relative-to-demographic-need"/>
    <w:p>
      <w:pPr>
        <w:pStyle w:val="Heading2"/>
      </w:pPr>
      <w:r>
        <w:t xml:space="preserve">Supply Relative to Demographic Need</w:t>
      </w:r>
    </w:p>
    <w:p>
      <w:pPr>
        <w:pStyle w:val="FirstParagraph"/>
      </w:pPr>
      <w:r>
        <w:t xml:space="preserve">In the exploratory 2030–2050 scenario extension, projected urogynecology supply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4741333"/>
            <wp:effectExtent b="0" l="0" r="0" t="0"/>
            <wp:docPr descr="Figure 3. Projected urogynecology supply and demographic need, 2025–2050 (exploratory beyond 2029). Panel A indexes supply, productivity-adjusted capacity, and the two need measures to 2025 = 100; Panels B and C show urogynecologists per 100,000 women aged 65 years or older and women with a pelvic floor disorder per urogynecologist. URPS, urogynecology and reconstructive pelvic surgery." title="" id="29" name="Picture"/>
            <a:graphic>
              <a:graphicData uri="http://schemas.openxmlformats.org/drawingml/2006/picture">
                <pic:pic>
                  <pic:nvPicPr>
                    <pic:cNvPr descr="/Users/tylermuffly/cliff/manuscript/manuscript_WORKFORCE_CLIFF_files/figures/figure-integrated-supply-demand-1.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Projected urogynecology supply and demographic need, 2025–2050 (exploratory beyond 2029). Panel A indexes supply, productivity-adjusted capacity, and the two need measures to 2025 = 100; Panels B and C show urogynecologists per 100,000 women aged 65 years or older and women with a pelvic floor disorder per urogynecologist. URPS, urogynecology and reconstructive pelvic surgery.</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1"/>
    <w:bookmarkEnd w:id="32"/>
    <w:bookmarkStart w:id="33"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19</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20</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3"/>
    <w:bookmarkStart w:id="73" w:name="references"/>
    <w:p>
      <w:pPr>
        <w:pStyle w:val="Heading1"/>
      </w:pPr>
      <w:r>
        <w:t xml:space="preserve">References</w:t>
      </w:r>
    </w:p>
    <w:bookmarkStart w:id="72" w:name="refs"/>
    <w:bookmarkStart w:id="35"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4">
        <w:r>
          <w:rPr>
            <w:rStyle w:val="Hyperlink"/>
          </w:rPr>
          <w:t xml:space="preserve">10.1001/jama.300.11.1311</w:t>
        </w:r>
      </w:hyperlink>
    </w:p>
    <w:bookmarkEnd w:id="35"/>
    <w:bookmarkStart w:id="37"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6">
        <w:r>
          <w:rPr>
            <w:rStyle w:val="Hyperlink"/>
          </w:rPr>
          <w:t xml:space="preserve">10.1097/SPV.0000000000000302</w:t>
        </w:r>
      </w:hyperlink>
    </w:p>
    <w:bookmarkEnd w:id="37"/>
    <w:bookmarkStart w:id="39"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38">
        <w:r>
          <w:rPr>
            <w:rStyle w:val="Hyperlink"/>
          </w:rPr>
          <w:t xml:space="preserve">10.1097/01.SLA.0000081085.98792.3d</w:t>
        </w:r>
      </w:hyperlink>
    </w:p>
    <w:bookmarkEnd w:id="39"/>
    <w:bookmarkStart w:id="41"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0">
        <w:r>
          <w:rPr>
            <w:rStyle w:val="Hyperlink"/>
          </w:rPr>
          <w:t xml:space="preserve">10.1016/j.jtcvs.2014.03.031</w:t>
        </w:r>
      </w:hyperlink>
    </w:p>
    <w:bookmarkEnd w:id="41"/>
    <w:bookmarkStart w:id="43"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2">
        <w:r>
          <w:rPr>
            <w:rStyle w:val="Hyperlink"/>
          </w:rPr>
          <w:t xml:space="preserve">10.1097/SLA.0b013e31826fccfa</w:t>
        </w:r>
      </w:hyperlink>
    </w:p>
    <w:bookmarkEnd w:id="43"/>
    <w:bookmarkStart w:id="45"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4">
        <w:r>
          <w:rPr>
            <w:rStyle w:val="Hyperlink"/>
          </w:rPr>
          <w:t xml:space="preserve">10.1186/s12960-024-00895-z</w:t>
        </w:r>
      </w:hyperlink>
    </w:p>
    <w:bookmarkEnd w:id="45"/>
    <w:bookmarkStart w:id="47"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6">
        <w:r>
          <w:rPr>
            <w:rStyle w:val="Hyperlink"/>
          </w:rPr>
          <w:t xml:space="preserve">10.1016/j.ogc.2025.07.001</w:t>
        </w:r>
      </w:hyperlink>
    </w:p>
    <w:bookmarkEnd w:id="47"/>
    <w:bookmarkStart w:id="49"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48">
        <w:r>
          <w:rPr>
            <w:rStyle w:val="Hyperlink"/>
          </w:rPr>
          <w:t xml:space="preserve">10.1016/j.ajo.2026.03.021</w:t>
        </w:r>
      </w:hyperlink>
    </w:p>
    <w:bookmarkEnd w:id="49"/>
    <w:bookmarkStart w:id="50"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0"/>
    <w:bookmarkStart w:id="52"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1">
        <w:r>
          <w:rPr>
            <w:rStyle w:val="Hyperlink"/>
          </w:rPr>
          <w:t xml:space="preserve">10.7326/0003-4819-147-8-200710160-00010</w:t>
        </w:r>
      </w:hyperlink>
    </w:p>
    <w:bookmarkEnd w:id="52"/>
    <w:bookmarkStart w:id="54"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3">
        <w:r>
          <w:rPr>
            <w:rStyle w:val="Hyperlink"/>
          </w:rPr>
          <w:t xml:space="preserve">10.1002/nau.70018</w:t>
        </w:r>
      </w:hyperlink>
    </w:p>
    <w:bookmarkEnd w:id="54"/>
    <w:bookmarkStart w:id="55"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5"/>
    <w:bookmarkStart w:id="57"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6">
        <w:r>
          <w:rPr>
            <w:rStyle w:val="Hyperlink"/>
          </w:rPr>
          <w:t xml:space="preserve">10.7326/ANNALS-25-00564</w:t>
        </w:r>
      </w:hyperlink>
    </w:p>
    <w:bookmarkEnd w:id="57"/>
    <w:bookmarkStart w:id="59"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58">
        <w:r>
          <w:rPr>
            <w:rStyle w:val="Hyperlink"/>
          </w:rPr>
          <w:t xml:space="preserve">10.1097/XCS.0000000000001905</w:t>
        </w:r>
      </w:hyperlink>
    </w:p>
    <w:bookmarkEnd w:id="59"/>
    <w:bookmarkStart w:id="61"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0">
        <w:r>
          <w:rPr>
            <w:rStyle w:val="Hyperlink"/>
          </w:rPr>
          <w:t xml:space="preserve">https://www.acgme.org/about/publications-and-resources/graduate-medical-education-data-resource-book/</w:t>
        </w:r>
      </w:hyperlink>
    </w:p>
    <w:bookmarkEnd w:id="61"/>
    <w:bookmarkStart w:id="63"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2">
        <w:r>
          <w:rPr>
            <w:rStyle w:val="Hyperlink"/>
          </w:rPr>
          <w:t xml:space="preserve">10.1097/og9.0000000000000153</w:t>
        </w:r>
      </w:hyperlink>
    </w:p>
    <w:bookmarkEnd w:id="63"/>
    <w:bookmarkStart w:id="65"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4">
        <w:r>
          <w:rPr>
            <w:rStyle w:val="Hyperlink"/>
          </w:rPr>
          <w:t xml:space="preserve">10.1016/j.ygyno.2021.12.032</w:t>
        </w:r>
      </w:hyperlink>
    </w:p>
    <w:bookmarkEnd w:id="65"/>
    <w:bookmarkStart w:id="67" w:name="ref-rcoreteam2023"/>
    <w:p>
      <w:pPr>
        <w:pStyle w:val="Bibliography"/>
      </w:pPr>
      <w:r>
        <w:t xml:space="preserve">18.</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6">
        <w:r>
          <w:rPr>
            <w:rStyle w:val="Hyperlink"/>
          </w:rPr>
          <w:t xml:space="preserve">https://www.R-project.org/</w:t>
        </w:r>
      </w:hyperlink>
    </w:p>
    <w:bookmarkEnd w:id="67"/>
    <w:bookmarkStart w:id="69" w:name="ref-holtzman2025"/>
    <w:p>
      <w:pPr>
        <w:pStyle w:val="Bibliography"/>
      </w:pPr>
      <w:r>
        <w:t xml:space="preserve">19.</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68">
        <w:r>
          <w:rPr>
            <w:rStyle w:val="Hyperlink"/>
          </w:rPr>
          <w:t xml:space="preserve">10.1016/j.ygyno.2025.09.003</w:t>
        </w:r>
      </w:hyperlink>
    </w:p>
    <w:bookmarkEnd w:id="69"/>
    <w:bookmarkStart w:id="71" w:name="ref-chen2026geographic"/>
    <w:p>
      <w:pPr>
        <w:pStyle w:val="Bibliography"/>
      </w:pPr>
      <w:r>
        <w:t xml:space="preserve">20.</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0">
        <w:r>
          <w:rPr>
            <w:rStyle w:val="Hyperlink"/>
          </w:rPr>
          <w:t xml:space="preserve">10.1097/AOG.0000000000006069</w:t>
        </w:r>
      </w:hyperlink>
    </w:p>
    <w:bookmarkEnd w:id="71"/>
    <w:bookmarkEnd w:id="72"/>
    <w:bookmarkEnd w:id="73"/>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4" Target="https://doi.org/10.1001/jama.300.11.1311" TargetMode="External" /><Relationship Type="http://schemas.openxmlformats.org/officeDocument/2006/relationships/hyperlink" Id="rId53" Target="https://doi.org/10.1002/nau.70018" TargetMode="External" /><Relationship Type="http://schemas.openxmlformats.org/officeDocument/2006/relationships/hyperlink" Id="rId48" Target="https://doi.org/10.1016/j.ajo.2026.03.021" TargetMode="External" /><Relationship Type="http://schemas.openxmlformats.org/officeDocument/2006/relationships/hyperlink" Id="rId40" Target="https://doi.org/10.1016/j.jtcvs.2014.03.031" TargetMode="External" /><Relationship Type="http://schemas.openxmlformats.org/officeDocument/2006/relationships/hyperlink" Id="rId46" Target="https://doi.org/10.1016/j.ogc.2025.07.001" TargetMode="External" /><Relationship Type="http://schemas.openxmlformats.org/officeDocument/2006/relationships/hyperlink" Id="rId64" Target="https://doi.org/10.1016/j.ygyno.2021.12.032" TargetMode="External" /><Relationship Type="http://schemas.openxmlformats.org/officeDocument/2006/relationships/hyperlink" Id="rId68" Target="https://doi.org/10.1016/j.ygyno.2025.09.003" TargetMode="External" /><Relationship Type="http://schemas.openxmlformats.org/officeDocument/2006/relationships/hyperlink" Id="rId38" Target="https://doi.org/10.1097/01.SLA.0000081085.98792.3d" TargetMode="External" /><Relationship Type="http://schemas.openxmlformats.org/officeDocument/2006/relationships/hyperlink" Id="rId70" Target="https://doi.org/10.1097/AOG.0000000000006069" TargetMode="External" /><Relationship Type="http://schemas.openxmlformats.org/officeDocument/2006/relationships/hyperlink" Id="rId42" Target="https://doi.org/10.1097/SLA.0b013e31826fccfa" TargetMode="External" /><Relationship Type="http://schemas.openxmlformats.org/officeDocument/2006/relationships/hyperlink" Id="rId36" Target="https://doi.org/10.1097/SPV.0000000000000302" TargetMode="External" /><Relationship Type="http://schemas.openxmlformats.org/officeDocument/2006/relationships/hyperlink" Id="rId58" Target="https://doi.org/10.1097/XCS.0000000000001905" TargetMode="External" /><Relationship Type="http://schemas.openxmlformats.org/officeDocument/2006/relationships/hyperlink" Id="rId62" Target="https://doi.org/10.1097/og9.0000000000000153" TargetMode="External" /><Relationship Type="http://schemas.openxmlformats.org/officeDocument/2006/relationships/hyperlink" Id="rId44" Target="https://doi.org/10.1186/s12960-024-00895-z" TargetMode="External" /><Relationship Type="http://schemas.openxmlformats.org/officeDocument/2006/relationships/hyperlink" Id="rId51" Target="https://doi.org/10.7326/0003-4819-147-8-200710160-00010" TargetMode="External" /><Relationship Type="http://schemas.openxmlformats.org/officeDocument/2006/relationships/hyperlink" Id="rId56" Target="https://doi.org/10.7326/ANNALS-25-00564" TargetMode="External" /><Relationship Type="http://schemas.openxmlformats.org/officeDocument/2006/relationships/hyperlink" Id="rId66" Target="https://www.R-project.org/" TargetMode="External" /><Relationship Type="http://schemas.openxmlformats.org/officeDocument/2006/relationships/hyperlink" Id="rId60" Target="https://www.acgme.org/about/publications-and-resources/graduate-medical-education-data-resource-book/" TargetMode="External" /><Relationship Type="http://schemas.openxmlformats.org/officeDocument/2006/relationships/hyperlink" Id="rId74"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1/jama.300.11.1311" TargetMode="External" /><Relationship Type="http://schemas.openxmlformats.org/officeDocument/2006/relationships/hyperlink" Id="rId53" Target="https://doi.org/10.1002/nau.70018" TargetMode="External" /><Relationship Type="http://schemas.openxmlformats.org/officeDocument/2006/relationships/hyperlink" Id="rId48" Target="https://doi.org/10.1016/j.ajo.2026.03.021" TargetMode="External" /><Relationship Type="http://schemas.openxmlformats.org/officeDocument/2006/relationships/hyperlink" Id="rId40" Target="https://doi.org/10.1016/j.jtcvs.2014.03.031" TargetMode="External" /><Relationship Type="http://schemas.openxmlformats.org/officeDocument/2006/relationships/hyperlink" Id="rId46" Target="https://doi.org/10.1016/j.ogc.2025.07.001" TargetMode="External" /><Relationship Type="http://schemas.openxmlformats.org/officeDocument/2006/relationships/hyperlink" Id="rId64" Target="https://doi.org/10.1016/j.ygyno.2021.12.032" TargetMode="External" /><Relationship Type="http://schemas.openxmlformats.org/officeDocument/2006/relationships/hyperlink" Id="rId68" Target="https://doi.org/10.1016/j.ygyno.2025.09.003" TargetMode="External" /><Relationship Type="http://schemas.openxmlformats.org/officeDocument/2006/relationships/hyperlink" Id="rId38" Target="https://doi.org/10.1097/01.SLA.0000081085.98792.3d" TargetMode="External" /><Relationship Type="http://schemas.openxmlformats.org/officeDocument/2006/relationships/hyperlink" Id="rId70" Target="https://doi.org/10.1097/AOG.0000000000006069" TargetMode="External" /><Relationship Type="http://schemas.openxmlformats.org/officeDocument/2006/relationships/hyperlink" Id="rId42" Target="https://doi.org/10.1097/SLA.0b013e31826fccfa" TargetMode="External" /><Relationship Type="http://schemas.openxmlformats.org/officeDocument/2006/relationships/hyperlink" Id="rId36" Target="https://doi.org/10.1097/SPV.0000000000000302" TargetMode="External" /><Relationship Type="http://schemas.openxmlformats.org/officeDocument/2006/relationships/hyperlink" Id="rId58" Target="https://doi.org/10.1097/XCS.0000000000001905" TargetMode="External" /><Relationship Type="http://schemas.openxmlformats.org/officeDocument/2006/relationships/hyperlink" Id="rId62" Target="https://doi.org/10.1097/og9.0000000000000153" TargetMode="External" /><Relationship Type="http://schemas.openxmlformats.org/officeDocument/2006/relationships/hyperlink" Id="rId44" Target="https://doi.org/10.1186/s12960-024-00895-z" TargetMode="External" /><Relationship Type="http://schemas.openxmlformats.org/officeDocument/2006/relationships/hyperlink" Id="rId51" Target="https://doi.org/10.7326/0003-4819-147-8-200710160-00010" TargetMode="External" /><Relationship Type="http://schemas.openxmlformats.org/officeDocument/2006/relationships/hyperlink" Id="rId56" Target="https://doi.org/10.7326/ANNALS-25-00564" TargetMode="External" /><Relationship Type="http://schemas.openxmlformats.org/officeDocument/2006/relationships/hyperlink" Id="rId66" Target="https://www.R-project.org/" TargetMode="External" /><Relationship Type="http://schemas.openxmlformats.org/officeDocument/2006/relationships/hyperlink" Id="rId60" Target="https://www.acgme.org/about/publications-and-resources/graduate-medical-education-data-resource-book/" TargetMode="External" /><Relationship Type="http://schemas.openxmlformats.org/officeDocument/2006/relationships/hyperlink" Id="rId74"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2026-08-03T02:06:35Z</dcterms:created>
  <dcterms:modified xsi:type="dcterms:W3CDTF">2026-08-03T02:06:35Z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02,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Recent fellowship completion exceeded projected near-term departures, but national workforce growth did not establish geographic access or operative capacity.</vt:lpwstr>
  </property>
  <property fmtid="{D5CDD505-2E9C-101B-9397-08002B2CF9AE}" pid="13" name="running_head">
    <vt:lpwstr>Urogynecology Workforce Through 2050</vt:lpwstr>
  </property>
  <property fmtid="{D5CDD505-2E9C-101B-9397-08002B2CF9AE}" pid="14" name="word_count">
    <vt:lpwstr>3,700 words</vt:lpwstr>
  </property>
</Properties>
</file>