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02, 2026</w:t>
      </w:r>
    </w:p>
    <w:bookmarkStart w:id="11" w:name="title-page"/>
    <w:p>
      <w:pPr>
        <w:pStyle w:val="Heading1"/>
      </w:pPr>
      <w:r>
        <w:t xml:space="preserve">Title Page</w:t>
      </w:r>
    </w:p>
    <w:p>
      <w:pPr>
        <w:pStyle w:val="FirstParagraph"/>
      </w:pPr>
      <w:r>
        <w:rPr>
          <w:b/>
          <w:bCs/>
        </w:rPr>
        <w:t xml:space="preserve">Title:</w:t>
      </w:r>
      <w:r>
        <w:t xml:space="preserve"> </w:t>
      </w:r>
      <w:r>
        <w:t xml:space="preserve">United States Urogynecology Workforce Supply Relative to Demographic Need Through 2050: A Stock-and-Flow Projection</w:t>
      </w:r>
    </w:p>
    <w:p>
      <w:pPr>
        <w:pStyle w:val="BodyText"/>
      </w:pPr>
      <w:r>
        <w:rPr>
          <w:b/>
          <w:bCs/>
        </w:rPr>
        <w:t xml:space="preserve">Running head:</w:t>
      </w:r>
      <w:r>
        <w:t xml:space="preserve"> </w:t>
      </w:r>
      <w:r>
        <w:t xml:space="preserve">Urogynecology Workforce Through 2050</w:t>
      </w:r>
    </w:p>
    <w:p>
      <w:pPr>
        <w:pStyle w:val="BodyText"/>
      </w:pPr>
      <w:r>
        <w:rPr>
          <w:b/>
          <w:bCs/>
        </w:rPr>
        <w:t xml:space="preserve">Author:</w:t>
      </w:r>
      <w:r>
        <w:t xml:space="preserve"> </w:t>
      </w:r>
      <w:r>
        <w:t xml:space="preserve">Tyler Muffly, MD</w:t>
      </w:r>
    </w:p>
    <w:p>
      <w:pPr>
        <w:pStyle w:val="BodyText"/>
      </w:pPr>
      <w:r>
        <w:rPr>
          <w:b/>
          <w:bCs/>
        </w:rPr>
        <w:t xml:space="preserve">Affiliation:</w:t>
      </w:r>
      <w:r>
        <w:t xml:space="preserve"> </w:t>
      </w:r>
      <w:r>
        <w:t xml:space="preserve">Department of Obstetrics and Gynecology, Denver Health Medical Center, and University of Colorado School of Medicine, Denver, Colorado.</w:t>
      </w:r>
    </w:p>
    <w:p>
      <w:pPr>
        <w:pStyle w:val="BodyText"/>
      </w:pPr>
      <w:r>
        <w:rPr>
          <w:b/>
          <w:bCs/>
        </w:rPr>
        <w:t xml:space="preserve">Corresponding author:</w:t>
      </w:r>
      <w:r>
        <w:t xml:space="preserve"> </w:t>
      </w:r>
      <w:r>
        <w:t xml:space="preserve">Tyler Muffly, MD, Department of Obstetrics and Gynecology, Denver Health Medical Center, 777 Bannock Street, Denver, CO 80204; email</w:t>
      </w:r>
      <w:r>
        <w:t xml:space="preserve"> </w:t>
      </w:r>
      <w:hyperlink r:id="rId9">
        <w:r>
          <w:rPr>
            <w:rStyle w:val="Hyperlink"/>
          </w:rPr>
          <w:t xml:space="preserve">tyler.muffly@dhha.org</w:t>
        </w:r>
      </w:hyperlink>
      <w:r>
        <w:t xml:space="preserve">.</w:t>
      </w:r>
    </w:p>
    <w:p>
      <w:pPr>
        <w:pStyle w:val="BodyText"/>
      </w:pPr>
      <w:r>
        <w:rPr>
          <w:b/>
          <w:bCs/>
        </w:rPr>
        <w:t xml:space="preserve">Précis:</w:t>
      </w:r>
      <w:r>
        <w:t xml:space="preserve"> </w:t>
      </w:r>
      <w:r>
        <w:t xml:space="preserve">A national urogynecology replacement cliff was not supported; fellowship output exceeded projected departures, but rising headcount did not establish access or operative capacity.</w:t>
      </w:r>
    </w:p>
    <w:p>
      <w:pPr>
        <w:pStyle w:val="BodyText"/>
      </w:pPr>
      <w:r>
        <w:rPr>
          <w:b/>
          <w:bCs/>
        </w:rPr>
        <w:t xml:space="preserve">Word count:</w:t>
      </w:r>
      <w:r>
        <w:t xml:space="preserve"> </w:t>
      </w:r>
      <w:r>
        <w:t xml:space="preserve">abstract 283 words; main text approximately 2,700 words.</w:t>
      </w:r>
    </w:p>
    <w:p>
      <w:pPr>
        <w:pStyle w:val="BodyText"/>
      </w:pPr>
      <w:r>
        <w:rPr>
          <w:b/>
          <w:bCs/>
        </w:rPr>
        <w:t xml:space="preserve">Financial disclosure:</w:t>
      </w:r>
      <w:r>
        <w:t xml:space="preserve"> </w:t>
      </w:r>
      <w:r>
        <w:t xml:space="preserve">The author reports no conflict of interest.</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Keywords:</w:t>
      </w:r>
      <w:r>
        <w:t xml:space="preserve"> </w:t>
      </w:r>
      <w:r>
        <w:t xml:space="preserve">urogynecology; pelvic floor disorders; physician workforce projection; workforce supply and demand; clinical-practice departure; fellowship training.</w:t>
      </w:r>
    </w:p>
    <w:bookmarkStart w:id="10" w:name="abstract"/>
    <w:p>
      <w:pPr>
        <w:pStyle w:val="Heading2"/>
      </w:pPr>
      <w:r>
        <w:t xml:space="preserve">Abstract</w:t>
      </w:r>
    </w:p>
    <w:p>
      <w:pPr>
        <w:pStyle w:val="FirstParagraph"/>
      </w:pPr>
      <w:r>
        <w:rPr>
          <w:b/>
          <w:bCs/>
        </w:rPr>
        <w:t xml:space="preserve">OBJECTIVE:</w:t>
      </w:r>
      <w:r>
        <w:t xml:space="preserve"> </w:t>
      </w:r>
      <w:r>
        <w:t xml:space="preserve">To determine whether recent fellowship completion is sufficient to offset departures from clinical practice, and to project United States urogynecology and reconstructive pelvic surgery workforce supply relative to demographic need through 2050.</w:t>
      </w:r>
    </w:p>
    <w:p>
      <w:pPr>
        <w:pStyle w:val="BodyText"/>
      </w:pPr>
      <w:r>
        <w:rPr>
          <w:b/>
          <w:bCs/>
        </w:rPr>
        <w:t xml:space="preserve">METHODS:</w:t>
      </w:r>
      <w:r>
        <w:t xml:space="preserve"> </w:t>
      </w:r>
      <w:r>
        <w:t xml:space="preserve">We linked American Board of Obstetrics and Gynecology and American Board of Urology certification records to six national administrative data sources. Sustained clinical-practice departure was classified during the fully observable 2016–2021 period. Because departures were sparse, age-band hazards were pooled with a gynecologic oncology comparator and applied in a dynamic stock-and-flow model beginning with the estimated 2025 active workforce. Annual entrants were based on recent Accreditation Council for Graduate Medical Education fellowship completions. The primary projection covered 2025–2029; an exploratory extension through 2050 compared supply with the number of United States women aged 65 years or older and the estimated number living with a pelvic floor disorder. Uncertainty was evaluated using Monte Carlo simulation and adverse-scenario analyses.</w:t>
      </w:r>
    </w:p>
    <w:p>
      <w:pPr>
        <w:pStyle w:val="BodyText"/>
      </w:pPr>
      <w:r>
        <w:rPr>
          <w:b/>
          <w:bCs/>
        </w:rPr>
        <w:t xml:space="preserve">RESULTS:</w:t>
      </w:r>
      <w:r>
        <w:t xml:space="preserve"> </w:t>
      </w:r>
      <w:r>
        <w:t xml:space="preserve">The estimated 2025 workforce included 1,306 urogynecologists. During 2016–2021, 35 classified departures informed a model-implied weighted annual departure rate of 0.9%, corresponding to 11.9 projected departures annually. Fellowship programs produced 64 graduates annually, yielding a completion-to-departure ratio of 5.4 (95% uncertainty interval 3.9 to 6.5). The transition-adjusted workforce increased to 1,466 by 2029. Every one-way sensitivity remained above one-for-one replacement; only the most adverse combined scenario (tripled departures and 70% graduate conversion) fell below replacement. In the exploratory 2050 extension, workforce supply increased 84%, compared with increases of 29% in women aged 65 years or older and 19% in women living with a pelvic floor disorder. Urogynecologists per 100,000 older women increased from 3.8 to 5.4, while women with a pelvic floor disorder per urogynecologist decreased from approximately 25,400 to 16,500.</w:t>
      </w:r>
    </w:p>
    <w:p>
      <w:pPr>
        <w:pStyle w:val="BodyText"/>
      </w:pPr>
      <w:r>
        <w:rPr>
          <w:b/>
          <w:bCs/>
        </w:rPr>
        <w:t xml:space="preserve">CONCLUSION:</w:t>
      </w:r>
      <w:r>
        <w:t xml:space="preserve"> </w:t>
      </w:r>
      <w:r>
        <w:t xml:space="preserve">Under the modeled assumptions, the United States urogynecology workforce is not approaching a near-term national replacement cliff. Projected supply also grew faster than population-based measures of need through 2050. However, more physicians nationally does not establish workforce adequacy: the analysis does not measure utilization, wait times, geographic access, clinical effort, or operative capacity, and both the departure classification and long-horizon projection remain provisional.</w:t>
      </w:r>
    </w:p>
    <w:bookmarkEnd w:id="10"/>
    <w:bookmarkEnd w:id="11"/>
    <w:bookmarkStart w:id="12"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2"/>
    <w:bookmarkStart w:id="20" w:name="materials-and-methods"/>
    <w:p>
      <w:pPr>
        <w:pStyle w:val="Heading1"/>
      </w:pPr>
      <w:r>
        <w:t xml:space="preserve">Materials and Methods</w:t>
      </w:r>
    </w:p>
    <w:bookmarkStart w:id="13"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3"/>
    <w:bookmarkStart w:id="14"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4"/>
    <w:bookmarkStart w:id="15"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5"/>
    <w:bookmarkStart w:id="16"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6"/>
    <w:bookmarkStart w:id="17"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The completion-to-departure ratio’s 95% uncertainty interval was obtained from the same draws, dividing annual completions by the resulting mean annual departures. A multidimensional sensitivity analysis crossed the observation window (the primary 2016–2021 period; a further-restricted 2016–2019 period; and a 2016–2023 window that intentionally retains 2022–2023 departures not yet confirmable under the three-year rule, a deliberately less-observable, upward-biased scenario),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7"/>
    <w:bookmarkStart w:id="18"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both as headcount and as productivity-adjusted capacity: each subspecialist was weighted by an estimated clinical-time fraction derived from published gynecologic-subspecialist effort data,</w:t>
      </w:r>
      <w:hyperlink w:anchor="ref-temkin2022fte">
        <w:r>
          <w:rPr>
            <w:rStyle w:val="Hyperlink"/>
            <w:vertAlign w:val="superscript"/>
          </w:rPr>
          <w:t xml:space="preserve">17</w:t>
        </w:r>
      </w:hyperlink>
      <w:r>
        <w:t xml:space="preserve"> </w:t>
      </w:r>
      <w:r>
        <w:t xml:space="preserve">applied to both the obstetrics-gynecology and urology pathways and varied in sensitivity analysis. This is a modeled capacity adjustment, not observed full-time-equivalent effort. The primary projection is the immediate-entry status-quo model over 2025–2029; the same immediate-entry inputs were carried through 2050 as an exploratory scenario extension aligned with the demographic projections, whose long-horizon values are provisional rather than validated forecasts. An accompanying interactive web application allows the productivity, pathway, and scenario assumptions to be varied.</w:t>
      </w:r>
      <w:hyperlink w:anchor="ref-muffly_urps_explorer">
        <w:r>
          <w:rPr>
            <w:rStyle w:val="Hyperlink"/>
            <w:vertAlign w:val="superscript"/>
          </w:rPr>
          <w:t xml:space="preserve">18</w:t>
        </w:r>
      </w:hyperlink>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8"/>
    <w:bookmarkStart w:id="19"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19</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9"/>
    <w:bookmarkEnd w:id="20"/>
    <w:bookmarkStart w:id="34" w:name="results"/>
    <w:p>
      <w:pPr>
        <w:pStyle w:val="Heading1"/>
      </w:pPr>
      <w:r>
        <w:t xml:space="preserve">Results</w:t>
      </w:r>
    </w:p>
    <w:bookmarkStart w:id="21"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21"/>
    <w:bookmarkStart w:id="25"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200400"/>
            <wp:effectExtent b="0" l="0" r="0" t="0"/>
            <wp:docPr descr="Figure 1. 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 title="" id="23" name="Picture"/>
            <a:graphic>
              <a:graphicData uri="http://schemas.openxmlformats.org/drawingml/2006/picture">
                <pic:pic>
                  <pic:nvPicPr>
                    <pic:cNvPr descr="manuscript_WORKFORCE_CLIFF_files/figures/figure1-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w:t>
      </w:r>
    </w:p>
    <w:p>
      <w:pPr>
        <w:pStyle w:val="BodyText"/>
      </w:pPr>
      <w:r>
        <w:t xml:space="preserve">Under the status-quo scenario, the projected 2029 urogynecology workforce rose from the 2025 baseline of 1,306 to 1,466 (transition-adjusted) or 1,514 (immediate-entry), an increase of up to 16.0%; the completion-to-departure ratio was 5.4 (95% uncertainty interval 3.9 to 6.5). The gynecologic oncology comparator rose from 1,052 to 1,262–1,310, with a ratio of 7.1. Both cohorts exceeded the 2025 baseline under all three entrant scenarios (Table 2, Figure 1).</w:t>
      </w:r>
    </w:p>
    <w:bookmarkEnd w:id="25"/>
    <w:bookmarkStart w:id="29"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5.6- to 7.1-fold or graduate output to fall 82% to 86% (Appendix S10).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200400"/>
            <wp:effectExtent b="0" l="0" r="0" t="0"/>
            <wp:docPr descr="Figure 2. 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 title="" id="27" name="Picture"/>
            <a:graphic>
              <a:graphicData uri="http://schemas.openxmlformats.org/drawingml/2006/picture">
                <pic:pic>
                  <pic:nvPicPr>
                    <pic:cNvPr descr="manuscript_WORKFORCE_CLIFF_files/figures/figure2-1.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w:t>
      </w:r>
    </w:p>
    <w:bookmarkEnd w:id="29"/>
    <w:bookmarkStart w:id="33" w:name="supply-relative-to-demographic-need"/>
    <w:p>
      <w:pPr>
        <w:pStyle w:val="Heading2"/>
      </w:pPr>
      <w:r>
        <w:t xml:space="preserve">Supply Relative to Demographic Need</w:t>
      </w:r>
    </w:p>
    <w:p>
      <w:pPr>
        <w:pStyle w:val="FirstParagraph"/>
      </w:pPr>
      <w:r>
        <w:t xml:space="preserve">In the exploratory 2030–2050 scenario extension, projected urogynecology supply (immediate-entry headcount)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5185833"/>
            <wp:effectExtent b="0" l="0" r="0" t="0"/>
            <wp:docPr descr="Figure 3. 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 title="" id="31" name="Picture"/>
            <a:graphic>
              <a:graphicData uri="http://schemas.openxmlformats.org/drawingml/2006/picture">
                <pic:pic>
                  <pic:nvPicPr>
                    <pic:cNvPr descr="manuscript_WORKFORCE_CLIFF_files/figures/figure-integrated-supply-demand-1.png" id="32" name="Picture"/>
                    <pic:cNvPicPr>
                      <a:picLocks noChangeArrowheads="1" noChangeAspect="1"/>
                    </pic:cNvPicPr>
                  </pic:nvPicPr>
                  <pic:blipFill>
                    <a:blip r:embed="rId30"/>
                    <a:stretch>
                      <a:fillRect/>
                    </a:stretch>
                  </pic:blipFill>
                  <pic:spPr bwMode="auto">
                    <a:xfrm>
                      <a:off x="0" y="0"/>
                      <a:ext cx="5334000" cy="51858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3"/>
    <w:bookmarkEnd w:id="34"/>
    <w:bookmarkStart w:id="35"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20</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21</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5"/>
    <w:bookmarkStart w:id="76" w:name="references"/>
    <w:p>
      <w:pPr>
        <w:pStyle w:val="Heading1"/>
      </w:pPr>
      <w:r>
        <w:t xml:space="preserve">References</w:t>
      </w:r>
    </w:p>
    <w:bookmarkStart w:id="75" w:name="refs"/>
    <w:bookmarkStart w:id="3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6">
        <w:r>
          <w:rPr>
            <w:rStyle w:val="Hyperlink"/>
          </w:rPr>
          <w:t xml:space="preserve">10.1001/jama.300.11.1311</w:t>
        </w:r>
      </w:hyperlink>
    </w:p>
    <w:bookmarkEnd w:id="37"/>
    <w:bookmarkStart w:id="39"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8">
        <w:r>
          <w:rPr>
            <w:rStyle w:val="Hyperlink"/>
          </w:rPr>
          <w:t xml:space="preserve">10.1097/SPV.0000000000000302</w:t>
        </w:r>
      </w:hyperlink>
    </w:p>
    <w:bookmarkEnd w:id="39"/>
    <w:bookmarkStart w:id="41"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40">
        <w:r>
          <w:rPr>
            <w:rStyle w:val="Hyperlink"/>
          </w:rPr>
          <w:t xml:space="preserve">10.1097/01.SLA.0000081085.98792.3d</w:t>
        </w:r>
      </w:hyperlink>
    </w:p>
    <w:bookmarkEnd w:id="41"/>
    <w:bookmarkStart w:id="43"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2">
        <w:r>
          <w:rPr>
            <w:rStyle w:val="Hyperlink"/>
          </w:rPr>
          <w:t xml:space="preserve">10.1016/j.jtcvs.2014.03.031</w:t>
        </w:r>
      </w:hyperlink>
    </w:p>
    <w:bookmarkEnd w:id="43"/>
    <w:bookmarkStart w:id="45"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4">
        <w:r>
          <w:rPr>
            <w:rStyle w:val="Hyperlink"/>
          </w:rPr>
          <w:t xml:space="preserve">10.1097/SLA.0b013e31826fccfa</w:t>
        </w:r>
      </w:hyperlink>
    </w:p>
    <w:bookmarkEnd w:id="45"/>
    <w:bookmarkStart w:id="47"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6">
        <w:r>
          <w:rPr>
            <w:rStyle w:val="Hyperlink"/>
          </w:rPr>
          <w:t xml:space="preserve">10.1186/s12960-024-00895-z</w:t>
        </w:r>
      </w:hyperlink>
    </w:p>
    <w:bookmarkEnd w:id="47"/>
    <w:bookmarkStart w:id="49"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8">
        <w:r>
          <w:rPr>
            <w:rStyle w:val="Hyperlink"/>
          </w:rPr>
          <w:t xml:space="preserve">10.1016/j.ogc.2025.07.001</w:t>
        </w:r>
      </w:hyperlink>
    </w:p>
    <w:bookmarkEnd w:id="49"/>
    <w:bookmarkStart w:id="51"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50">
        <w:r>
          <w:rPr>
            <w:rStyle w:val="Hyperlink"/>
          </w:rPr>
          <w:t xml:space="preserve">10.1016/j.ajo.2026.03.021</w:t>
        </w:r>
      </w:hyperlink>
    </w:p>
    <w:bookmarkEnd w:id="51"/>
    <w:bookmarkStart w:id="52"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2"/>
    <w:bookmarkStart w:id="54"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3">
        <w:r>
          <w:rPr>
            <w:rStyle w:val="Hyperlink"/>
          </w:rPr>
          <w:t xml:space="preserve">10.7326/0003-4819-147-8-200710160-00010</w:t>
        </w:r>
      </w:hyperlink>
    </w:p>
    <w:bookmarkEnd w:id="54"/>
    <w:bookmarkStart w:id="56"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5">
        <w:r>
          <w:rPr>
            <w:rStyle w:val="Hyperlink"/>
          </w:rPr>
          <w:t xml:space="preserve">10.1002/nau.70018</w:t>
        </w:r>
      </w:hyperlink>
    </w:p>
    <w:bookmarkEnd w:id="56"/>
    <w:bookmarkStart w:id="57"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7"/>
    <w:bookmarkStart w:id="59"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8">
        <w:r>
          <w:rPr>
            <w:rStyle w:val="Hyperlink"/>
          </w:rPr>
          <w:t xml:space="preserve">10.7326/ANNALS-25-00564</w:t>
        </w:r>
      </w:hyperlink>
    </w:p>
    <w:bookmarkEnd w:id="59"/>
    <w:bookmarkStart w:id="61"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60">
        <w:r>
          <w:rPr>
            <w:rStyle w:val="Hyperlink"/>
          </w:rPr>
          <w:t xml:space="preserve">10.1097/XCS.0000000000001905</w:t>
        </w:r>
      </w:hyperlink>
    </w:p>
    <w:bookmarkEnd w:id="61"/>
    <w:bookmarkStart w:id="63"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2">
        <w:r>
          <w:rPr>
            <w:rStyle w:val="Hyperlink"/>
          </w:rPr>
          <w:t xml:space="preserve">https://www.acgme.org/about/publications-and-resources/graduate-medical-education-data-resource-book/</w:t>
        </w:r>
      </w:hyperlink>
    </w:p>
    <w:bookmarkEnd w:id="63"/>
    <w:bookmarkStart w:id="65"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4">
        <w:r>
          <w:rPr>
            <w:rStyle w:val="Hyperlink"/>
          </w:rPr>
          <w:t xml:space="preserve">10.1097/og9.0000000000000153</w:t>
        </w:r>
      </w:hyperlink>
    </w:p>
    <w:bookmarkEnd w:id="65"/>
    <w:bookmarkStart w:id="67"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6">
        <w:r>
          <w:rPr>
            <w:rStyle w:val="Hyperlink"/>
          </w:rPr>
          <w:t xml:space="preserve">10.1016/j.ygyno.2021.12.032</w:t>
        </w:r>
      </w:hyperlink>
    </w:p>
    <w:bookmarkEnd w:id="67"/>
    <w:bookmarkStart w:id="68" w:name="ref-muffly_urps_explorer"/>
    <w:p>
      <w:pPr>
        <w:pStyle w:val="Bibliography"/>
      </w:pPr>
      <w:r>
        <w:t xml:space="preserve">18.</w:t>
      </w:r>
      <w:r>
        <w:t xml:space="preserve"> </w:t>
      </w:r>
      <w:r>
        <w:t xml:space="preserve">	</w:t>
      </w:r>
      <w:r>
        <w:t xml:space="preserve">Muffly T. Urogynecology workforce supply-and-demand explorer: An interactive web application. Published online 2026.</w:t>
      </w:r>
    </w:p>
    <w:bookmarkEnd w:id="68"/>
    <w:bookmarkStart w:id="70" w:name="ref-rcoreteam2023"/>
    <w:p>
      <w:pPr>
        <w:pStyle w:val="Bibliography"/>
      </w:pPr>
      <w:r>
        <w:t xml:space="preserve">19.</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9">
        <w:r>
          <w:rPr>
            <w:rStyle w:val="Hyperlink"/>
          </w:rPr>
          <w:t xml:space="preserve">https://www.R-project.org/</w:t>
        </w:r>
      </w:hyperlink>
    </w:p>
    <w:bookmarkEnd w:id="70"/>
    <w:bookmarkStart w:id="72" w:name="ref-holtzman2025"/>
    <w:p>
      <w:pPr>
        <w:pStyle w:val="Bibliography"/>
      </w:pPr>
      <w:r>
        <w:t xml:space="preserve">20.</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71">
        <w:r>
          <w:rPr>
            <w:rStyle w:val="Hyperlink"/>
          </w:rPr>
          <w:t xml:space="preserve">10.1016/j.ygyno.2025.09.003</w:t>
        </w:r>
      </w:hyperlink>
    </w:p>
    <w:bookmarkEnd w:id="72"/>
    <w:bookmarkStart w:id="74" w:name="ref-chen2026geographic"/>
    <w:p>
      <w:pPr>
        <w:pStyle w:val="Bibliography"/>
      </w:pPr>
      <w:r>
        <w:t xml:space="preserve">21.</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3">
        <w:r>
          <w:rPr>
            <w:rStyle w:val="Hyperlink"/>
          </w:rPr>
          <w:t xml:space="preserve">10.1097/AOG.0000000000006069</w:t>
        </w:r>
      </w:hyperlink>
    </w:p>
    <w:bookmarkEnd w:id="74"/>
    <w:bookmarkEnd w:id="75"/>
    <w:bookmarkEnd w:id="76"/>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2026-08-03T04:01:09Z</dcterms:created>
  <dcterms:modified xsi:type="dcterms:W3CDTF">2026-08-03T04:01:09Z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 reports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A national urogynecology replacement cliff was not supported; fellowship output exceeded projected departures, but rising headcount did not establish access or operative capacity.</vt:lpwstr>
  </property>
  <property fmtid="{D5CDD505-2E9C-101B-9397-08002B2CF9AE}" pid="13" name="running_head">
    <vt:lpwstr>Urogynecology Workforce Through 2050</vt:lpwstr>
  </property>
  <property fmtid="{D5CDD505-2E9C-101B-9397-08002B2CF9AE}" pid="14" name="word_count">
    <vt:lpwstr>3,000 words</vt:lpwstr>
  </property>
</Properties>
</file>