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2.png" ContentType="image/png"/>
  <Override PartName="/word/media/rId58.png" ContentType="image/png"/>
  <Override PartName="/word/media/rId5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Supplemental Digital Content</w:t>
      </w:r>
    </w:p>
    <w:p>
      <w:pPr>
        <w:pStyle w:val="Subtitle"/>
      </w:pPr>
      <w:r>
        <w:t xml:space="preserve">Supplemental Digital Content for Projected Clinical-Practice Departure and Fellowship Pipeline Balance in Gynecologic Oncology and Urogynecology, 2025-2029, Including Exploratory MIGS Analyses</w:t>
      </w:r>
    </w:p>
    <w:bookmarkStart w:id="12" w:name="appendix-s1.-supplemental-methods"/>
    <w:p>
      <w:pPr>
        <w:pStyle w:val="Heading1"/>
      </w:pPr>
      <w:r>
        <w:t xml:space="preserve">Appendix S1. Supplemental Methods</w:t>
      </w:r>
    </w:p>
    <w:bookmarkStart w:id="9" w:name="X4b2121ca205d8d21b7d44ea6c12b4a14181ba35"/>
    <w:p>
      <w:pPr>
        <w:pStyle w:val="Heading2"/>
      </w:pPr>
      <w:r>
        <w:t xml:space="preserve">Six-source hierarchical clinical-practice departure detection</w:t>
      </w:r>
    </w:p>
    <w:p>
      <w:pPr>
        <w:pStyle w:val="FirstParagraph"/>
      </w:pPr>
      <w:r>
        <w:t xml:space="preserve">Clinical-practice departure was classified by integrating six administrative</w:t>
      </w:r>
      <w:r>
        <w:t xml:space="preserve"> </w:t>
      </w:r>
      <w:r>
        <w:t xml:space="preserve">evidence streams, each assigned a fixed priority (for conflict resolution) and</w:t>
      </w:r>
      <w:r>
        <w:t xml:space="preserve"> </w:t>
      </w:r>
      <w:r>
        <w:t xml:space="preserve">confidence weight (Appendix Table S2). Higher-priority sources overrode</w:t>
      </w:r>
      <w:r>
        <w:t xml:space="preserve"> </w:t>
      </w:r>
      <w:r>
        <w:t xml:space="preserve">lower-priority sources when signals disagreed. The confidence weights determine the</w:t>
      </w:r>
      <w:r>
        <w:t xml:space="preserve"> </w:t>
      </w:r>
      <w:r>
        <w:t xml:space="preserve">consensus departure</w:t>
      </w:r>
      <w:r>
        <w:t xml:space="preserve"> </w:t>
      </w:r>
      <w:r>
        <w:rPr>
          <w:i/>
          <w:iCs/>
        </w:rPr>
        <w:t xml:space="preserve">year</w:t>
      </w:r>
      <w:r>
        <w:t xml:space="preserve"> </w:t>
      </w:r>
      <w:r>
        <w:t xml:space="preserve">and a confidence score; they do not set a departure-versus-active</w:t>
      </w:r>
      <w:r>
        <w:t xml:space="preserve"> </w:t>
      </w:r>
      <w:r>
        <w:t xml:space="preserve">threshold. A candidate departure is detected when at least one qualifying cessation</w:t>
      </w:r>
      <w:r>
        <w:t xml:space="preserve"> </w:t>
      </w:r>
      <w:r>
        <w:t xml:space="preserve">signal fires (each only for physicians with prior positive evidence in that source) and</w:t>
      </w:r>
      <w:r>
        <w:t xml:space="preserve"> </w:t>
      </w:r>
      <w:r>
        <w:t xml:space="preserve">no active counter-signal overrides (see the explicit Step 1/Step 2 rule in Appendix S4).</w:t>
      </w:r>
      <w:r>
        <w:t xml:space="preserve"> </w:t>
      </w:r>
      <w:r>
        <w:t xml:space="preserve">As in the main text,</w:t>
      </w:r>
      <w:r>
        <w:t xml:space="preserve"> </w:t>
      </w:r>
      <w:r>
        <w:t xml:space="preserve">“departure”</w:t>
      </w:r>
      <w:r>
        <w:t xml:space="preserve"> </w:t>
      </w:r>
      <w:r>
        <w:t xml:space="preserve">denotes sustained departure from active clinical</w:t>
      </w:r>
      <w:r>
        <w:t xml:space="preserve"> </w:t>
      </w:r>
      <w:r>
        <w:t xml:space="preserve">practice, not age-related retirement.</w:t>
      </w:r>
    </w:p>
    <w:p>
      <w:pPr>
        <w:pStyle w:val="BodyText"/>
      </w:pPr>
      <w:r>
        <w:t xml:space="preserve">A single uniform three-year cessation rule was applied to both cohorts; no</w:t>
      </w:r>
      <w:r>
        <w:t xml:space="preserve"> </w:t>
      </w:r>
      <w:r>
        <w:t xml:space="preserve">subspecialty-specific inactivity threshold was used. The full algorithm, including the</w:t>
      </w:r>
      <w:r>
        <w:t xml:space="preserve"> </w:t>
      </w:r>
      <w:r>
        <w:t xml:space="preserve">exact Step 1/Step 2 Boolean rule, tie-breaking, prior-evidence requirements, and</w:t>
      </w:r>
      <w:r>
        <w:t xml:space="preserve"> </w:t>
      </w:r>
      <w:r>
        <w:t xml:space="preserve">missing-data handling, is specified in Appendix S4.</w:t>
      </w:r>
    </w:p>
    <w:bookmarkEnd w:id="9"/>
    <w:bookmarkStart w:id="10" w:name="workforce-projection"/>
    <w:p>
      <w:pPr>
        <w:pStyle w:val="Heading2"/>
      </w:pPr>
      <w:r>
        <w:t xml:space="preserve">Workforce projection</w:t>
      </w:r>
    </w:p>
    <w:p>
      <w:pPr>
        <w:pStyle w:val="FirstParagraph"/>
      </w:pPr>
      <w:r>
        <w:t xml:space="preserve">The active workforce was projected with a dynamic age-structured stock-flow model</w:t>
      </w:r>
      <w:r>
        <w:t xml:space="preserve"> </w:t>
      </w:r>
      <w:r>
        <w:t xml:space="preserve">over the four-year horizon (2025-2029). The workforce was represented as its</w:t>
      </w:r>
      <w:r>
        <w:t xml:space="preserve"> </w:t>
      </w:r>
      <w:r>
        <w:t xml:space="preserve">distribution of active physicians by age. In each year every physician aged one</w:t>
      </w:r>
      <w:r>
        <w:t xml:space="preserve"> </w:t>
      </w:r>
      <w:r>
        <w:t xml:space="preserve">year, the empirical age-band departure hazard was applied to the current age</w:t>
      </w:r>
      <w:r>
        <w:t xml:space="preserve"> </w:t>
      </w:r>
      <w:r>
        <w:t xml:space="preserve">distribution to yield that year’s departures, and that year’s fellowship</w:t>
      </w:r>
      <w:r>
        <w:t xml:space="preserve"> </w:t>
      </w:r>
      <w:r>
        <w:t xml:space="preserve">graduates were added at their entry age; the survivors and new entrants formed</w:t>
      </w:r>
      <w:r>
        <w:t xml:space="preserve"> </w:t>
      </w:r>
      <w:r>
        <w:t xml:space="preserve">the next year’s distribution. Because the cohort ages into higher-hazard bands,</w:t>
      </w:r>
      <w:r>
        <w:t xml:space="preserve"> </w:t>
      </w:r>
      <w:r>
        <w:t xml:space="preserve">this produces modestly more departures than a static single-rate projection; for</w:t>
      </w:r>
      <w:r>
        <w:t xml:space="preserve"> </w:t>
      </w:r>
      <w:r>
        <w:t xml:space="preserve">transparency the static projection (2025 baseline plus the four-year net of</w:t>
      </w:r>
      <w:r>
        <w:t xml:space="preserve"> </w:t>
      </w:r>
      <w:r>
        <w:t xml:space="preserve">graduates and baseline-rate departures) is retained as a benchmark</w:t>
      </w:r>
      <w:r>
        <w:t xml:space="preserve"> </w:t>
      </w:r>
      <w:r>
        <w:t xml:space="preserve">(Appendix Table S1).</w:t>
      </w:r>
    </w:p>
    <w:p>
      <w:pPr>
        <w:pStyle w:val="BodyText"/>
      </w:pPr>
      <w:r>
        <w:t xml:space="preserve">The age-band departure hazards were derived empirically from the study cohort’s own</w:t>
      </w:r>
      <w:r>
        <w:t xml:space="preserve"> </w:t>
      </w:r>
      <w:r>
        <w:t xml:space="preserve">departures over the fully observable window 2016-2021: a person-year life table</w:t>
      </w:r>
      <w:r>
        <w:t xml:space="preserve"> </w:t>
      </w:r>
      <w:r>
        <w:t xml:space="preserve">produced age-band annual hazards (events divided by person-years at risk within</w:t>
      </w:r>
      <w:r>
        <w:t xml:space="preserve"> </w:t>
      </w:r>
      <w:r>
        <w:t xml:space="preserve">each band, with age reconstructed from the board-certification year). Because</w:t>
      </w:r>
      <w:r>
        <w:t xml:space="preserve"> </w:t>
      </w:r>
      <w:r>
        <w:t xml:space="preserve">departure events are sparse within any single subspecialty age band, a single</w:t>
      </w:r>
      <w:r>
        <w:t xml:space="preserve"> </w:t>
      </w:r>
      <w:r>
        <w:rPr>
          <w:b/>
          <w:bCs/>
        </w:rPr>
        <w:t xml:space="preserve">pooled</w:t>
      </w:r>
      <w:r>
        <w:t xml:space="preserve"> </w:t>
      </w:r>
      <w:r>
        <w:t xml:space="preserve">age-band hazard was estimated across the gynecologic surgical</w:t>
      </w:r>
      <w:r>
        <w:t xml:space="preserve"> </w:t>
      </w:r>
      <w:r>
        <w:t xml:space="preserve">subspecialties and applied to each subspecialty’s own active-age distribution; the</w:t>
      </w:r>
      <w:r>
        <w:t xml:space="preserve"> </w:t>
      </w:r>
      <w:r>
        <w:t xml:space="preserve">per-subspecialty rates differ because of age structure, not separate estimation.</w:t>
      </w:r>
      <w:r>
        <w:t xml:space="preserve"> </w:t>
      </w:r>
      <w:r>
        <w:t xml:space="preserve">Appendix S6b reports the by-band event and person-year counts, the unpooled</w:t>
      </w:r>
      <w:r>
        <w:t xml:space="preserve"> </w:t>
      </w:r>
      <w:r>
        <w:t xml:space="preserve">subspecialty-specific hazards, and the pooled hazard, and shows that the pooling</w:t>
      </w:r>
      <w:r>
        <w:t xml:space="preserve"> </w:t>
      </w:r>
      <w:r>
        <w:t xml:space="preserve">assumption (not separate fitting) determines which subspecialty’s rate is higher.</w:t>
      </w:r>
      <w:r>
        <w:t xml:space="preserve"> </w:t>
      </w:r>
      <w:r>
        <w:t xml:space="preserve">Because the classifier requires a sustained multi-year absence and the data end in</w:t>
      </w:r>
      <w:r>
        <w:t xml:space="preserve"> </w:t>
      </w:r>
      <w:r>
        <w:t xml:space="preserve">2023-2024, departures dated 2022-2023 are unconfirmable and were treated as</w:t>
      </w:r>
      <w:r>
        <w:t xml:space="preserve"> </w:t>
      </w:r>
      <w:r>
        <w:t xml:space="preserve">right-censored (they otherwise inflate the rate as provisional over-flags). Applied</w:t>
      </w:r>
      <w:r>
        <w:t xml:space="preserve"> </w:t>
      </w:r>
      <w:r>
        <w:t xml:space="preserve">to the 2025 active-age distribution the pooled hazard implies departure rates of</w:t>
      </w:r>
      <w:r>
        <w:t xml:space="preserve"> </w:t>
      </w:r>
      <w:r>
        <w:t xml:space="preserve">0.8% to 1.2% per year, at or below the 1.5% to 1.7% national all-surgeon attrition</w:t>
      </w:r>
      <w:r>
        <w:t xml:space="preserve"> </w:t>
      </w:r>
      <w:r>
        <w:t xml:space="preserve">benchmark, consistent with these being low-attrition specialties. The URPS baseline</w:t>
      </w:r>
      <w:r>
        <w:t xml:space="preserve"> </w:t>
      </w:r>
      <w:r>
        <w:t xml:space="preserve">is the both-pathway (ABOG plus ABU) active workforce.</w:t>
      </w:r>
    </w:p>
    <w:p>
      <w:pPr>
        <w:pStyle w:val="BodyText"/>
      </w:pPr>
      <w:r>
        <w:t xml:space="preserve">The 2025 active baseline is an estimate carried forward from the most recent</w:t>
      </w:r>
      <w:r>
        <w:t xml:space="preserve"> </w:t>
      </w:r>
      <w:r>
        <w:t xml:space="preserve">administrative signals (Medicare through 2023, Open Payments through 2024), not a</w:t>
      </w:r>
      <w:r>
        <w:t xml:space="preserve"> </w:t>
      </w:r>
      <w:r>
        <w:t xml:space="preserve">directly observed 2025 census; it could therefore misclassify physicians who departed</w:t>
      </w:r>
      <w:r>
        <w:t xml:space="preserve"> </w:t>
      </w:r>
      <w:r>
        <w:t xml:space="preserve">in 2023-2024 (whose sustained absence is not yet confirmable) or omit physicians</w:t>
      </w:r>
      <w:r>
        <w:t xml:space="preserve"> </w:t>
      </w:r>
      <w:r>
        <w:t xml:space="preserve">entering after the data freeze. To bound this, net annual additions (entrants minus</w:t>
      </w:r>
      <w:r>
        <w:t xml:space="preserve"> </w:t>
      </w:r>
      <w:r>
        <w:t xml:space="preserve">departures) are about +62 for Gynecologic Oncology and +50 for URPS, so a one- to</w:t>
      </w:r>
      <w:r>
        <w:t xml:space="preserve"> </w:t>
      </w:r>
      <w:r>
        <w:t xml:space="preserve">two-year baseline lag shifts the 2025 baseline and the 2029 count by at most roughly</w:t>
      </w:r>
      <w:r>
        <w:t xml:space="preserve"> </w:t>
      </w:r>
      <w:r>
        <w:t xml:space="preserve">60 to 120 (Gynecologic Oncology) and 50 to 100 (URPS), about 5% to 9% of the workforce.</w:t>
      </w:r>
      <w:r>
        <w:t xml:space="preserve"> </w:t>
      </w:r>
      <w:r>
        <w:t xml:space="preserve">Because recent net flow is positive, an under-counted baseline would make the projected</w:t>
      </w:r>
      <w:r>
        <w:t xml:space="preserve"> </w:t>
      </w:r>
      <w:r>
        <w:t xml:space="preserve">growth if anything conservative; a retained-departure bias would act in the opposite</w:t>
      </w:r>
      <w:r>
        <w:t xml:space="preserve"> </w:t>
      </w:r>
      <w:r>
        <w:t xml:space="preserve">direction and partly offset it. The completion-to-departure ratio, a flow balance of entrants to</w:t>
      </w:r>
      <w:r>
        <w:t xml:space="preserve"> </w:t>
      </w:r>
      <w:r>
        <w:t xml:space="preserve">departures, is unaffected by baseline level in either direction. This baseline-lag</w:t>
      </w:r>
      <w:r>
        <w:t xml:space="preserve"> </w:t>
      </w:r>
      <w:r>
        <w:t xml:space="preserve">uncertainty is not captured in the parameter-uncertainty interval.</w:t>
      </w:r>
    </w:p>
    <w:p>
      <w:pPr>
        <w:pStyle w:val="BodyText"/>
      </w:pPr>
      <w:r>
        <w:t xml:space="preserve">Annual potential entrants were the fellowship completer count, averaged over the</w:t>
      </w:r>
      <w:r>
        <w:t xml:space="preserve"> </w:t>
      </w:r>
      <w:r>
        <w:t xml:space="preserve">four most recent academic years (2020-2021 to 2023-2024): ACGME Data Resource Book</w:t>
      </w:r>
      <w:r>
        <w:t xml:space="preserve"> </w:t>
      </w:r>
      <w:r>
        <w:t xml:space="preserve">graduating residents for Gynecologic Oncology (mean 75) and URPS (both-pathway mean</w:t>
      </w:r>
      <w:r>
        <w:t xml:space="preserve"> </w:t>
      </w:r>
      <w:r>
        <w:t xml:space="preserve">64, obstetrics-gynecology plus urology; Table D.5), and the NRMP/AAGL match fill for</w:t>
      </w:r>
      <w:r>
        <w:t xml:space="preserve"> </w:t>
      </w:r>
      <w:r>
        <w:t xml:space="preserve">MIGS (47), which is not ACGME-accredited and has no ACGME graduate series. NRMP</w:t>
      </w:r>
      <w:r>
        <w:t xml:space="preserve"> </w:t>
      </w:r>
      <w:r>
        <w:t xml:space="preserve">positions filled is retained as a benchmark inflow. Because NRMP counts fellows</w:t>
      </w:r>
      <w:r>
        <w:t xml:space="preserve"> </w:t>
      </w:r>
      <w:r>
        <w:t xml:space="preserve">beginning training, the optimistic scenario lags each 2026 appointment-year matched</w:t>
      </w:r>
      <w:r>
        <w:t xml:space="preserve"> </w:t>
      </w:r>
      <w:r>
        <w:t xml:space="preserve">cohort by its fellowship duration and adds it to graduate output only in the expected</w:t>
      </w:r>
      <w:r>
        <w:t xml:space="preserve"> </w:t>
      </w:r>
      <w:r>
        <w:t xml:space="preserve">completion year: Gynecologic Oncology and obstetrics-gynecology-pathway URPS at 3</w:t>
      </w:r>
      <w:r>
        <w:t xml:space="preserve"> </w:t>
      </w:r>
      <w:r>
        <w:t xml:space="preserve">years (completing 2029), urology-pathway URPS at 2 years (completing 2028); no</w:t>
      </w:r>
      <w:r>
        <w:t xml:space="preserve"> </w:t>
      </w:r>
      <w:r>
        <w:t xml:space="preserve">separate training-attrition discount is applied to the benchmark, and fellows</w:t>
      </w:r>
      <w:r>
        <w:t xml:space="preserve"> </w:t>
      </w:r>
      <w:r>
        <w:t xml:space="preserve">completing after 2029 fall outside the horizon. Within the 2025-2029 window the</w:t>
      </w:r>
      <w:r>
        <w:t xml:space="preserve"> </w:t>
      </w:r>
      <w:r>
        <w:t xml:space="preserve">benchmark therefore raises URPS output in 2028 (urology component) and 2029 (both),</w:t>
      </w:r>
      <w:r>
        <w:t xml:space="preserve"> </w:t>
      </w:r>
      <w:r>
        <w:t xml:space="preserve">and Gynecologic Oncology output in 2029 only.</w:t>
      </w:r>
    </w:p>
    <w:p>
      <w:pPr>
        <w:pStyle w:val="BodyText"/>
      </w:pPr>
      <w:r>
        <w:t xml:space="preserve">Uncertainty in the 2029 count was characterized by a 10,000-iteration Monte Carlo</w:t>
      </w:r>
      <w:r>
        <w:t xml:space="preserve"> </w:t>
      </w:r>
      <w:r>
        <w:t xml:space="preserve">parameter-uncertainty simulation (seed 20260718) that drew each age-band hazard from its Beta(events+0.5,</w:t>
      </w:r>
      <w:r>
        <w:t xml:space="preserve"> </w:t>
      </w:r>
      <w:r>
        <w:t xml:space="preserve">person-years-events+0.5) posterior and each subspecialty’s annual graduate output</w:t>
      </w:r>
      <w:r>
        <w:t xml:space="preserve"> </w:t>
      </w:r>
      <w:r>
        <w:t xml:space="preserve">by empirical resampling of the four observed annual completer counts; the 2.5th and 97.5th percentiles are reported. Structural sensitivity</w:t>
      </w:r>
      <w:r>
        <w:t xml:space="preserve"> </w:t>
      </w:r>
      <w:r>
        <w:t xml:space="preserve">was assessed by varying the observation window (2016-2021, 2016-2019, 2016-2023),</w:t>
      </w:r>
      <w:r>
        <w:t xml:space="preserve"> </w:t>
      </w:r>
      <w:r>
        <w:t xml:space="preserve">the departure rate (up to three times the empirical estimate), and the fraction of</w:t>
      </w:r>
      <w:r>
        <w:t xml:space="preserve"> </w:t>
      </w:r>
      <w:r>
        <w:t xml:space="preserve">graduates entering practice (70% to 100%), each passed through the same dynamic model.</w:t>
      </w:r>
    </w:p>
    <w:bookmarkEnd w:id="10"/>
    <w:bookmarkStart w:id="11" w:name="replacement-balance"/>
    <w:p>
      <w:pPr>
        <w:pStyle w:val="Heading2"/>
      </w:pPr>
      <w:r>
        <w:t xml:space="preserve">Replacement balance</w:t>
      </w:r>
    </w:p>
    <w:p>
      <w:pPr>
        <w:pStyle w:val="FirstParagraph"/>
      </w:pPr>
      <w:r>
        <w:t xml:space="preserve">The completion-to-departure ratio is annual fellowship graduates divided by mean annual</w:t>
      </w:r>
      <w:r>
        <w:t xml:space="preserve"> </w:t>
      </w:r>
      <w:r>
        <w:t xml:space="preserve">departures, describing headcount replacement balance only. Each cohort was labeled</w:t>
      </w:r>
      <w:r>
        <w:t xml:space="preserve"> </w:t>
      </w:r>
      <w:r>
        <w:t xml:space="preserve">above replacement (ratio &gt;1.05), at replacement (0.95-1.05), or below replacement</w:t>
      </w:r>
      <w:r>
        <w:t xml:space="preserve"> </w:t>
      </w:r>
      <w:r>
        <w:t xml:space="preserve">(&lt;0.95); the 20% buffer (1.2) is retained as a stricter</w:t>
      </w:r>
      <w:r>
        <w:t xml:space="preserve"> </w:t>
      </w:r>
      <w:r>
        <w:t xml:space="preserve">sensitivity threshold, not an adequacy standard.</w:t>
      </w:r>
    </w:p>
    <w:bookmarkEnd w:id="11"/>
    <w:bookmarkEnd w:id="12"/>
    <w:bookmarkStart w:id="13" w:name="X27f4a1b7481ffdf57047773fa30db217a0ca2f4"/>
    <w:p>
      <w:pPr>
        <w:pStyle w:val="Heading1"/>
      </w:pPr>
      <w:r>
        <w:t xml:space="preserve">Appendix Table S1. Complete Workforce-Projection Data</w:t>
      </w:r>
    </w:p>
    <w:p>
      <w:pPr>
        <w:pStyle w:val="TableCaption"/>
      </w:pPr>
      <w:r>
        <w:rPr>
          <w:b/>
          <w:bCs/>
        </w:rPr>
        <w:t xml:space="preserve">Appendix Table S1.</w:t>
      </w:r>
      <w:r>
        <w:t xml:space="preserve"> </w:t>
      </w:r>
      <w:r>
        <w:t xml:space="preserve">Complete workforce-projection data for all three gynecologic surgical subspecialties (2025-2029), dynamic age-structured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1. Complete workforce-projection data for all three gynecologic surgical subspecialties (2025-2029), dynamic age-structured model."/>
      </w:tblPr>
      <w:tblGrid>
        <w:gridCol w:w="1768"/>
        <w:gridCol w:w="257"/>
        <w:gridCol w:w="663"/>
        <w:gridCol w:w="699"/>
        <w:gridCol w:w="478"/>
        <w:gridCol w:w="405"/>
        <w:gridCol w:w="515"/>
        <w:gridCol w:w="699"/>
        <w:gridCol w:w="478"/>
        <w:gridCol w:w="515"/>
        <w:gridCol w:w="552"/>
        <w:gridCol w:w="221"/>
        <w:gridCol w:w="6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2025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2029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rate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departures/yr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Graduates/yr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Graduates 4yr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Departures 4yr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Urogynecology and Reconstructive Pelvic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1,494-1,525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Gynecologic Oncology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1,278-1,341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Minimally Invasive Gynecologic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754-798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replacement</w:t>
            </w:r>
          </w:p>
        </w:tc>
      </w:tr>
    </w:tbl>
    <w:p>
      <w:pPr>
        <w:pStyle w:val="BodyText"/>
      </w:pPr>
      <w:r>
        <w:rPr>
          <w:i/>
          <w:iCs/>
        </w:rPr>
        <w:t xml:space="preserve">Primary workforce-projection values derive from the contract-validated consolidated projection dataset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data/workforce_projections_consolidated.csv</w:t>
      </w:r>
      <w:r>
        <w:rPr>
          <w:i/>
          <w:iCs/>
        </w:rPr>
        <w:t xml:space="preserve">); secondary sensitivity analyses derive from their respective version-controlled analytic outputs. Graduate and departure</w:t>
      </w:r>
      <w:r>
        <w:rPr>
          <w:i/>
          <w:iCs/>
        </w:rPr>
        <w:t xml:space="preserve"> </w:t>
      </w:r>
      <w:r>
        <w:rPr>
          <w:i/>
          <w:iCs/>
        </w:rPr>
        <w:t xml:space="preserve">totals both span the same four-year projection horizon. Graduates are ACGME</w:t>
      </w:r>
      <w:r>
        <w:rPr>
          <w:i/>
          <w:iCs/>
        </w:rPr>
        <w:t xml:space="preserve"> </w:t>
      </w:r>
      <w:r>
        <w:rPr>
          <w:i/>
          <w:iCs/>
        </w:rPr>
        <w:t xml:space="preserve">completers (GO, URPS) or the NRMP/AAGL match fill (MIGS, not ACGME-accredited).</w:t>
      </w:r>
      <w:r>
        <w:rPr>
          <w:i/>
          <w:iCs/>
        </w:rPr>
        <w:t xml:space="preserve"> </w:t>
      </w:r>
      <w:r>
        <w:rPr>
          <w:i/>
          <w:iCs/>
        </w:rPr>
        <w:t xml:space="preserve">The 95% interval is the 2.5th to 97.5th percentile of a 10,000-iteration Monte Carlo</w:t>
      </w:r>
      <w:r>
        <w:rPr>
          <w:i/>
          <w:iCs/>
        </w:rPr>
        <w:t xml:space="preserve"> </w:t>
      </w:r>
      <w:r>
        <w:rPr>
          <w:i/>
          <w:iCs/>
        </w:rPr>
        <w:t xml:space="preserve">parameter-uncertainty simulation propagating age-band hazard uncertainty (Beta posteriors) and year-to-year</w:t>
      </w:r>
      <w:r>
        <w:rPr>
          <w:i/>
          <w:iCs/>
        </w:rPr>
        <w:t xml:space="preserve"> </w:t>
      </w:r>
      <w:r>
        <w:rPr>
          <w:i/>
          <w:iCs/>
        </w:rPr>
        <w:t xml:space="preserve">graduate variability (a parameter-uncertainty interval, not a statistical confidence or full predictive interval). URPS, Urogynecology and</w:t>
      </w:r>
      <w:r>
        <w:rPr>
          <w:i/>
          <w:iCs/>
        </w:rPr>
        <w:t xml:space="preserve"> </w:t>
      </w:r>
      <w:r>
        <w:rPr>
          <w:i/>
          <w:iCs/>
        </w:rPr>
        <w:t xml:space="preserve">Reconstructive Pelvic Surgery; GO, Gynecologic Oncology; MIGS, Minimally Invasive</w:t>
      </w:r>
      <w:r>
        <w:rPr>
          <w:i/>
          <w:iCs/>
        </w:rPr>
        <w:t xml:space="preserve"> </w:t>
      </w:r>
      <w:r>
        <w:rPr>
          <w:i/>
          <w:iCs/>
        </w:rPr>
        <w:t xml:space="preserve">Gynecologic Surgery.</w:t>
      </w:r>
    </w:p>
    <w:bookmarkEnd w:id="13"/>
    <w:bookmarkStart w:id="14" w:name="X33cdc14f42133e8f1f350f46125532bea5519c0"/>
    <w:p>
      <w:pPr>
        <w:pStyle w:val="Heading1"/>
      </w:pPr>
      <w:r>
        <w:t xml:space="preserve">Appendix Table S2. Departure-Detection Sources</w:t>
      </w:r>
    </w:p>
    <w:p>
      <w:pPr>
        <w:pStyle w:val="TableCaption"/>
      </w:pPr>
      <w:r>
        <w:rPr>
          <w:b/>
          <w:bCs/>
        </w:rPr>
        <w:t xml:space="preserve">Appendix Table S2.</w:t>
      </w:r>
      <w:r>
        <w:t xml:space="preserve"> </w:t>
      </w:r>
      <w:r>
        <w:t xml:space="preserve">Six-source hierarchical clinical-practice departure-detection framework, priority order, and confidence weights.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2. Six-source hierarchical clinical-practice departure-detection framework, priority order, and confidence weights."/>
      </w:tblPr>
      <w:tblGrid>
        <w:gridCol w:w="2754"/>
        <w:gridCol w:w="619"/>
        <w:gridCol w:w="1239"/>
        <w:gridCol w:w="33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ABMS Maintenance of Certification (MOC)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 lapse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NPPES deactivation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NPI deactivation without reactivation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Payments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payment cessation ≥2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PECOS enrollment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Medicare enrollment disenrollment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Medicare Part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Prescribing cessation ≥3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Medicare Part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cessation ≥3 years</w:t>
            </w:r>
          </w:p>
        </w:tc>
      </w:tr>
    </w:tbl>
    <w:p>
      <w:pPr>
        <w:pStyle w:val="BodyText"/>
      </w:pPr>
      <w:r>
        <w:rPr>
          <w:i/>
          <w:iCs/>
        </w:rPr>
        <w:t xml:space="preserve">ABMS, American Board of Medical Specialties; NPPES, National Plan and Provider</w:t>
      </w:r>
      <w:r>
        <w:rPr>
          <w:i/>
          <w:iCs/>
        </w:rPr>
        <w:t xml:space="preserve"> </w:t>
      </w:r>
      <w:r>
        <w:rPr>
          <w:i/>
          <w:iCs/>
        </w:rPr>
        <w:t xml:space="preserve">Enumeration System; PECOS, Provider Enrollment, Chain, and Ownership System.</w:t>
      </w:r>
    </w:p>
    <w:bookmarkEnd w:id="14"/>
    <w:bookmarkStart w:id="15" w:name="Xdc4c6f126faaa221050256a1410100a5a8bef41"/>
    <w:p>
      <w:pPr>
        <w:pStyle w:val="Heading1"/>
      </w:pPr>
      <w:r>
        <w:t xml:space="preserve">Appendix S2. General Obstetrics and Gynecology Comparator and Benchmark</w:t>
      </w:r>
    </w:p>
    <w:p>
      <w:pPr>
        <w:pStyle w:val="FirstParagraph"/>
      </w:pPr>
      <w:r>
        <w:t xml:space="preserve">To benchmark the departure signal in a large, well-defined population and to</w:t>
      </w:r>
      <w:r>
        <w:t xml:space="preserve"> </w:t>
      </w:r>
      <w:r>
        <w:t xml:space="preserve">probe the young MIGS departure ages, we applied the departure-</w:t>
      </w:r>
      <w:r>
        <w:rPr>
          <w:i/>
          <w:iCs/>
        </w:rPr>
        <w:t xml:space="preserve">detection</w:t>
      </w:r>
      <w:r>
        <w:t xml:space="preserve"> </w:t>
      </w:r>
      <w:r>
        <w:t xml:space="preserve">step (the</w:t>
      </w:r>
      <w:r>
        <w:t xml:space="preserve"> </w:t>
      </w:r>
      <w:r>
        <w:t xml:space="preserve">Open-Payments-inclusive Step 1, before the non-Open-Payments anchor and before</w:t>
      </w:r>
      <w:r>
        <w:t xml:space="preserve"> </w:t>
      </w:r>
      <w:r>
        <w:t xml:space="preserve">age-stratification) to a comparator cohort of general obstetrician-gynecologists</w:t>
      </w:r>
      <w:r>
        <w:t xml:space="preserve"> </w:t>
      </w:r>
      <w:r>
        <w:t xml:space="preserve">(Medicare Doctors and Clinicians file primary specialty</w:t>
      </w:r>
      <w:r>
        <w:t xml:space="preserve"> </w:t>
      </w:r>
      <w:r>
        <w:t xml:space="preserve">“Obstetrics/Gynecology”</w:t>
      </w:r>
      <w:r>
        <w:t xml:space="preserve">,</w:t>
      </w:r>
      <w:r>
        <w:t xml:space="preserve"> </w:t>
      </w:r>
      <w:r>
        <w:t xml:space="preserve">excluding every ABOG-certified subspecialist so the comparator is generalist-only).</w:t>
      </w:r>
      <w:r>
        <w:t xml:space="preserve"> </w:t>
      </w:r>
      <w:r>
        <w:t xml:space="preserve">This is a crude cross-cohort benchmark, NOT the primary classifier: it uses the full</w:t>
      </w:r>
      <w:r>
        <w:t xml:space="preserve"> </w:t>
      </w:r>
      <w:r>
        <w:t xml:space="preserve">certified cohort (Gynecologic Oncology n = 1,190; URPS n = 1,135) rather than the</w:t>
      </w:r>
      <w:r>
        <w:t xml:space="preserve"> </w:t>
      </w:r>
      <w:r>
        <w:t xml:space="preserve">anchored active baseline, a crude non-age-stratified rate rather than the pooled</w:t>
      </w:r>
      <w:r>
        <w:t xml:space="preserve"> </w:t>
      </w:r>
      <w:r>
        <w:t xml:space="preserve">age-band hazard, Open-Payments-inclusive detection rather than the non-Open-Payments</w:t>
      </w:r>
      <w:r>
        <w:t xml:space="preserve"> </w:t>
      </w:r>
      <w:r>
        <w:t xml:space="preserve">anchor, and Healthgrades profile age rather than the certification-anchored age; its</w:t>
      </w:r>
      <w:r>
        <w:t xml:space="preserve"> </w:t>
      </w:r>
      <w:r>
        <w:t xml:space="preserve">departure counts and median ages therefore differ from the primary Table 3 (37 and 35</w:t>
      </w:r>
      <w:r>
        <w:t xml:space="preserve"> </w:t>
      </w:r>
      <w:r>
        <w:t xml:space="preserve">anchored departures; median age 58 and 47) and are not directly comparable to them.</w:t>
      </w:r>
      <w:r>
        <w:t xml:space="preserve"> </w:t>
      </w:r>
      <w:r>
        <w:t xml:space="preserve">Subspecialty was defined by ABOG board certification, not by the administrative</w:t>
      </w:r>
      <w:r>
        <w:t xml:space="preserve"> </w:t>
      </w:r>
      <w:r>
        <w:t xml:space="preserve">specialty code, which lumps all OB/GYN subspecialists under a single generic value.</w:t>
      </w:r>
      <w:r>
        <w:t xml:space="preserve"> </w:t>
      </w:r>
      <w:r>
        <w:t xml:space="preserve">This is a benchmark and negative control, not an individual-level validation, and the</w:t>
      </w:r>
      <w:r>
        <w:t xml:space="preserve"> </w:t>
      </w:r>
      <w:r>
        <w:t xml:space="preserve">generalists are not pooled with the subspecialty projections; the pooled age-band</w:t>
      </w:r>
      <w:r>
        <w:t xml:space="preserve"> </w:t>
      </w:r>
      <w:r>
        <w:t xml:space="preserve">hazard applied to specialty-specific age distributions remains the primary model input.</w:t>
      </w:r>
    </w:p>
    <w:p>
      <w:pPr>
        <w:pStyle w:val="BodyText"/>
      </w:pPr>
      <w:r>
        <w:t xml:space="preserve">Age at departure used the physicians’ actual Healthgrades profile age for the</w:t>
      </w:r>
      <w:r>
        <w:t xml:space="preserve"> </w:t>
      </w:r>
      <w:r>
        <w:t xml:space="preserve">ABOG subspecialists (Healthgrades does not scrape a generalist roster) and the</w:t>
      </w:r>
      <w:r>
        <w:t xml:space="preserve"> </w:t>
      </w:r>
      <w:r>
        <w:t xml:space="preserve">graduation-year proxy for the general cohort; a single-source graduation-year</w:t>
      </w:r>
      <w:r>
        <w:t xml:space="preserve"> </w:t>
      </w:r>
      <w:r>
        <w:t xml:space="preserve">column is shown for a like-for-like comparison across all four cohorts.</w:t>
      </w:r>
    </w:p>
    <w:p>
      <w:pPr>
        <w:pStyle w:val="TableCaption"/>
      </w:pPr>
      <w:r>
        <w:rPr>
          <w:b/>
          <w:bCs/>
        </w:rPr>
        <w:t xml:space="preserve">Appendix Table S3.</w:t>
      </w:r>
      <w:r>
        <w:t xml:space="preserve"> </w:t>
      </w:r>
      <w:r>
        <w:t xml:space="preserve">General obstetrics and gynecology comparator versus the three subspecialty cohorts, using the crude Open-Payments-inclusive detection-layer rate (not the primary anchored, age-stratified classifier) on the full certified cohort with Healthgrades ages. Counts and median ages therefore differ from the primary Table 3 and are a cross-cohort benchmark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3. General obstetrics and gynecology comparator versus the three subspecialty cohorts, using the crude Open-Payments-inclusive detection-layer rate (not the primary anchored, age-stratified classifier) on the full certified cohort with Healthgrades ages. Counts and median ages therefore differ from the primary Table 3 and are a cross-cohort benchmark only."/>
      </w:tblPr>
      <w:tblGrid>
        <w:gridCol w:w="771"/>
        <w:gridCol w:w="360"/>
        <w:gridCol w:w="1337"/>
        <w:gridCol w:w="822"/>
        <w:gridCol w:w="1080"/>
        <w:gridCol w:w="308"/>
        <w:gridCol w:w="1491"/>
        <w:gridCol w:w="17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departure rate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departure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Departures before age 50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age, graduation-year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OB/GYN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graduation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Healthgrades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Healthgrades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Healthgrades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</w:tbl>
    <w:p>
      <w:pPr>
        <w:pStyle w:val="BodyText"/>
      </w:pPr>
      <w:r>
        <w:rPr>
          <w:i/>
          <w:iCs/>
        </w:rPr>
        <w:t xml:space="preserve">Crude (non-age-stratified) annual departure rates are for cross-cohort</w:t>
      </w:r>
      <w:r>
        <w:rPr>
          <w:i/>
          <w:iCs/>
        </w:rPr>
        <w:t xml:space="preserve"> </w:t>
      </w:r>
      <w:r>
        <w:rPr>
          <w:i/>
          <w:iCs/>
        </w:rPr>
        <w:t xml:space="preserve">comparison only and are not the age-stratified rates used in the primary model.</w:t>
      </w:r>
      <w:r>
        <w:rPr>
          <w:i/>
          <w:iCs/>
        </w:rPr>
        <w:t xml:space="preserve"> </w:t>
      </w:r>
      <w:r>
        <w:rPr>
          <w:i/>
          <w:iCs/>
        </w:rPr>
        <w:t xml:space="preserve">Age at departure is Healthgrades profile age for GO, URPS, and MIGS and the</w:t>
      </w:r>
      <w:r>
        <w:rPr>
          <w:i/>
          <w:iCs/>
        </w:rPr>
        <w:t xml:space="preserve"> </w:t>
      </w:r>
      <w:r>
        <w:rPr>
          <w:i/>
          <w:iCs/>
        </w:rPr>
        <w:t xml:space="preserve">graduation-year proxy for the general cohort; the final column places all four on</w:t>
      </w:r>
      <w:r>
        <w:rPr>
          <w:i/>
          <w:iCs/>
        </w:rPr>
        <w:t xml:space="preserve"> </w:t>
      </w:r>
      <w:r>
        <w:rPr>
          <w:i/>
          <w:iCs/>
        </w:rPr>
        <w:t xml:space="preserve">a common graduation-year basis. URPS, Urogynecology and Reconstructive Pelvic</w:t>
      </w:r>
      <w:r>
        <w:rPr>
          <w:i/>
          <w:iCs/>
        </w:rPr>
        <w:t xml:space="preserve"> </w:t>
      </w:r>
      <w:r>
        <w:rPr>
          <w:i/>
          <w:iCs/>
        </w:rPr>
        <w:t xml:space="preserve">Surgery; GO, Gynecologic Oncology; MIGS, Minimally Invasive Gynecologic Surgery.</w:t>
      </w:r>
    </w:p>
    <w:p>
      <w:pPr>
        <w:pStyle w:val="BodyText"/>
      </w:pPr>
      <w:r>
        <w:t xml:space="preserve">Three findings follow. First, young administratively identified departures are not</w:t>
      </w:r>
      <w:r>
        <w:t xml:space="preserve"> </w:t>
      </w:r>
      <w:r>
        <w:t xml:space="preserve">unique to MIGS: the large general obstetrics and gynecology cohort also departs at</w:t>
      </w:r>
      <w:r>
        <w:t xml:space="preserve"> </w:t>
      </w:r>
      <w:r>
        <w:t xml:space="preserve">a young median age with a majority of departures before age 50, indicating that the</w:t>
      </w:r>
      <w:r>
        <w:t xml:space="preserve"> </w:t>
      </w:r>
      <w:r>
        <w:t xml:space="preserve">young-departure pattern is a property of the billing-cessation estimand rather than</w:t>
      </w:r>
      <w:r>
        <w:t xml:space="preserve"> </w:t>
      </w:r>
      <w:r>
        <w:t xml:space="preserve">a MIGS-specific defect. This is best read as a construct-validity</w:t>
      </w:r>
      <w:r>
        <w:t xml:space="preserve"> </w:t>
      </w:r>
      <w:r>
        <w:rPr>
          <w:b/>
          <w:bCs/>
        </w:rPr>
        <w:t xml:space="preserve">warning</w:t>
      </w:r>
      <w:r>
        <w:t xml:space="preserve">: the</w:t>
      </w:r>
      <w:r>
        <w:t xml:space="preserve"> </w:t>
      </w:r>
      <w:r>
        <w:t xml:space="preserve">estimand captures payer exit, employer change, temporary absence, or loss of Medicare</w:t>
      </w:r>
      <w:r>
        <w:t xml:space="preserve"> </w:t>
      </w:r>
      <w:r>
        <w:t xml:space="preserve">visibility in addition to true departure from national clinical practice, and the</w:t>
      </w:r>
      <w:r>
        <w:t xml:space="preserve"> </w:t>
      </w:r>
      <w:r>
        <w:t xml:space="preserve">comparator demonstrates that the same signal produces implausibly young exits in a</w:t>
      </w:r>
      <w:r>
        <w:t xml:space="preserve"> </w:t>
      </w:r>
      <w:r>
        <w:t xml:space="preserve">generalist population. Second, the Gynecologic Oncology and URPS median departure</w:t>
      </w:r>
      <w:r>
        <w:t xml:space="preserve"> </w:t>
      </w:r>
      <w:r>
        <w:t xml:space="preserve">ages (in the sixth decade on this Healthgrades-aged benchmark, with roughly 40% of</w:t>
      </w:r>
      <w:r>
        <w:t xml:space="preserve"> </w:t>
      </w:r>
      <w:r>
        <w:t xml:space="preserve">events before age 50) are older than MIGS but are not convincingly retirement-like,</w:t>
      </w:r>
      <w:r>
        <w:t xml:space="preserve"> </w:t>
      </w:r>
      <w:r>
        <w:t xml:space="preserve">and a large share before age 50 is itself a caution rather than reassurance; we do</w:t>
      </w:r>
      <w:r>
        <w:t xml:space="preserve"> </w:t>
      </w:r>
      <w:r>
        <w:t xml:space="preserve">not treat these ages as validation of the classifier. Third, MIGS remains the</w:t>
      </w:r>
      <w:r>
        <w:t xml:space="preserve"> </w:t>
      </w:r>
      <w:r>
        <w:t xml:space="preserve">youngest-departing cohort, consistent with its being the newest subspecialty and its</w:t>
      </w:r>
      <w:r>
        <w:t xml:space="preserve"> </w:t>
      </w:r>
      <w:r>
        <w:t xml:space="preserve">weaker, voluntary-designation ascertainment, reinforcing that MIGS is the least</w:t>
      </w:r>
      <w:r>
        <w:t xml:space="preserve"> </w:t>
      </w:r>
      <w:r>
        <w:t xml:space="preserve">certain of the three.</w:t>
      </w:r>
    </w:p>
    <w:bookmarkEnd w:id="15"/>
    <w:bookmarkStart w:id="16" w:name="appendix-s3.-temporal-back-test"/>
    <w:p>
      <w:pPr>
        <w:pStyle w:val="Heading1"/>
      </w:pPr>
      <w:r>
        <w:t xml:space="preserve">Appendix S3. Temporal Back-Test</w:t>
      </w:r>
    </w:p>
    <w:p>
      <w:pPr>
        <w:pStyle w:val="FirstParagraph"/>
      </w:pPr>
      <w:r>
        <w:t xml:space="preserve">To test the whole model rather than its components, we froze the active cohort at</w:t>
      </w:r>
      <w:r>
        <w:t xml:space="preserve"> </w:t>
      </w:r>
      <w:r>
        <w:t xml:space="preserve">an earlier year and rolled it forward with the age-band departure-hazard model,</w:t>
      </w:r>
      <w:r>
        <w:t xml:space="preserve"> </w:t>
      </w:r>
      <w:r>
        <w:t xml:space="preserve">comparing the projected number still active with the observed number still active</w:t>
      </w:r>
      <w:r>
        <w:t xml:space="preserve"> </w:t>
      </w:r>
      <w:r>
        <w:t xml:space="preserve">(from each physician’s classified departure year). This is a closed-cohort survival</w:t>
      </w:r>
      <w:r>
        <w:t xml:space="preserve"> </w:t>
      </w:r>
      <w:r>
        <w:t xml:space="preserve">test with no graduate inflow, so it isolates the departure process. In the</w:t>
      </w:r>
      <w:r>
        <w:t xml:space="preserve"> </w:t>
      </w:r>
      <w:r>
        <w:t xml:space="preserve">calibration test the 2016 cohort was aged forward with the full-window hazards; in</w:t>
      </w:r>
      <w:r>
        <w:t xml:space="preserve"> </w:t>
      </w:r>
      <w:r>
        <w:t xml:space="preserve">the out-of-sample test the hazards were trained on 2016-2019 only and the 2019</w:t>
      </w:r>
      <w:r>
        <w:t xml:space="preserve"> </w:t>
      </w:r>
      <w:r>
        <w:t xml:space="preserve">cohort was projected to 2020-2021 (departures are too sparse before 2019 to train</w:t>
      </w:r>
      <w:r>
        <w:t xml:space="preserve"> </w:t>
      </w:r>
      <w:r>
        <w:t xml:space="preserve">on an earlier window).</w:t>
      </w:r>
    </w:p>
    <w:p>
      <w:pPr>
        <w:pStyle w:val="TableCaption"/>
      </w:pPr>
      <w:r>
        <w:rPr>
          <w:b/>
          <w:bCs/>
        </w:rPr>
        <w:t xml:space="preserve">Appendix Table S4.</w:t>
      </w:r>
      <w:r>
        <w:t xml:space="preserve"> </w:t>
      </w:r>
      <w:r>
        <w:t xml:space="preserve">Temporal back-test: projected versus observed active headcount for a cohort frozen at an earlier year.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4. Temporal back-test: projected versus observed active headcount for a cohort frozen at an earlier year."/>
      </w:tblPr>
      <w:tblGrid>
        <w:gridCol w:w="2977"/>
        <w:gridCol w:w="823"/>
        <w:gridCol w:w="316"/>
        <w:gridCol w:w="443"/>
        <w:gridCol w:w="633"/>
        <w:gridCol w:w="1013"/>
        <w:gridCol w:w="1077"/>
        <w:gridCol w:w="6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Subspecialty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at 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 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Predicted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(2016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Out-of-sample (2019 cohort, 2016-2019 hazards)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Out-of-sample (2019 cohort, 2016-2019 hazards)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Out-of-sample (2019 cohort, 2016-2019 hazards)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Out-of-sample (2019 cohort, 2016-2019 hazards)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Out-of-sample (2019 cohort, 2016-2019 hazards)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Out-of-sample (2019 cohort, 2016-2019 hazards)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</w:t>
            </w:r>
          </w:p>
        </w:tc>
      </w:tr>
    </w:tbl>
    <w:p>
      <w:pPr>
        <w:pStyle w:val="BodyText"/>
      </w:pPr>
      <w:r>
        <w:rPr>
          <w:i/>
          <w:iCs/>
        </w:rPr>
        <w:t xml:space="preserve">Predicted counts come from aging the frozen cohort forward under the age-band</w:t>
      </w:r>
      <w:r>
        <w:rPr>
          <w:i/>
          <w:iCs/>
        </w:rPr>
        <w:t xml:space="preserve"> </w:t>
      </w:r>
      <w:r>
        <w:rPr>
          <w:i/>
          <w:iCs/>
        </w:rPr>
        <w:t xml:space="preserve">hazard model. The model reproduces the observed active trajectory to within about</w:t>
      </w:r>
      <w:r>
        <w:rPr>
          <w:i/>
          <w:iCs/>
        </w:rPr>
        <w:t xml:space="preserve"> </w:t>
      </w:r>
      <w:r>
        <w:rPr>
          <w:i/>
          <w:iCs/>
        </w:rPr>
        <w:t xml:space="preserve">1% at every horizon (mean absolute error 0.5% in the calibration test and 0.8%</w:t>
      </w:r>
      <w:r>
        <w:rPr>
          <w:i/>
          <w:iCs/>
        </w:rPr>
        <w:t xml:space="preserve"> </w:t>
      </w:r>
      <w:r>
        <w:rPr>
          <w:i/>
          <w:iCs/>
        </w:rPr>
        <w:t xml:space="preserve">out-of-sample), with a small positive bias at the horizon end reflecting a secular</w:t>
      </w:r>
      <w:r>
        <w:rPr>
          <w:i/>
          <w:iCs/>
        </w:rPr>
        <w:t xml:space="preserve"> </w:t>
      </w:r>
      <w:r>
        <w:rPr>
          <w:i/>
          <w:iCs/>
        </w:rPr>
        <w:t xml:space="preserve">rise in attrition that the earlier-window hazards under-capture, which is why the</w:t>
      </w:r>
      <w:r>
        <w:rPr>
          <w:i/>
          <w:iCs/>
        </w:rPr>
        <w:t xml:space="preserve"> </w:t>
      </w:r>
      <w:r>
        <w:rPr>
          <w:i/>
          <w:iCs/>
        </w:rPr>
        <w:t xml:space="preserve">primary analysis uses the most recent fully observable hazards. URPS, Urogynecology</w:t>
      </w:r>
      <w:r>
        <w:rPr>
          <w:i/>
          <w:iCs/>
        </w:rPr>
        <w:t xml:space="preserve"> </w:t>
      </w:r>
      <w:r>
        <w:rPr>
          <w:i/>
          <w:iCs/>
        </w:rPr>
        <w:t xml:space="preserve">and Reconstructive Pelvic Surgery; GO, Gynecologic Oncology; MIGS, Minimally</w:t>
      </w:r>
      <w:r>
        <w:rPr>
          <w:i/>
          <w:iCs/>
        </w:rPr>
        <w:t xml:space="preserve"> </w:t>
      </w:r>
      <w:r>
        <w:rPr>
          <w:i/>
          <w:iCs/>
        </w:rPr>
        <w:t xml:space="preserve">Invasive Gynecologic Surgery.</w:t>
      </w:r>
    </w:p>
    <w:bookmarkEnd w:id="16"/>
    <w:bookmarkStart w:id="21" w:name="X27a803b0627130df217bbe2be1ba3d2ddd7bf8e"/>
    <w:p>
      <w:pPr>
        <w:pStyle w:val="Heading1"/>
      </w:pPr>
      <w:r>
        <w:t xml:space="preserve">Appendix S4. Departure-Detection Algorithm</w:t>
      </w:r>
    </w:p>
    <w:p>
      <w:pPr>
        <w:pStyle w:val="FirstParagraph"/>
      </w:pPr>
      <w:r>
        <w:rPr>
          <w:b/>
          <w:bCs/>
        </w:rPr>
        <w:t xml:space="preserve">Signals, priority, and weights.</w:t>
      </w:r>
      <w:r>
        <w:t xml:space="preserve"> </w:t>
      </w:r>
      <w:r>
        <w:t xml:space="preserve">Six administrative signals were integrated</w:t>
      </w:r>
      <w:r>
        <w:t xml:space="preserve"> </w:t>
      </w:r>
      <w:r>
        <w:t xml:space="preserve">(Appendix Table S2). In descending priority: (1) a lapse in ABMS Maintenance of</w:t>
      </w:r>
      <w:r>
        <w:t xml:space="preserve"> </w:t>
      </w:r>
      <w:r>
        <w:t xml:space="preserve">Certification, defined as certification lapsed with more than ten years since</w:t>
      </w:r>
      <w:r>
        <w:t xml:space="preserve"> </w:t>
      </w:r>
      <w:r>
        <w:t xml:space="preserve">certification (weight 0.95); (2) permanent NPPES deactivation without reactivation</w:t>
      </w:r>
      <w:r>
        <w:t xml:space="preserve"> </w:t>
      </w:r>
      <w:r>
        <w:t xml:space="preserve">(0.90); (3) cessation of Open Payments industry payments (0.70); (4) disenrollment</w:t>
      </w:r>
      <w:r>
        <w:t xml:space="preserve"> </w:t>
      </w:r>
      <w:r>
        <w:t xml:space="preserve">from Medicare provider enrollment in PECOS (0.80); (5) cessation of Medicare Part D</w:t>
      </w:r>
      <w:r>
        <w:t xml:space="preserve"> </w:t>
      </w:r>
      <w:r>
        <w:t xml:space="preserve">prescribing (0.60); and (6) cessation of Medicare Part B claims (0.60).</w:t>
      </w:r>
    </w:p>
    <w:p>
      <w:pPr>
        <w:pStyle w:val="BodyText"/>
      </w:pPr>
      <w:r>
        <w:rPr>
          <w:b/>
          <w:bCs/>
        </w:rPr>
        <w:t xml:space="preserve">Tie-breaking.</w:t>
      </w:r>
      <w:r>
        <w:t xml:space="preserve"> </w:t>
      </w:r>
      <w:r>
        <w:t xml:space="preserve">A higher-priority signal overrode a lower-priority one when they</w:t>
      </w:r>
      <w:r>
        <w:t xml:space="preserve"> </w:t>
      </w:r>
      <w:r>
        <w:t xml:space="preserve">disagreed; when no override applied, a weighted-consensus score (the sum of firing</w:t>
      </w:r>
      <w:r>
        <w:t xml:space="preserve"> </w:t>
      </w:r>
      <w:r>
        <w:t xml:space="preserve">signals’ weights) determined status. The departure year was the confidence-weighted</w:t>
      </w:r>
      <w:r>
        <w:t xml:space="preserve"> </w:t>
      </w:r>
      <w:r>
        <w:t xml:space="preserve">consensus year across firing signals.</w:t>
      </w:r>
    </w:p>
    <w:p>
      <w:pPr>
        <w:pStyle w:val="BodyText"/>
      </w:pPr>
      <w:r>
        <w:rPr>
          <w:b/>
          <w:bCs/>
        </w:rPr>
        <w:t xml:space="preserve">Prior-positive-evidence requirement.</w:t>
      </w:r>
      <w:r>
        <w:t xml:space="preserve"> </w:t>
      </w:r>
      <w:r>
        <w:t xml:space="preserve">Each cessation signal fires only for</w:t>
      </w:r>
      <w:r>
        <w:t xml:space="preserve"> </w:t>
      </w:r>
      <w:r>
        <w:t xml:space="preserve">physicians with prior positive evidence in that source: Open Payments cessation is</w:t>
      </w:r>
      <w:r>
        <w:t xml:space="preserve"> </w:t>
      </w:r>
      <w:r>
        <w:t xml:space="preserve">evaluated only for physicians who previously received payments, Part D cessation</w:t>
      </w:r>
      <w:r>
        <w:t xml:space="preserve"> </w:t>
      </w:r>
      <w:r>
        <w:t xml:space="preserve">only for prior prescribers, and Part B cessation only for prior billers. A physician</w:t>
      </w:r>
      <w:r>
        <w:t xml:space="preserve"> </w:t>
      </w:r>
      <w:r>
        <w:t xml:space="preserve">who never received Open Payments, never prescribed, or never billed Medicare cannot</w:t>
      </w:r>
      <w:r>
        <w:t xml:space="preserve"> </w:t>
      </w:r>
      <w:r>
        <w:t xml:space="preserve">generate the corresponding cessation signal, so absence of a source is never counted</w:t>
      </w:r>
      <w:r>
        <w:t xml:space="preserve"> </w:t>
      </w:r>
      <w:r>
        <w:t xml:space="preserve">against a physician; such physicians are classified from the remaining sources.</w:t>
      </w:r>
    </w:p>
    <w:p>
      <w:pPr>
        <w:pStyle w:val="BodyText"/>
      </w:pPr>
      <w:r>
        <w:rPr>
          <w:b/>
          <w:bCs/>
        </w:rPr>
        <w:t xml:space="preserve">Non-time-limited certification and missing data.</w:t>
      </w:r>
      <w:r>
        <w:t xml:space="preserve"> </w:t>
      </w:r>
      <w:r>
        <w:t xml:space="preserve">Physicians holding lifetime</w:t>
      </w:r>
      <w:r>
        <w:t xml:space="preserve"> </w:t>
      </w:r>
      <w:r>
        <w:t xml:space="preserve">(non-time-limited) board certification cannot generate an ABMS lapse signal and are</w:t>
      </w:r>
      <w:r>
        <w:t xml:space="preserve"> </w:t>
      </w:r>
      <w:r>
        <w:t xml:space="preserve">classified from the other sources. Missing data in any source is treated as</w:t>
      </w:r>
      <w:r>
        <w:t xml:space="preserve"> </w:t>
      </w:r>
      <w:r>
        <w:t xml:space="preserve">non-informative (no signal), not as evidence of departure.</w:t>
      </w:r>
    </w:p>
    <w:p>
      <w:pPr>
        <w:pStyle w:val="BodyText"/>
      </w:pPr>
      <w:r>
        <w:rPr>
          <w:b/>
          <w:bCs/>
        </w:rPr>
        <w:t xml:space="preserve">Reactivation and re-entry.</w:t>
      </w:r>
      <w:r>
        <w:t xml:space="preserve"> </w:t>
      </w:r>
      <w:r>
        <w:t xml:space="preserve">Physicians with renewed activity after an apparent</w:t>
      </w:r>
      <w:r>
        <w:t xml:space="preserve"> </w:t>
      </w:r>
      <w:r>
        <w:t xml:space="preserve">gap (including a Medicaid-roster active override) are reclassified as active and</w:t>
      </w:r>
      <w:r>
        <w:t xml:space="preserve"> </w:t>
      </w:r>
      <w:r>
        <w:t xml:space="preserve">their departure year is withdrawn.</w:t>
      </w:r>
    </w:p>
    <w:p>
      <w:pPr>
        <w:pStyle w:val="BodyText"/>
      </w:pPr>
      <w:r>
        <w:rPr>
          <w:b/>
          <w:bCs/>
        </w:rPr>
        <w:t xml:space="preserve">Death ascertainment.</w:t>
      </w:r>
      <w:r>
        <w:t xml:space="preserve"> </w:t>
      </w:r>
      <w:r>
        <w:t xml:space="preserve">Death was captured only where a source recorded it and was</w:t>
      </w:r>
      <w:r>
        <w:t xml:space="preserve"> </w:t>
      </w:r>
      <w:r>
        <w:t xml:space="preserve">under-ascertained (the licensure-concordance analysis identified board-confirmed</w:t>
      </w:r>
      <w:r>
        <w:t xml:space="preserve"> </w:t>
      </w:r>
      <w:r>
        <w:t xml:space="preserve">deaths that the classifier did not flag). A death that is correctly captured is simply</w:t>
      </w:r>
      <w:r>
        <w:t xml:space="preserve"> </w:t>
      </w:r>
      <w:r>
        <w:t xml:space="preserve">one kind of departure and is already counted in the hazard. A</w:t>
      </w:r>
      <w:r>
        <w:t xml:space="preserve"> </w:t>
      </w:r>
      <w:r>
        <w:rPr>
          <w:i/>
          <w:iCs/>
        </w:rPr>
        <w:t xml:space="preserve">missed</w:t>
      </w:r>
      <w:r>
        <w:t xml:space="preserve"> </w:t>
      </w:r>
      <w:r>
        <w:t xml:space="preserve">death, however,</w:t>
      </w:r>
      <w:r>
        <w:t xml:space="preserve"> </w:t>
      </w:r>
      <w:r>
        <w:t xml:space="preserve">is not neutral: the physician remains in the active baseline and contributes no</w:t>
      </w:r>
      <w:r>
        <w:t xml:space="preserve"> </w:t>
      </w:r>
      <w:r>
        <w:t xml:space="preserve">departure event, which biases the estimated departure rate downward and the</w:t>
      </w:r>
      <w:r>
        <w:t xml:space="preserve"> </w:t>
      </w:r>
      <w:r>
        <w:t xml:space="preserve">completion-to-departure ratio upward. The board-confirmed deaths found during licensure review</w:t>
      </w:r>
      <w:r>
        <w:t xml:space="preserve"> </w:t>
      </w:r>
      <w:r>
        <w:t xml:space="preserve">should therefore be folded into the classifier and the effect quantified; because the</w:t>
      </w:r>
      <w:r>
        <w:t xml:space="preserve"> </w:t>
      </w:r>
      <w:r>
        <w:t xml:space="preserve">number identified was small relative to the 37 and 35 anchored departures, we expect</w:t>
      </w:r>
      <w:r>
        <w:t xml:space="preserve"> </w:t>
      </w:r>
      <w:r>
        <w:t xml:space="preserve">the direction of the headline finding to be unchanged, but this correction is</w:t>
      </w:r>
      <w:r>
        <w:t xml:space="preserve"> </w:t>
      </w:r>
      <w:r>
        <w:t xml:space="preserve">outstanding and is listed among the study limitations.</w:t>
      </w:r>
    </w:p>
    <w:p>
      <w:pPr>
        <w:pStyle w:val="BodyText"/>
      </w:pPr>
      <w:r>
        <w:rPr>
          <w:b/>
          <w:bCs/>
        </w:rPr>
        <w:t xml:space="preserve">Leave-one-source-out.</w:t>
      </w:r>
      <w:r>
        <w:t xml:space="preserve"> </w:t>
      </w:r>
      <w:r>
        <w:t xml:space="preserve">Table S5 describes the departure-</w:t>
      </w:r>
      <w:r>
        <w:rPr>
          <w:i/>
          <w:iCs/>
        </w:rPr>
        <w:t xml:space="preserve">detection</w:t>
      </w:r>
      <w:r>
        <w:t xml:space="preserve"> </w:t>
      </w:r>
      <w:r>
        <w:t xml:space="preserve">layer (Step 1,</w:t>
      </w:r>
      <w:r>
        <w:t xml:space="preserve"> </w:t>
      </w:r>
      <w:r>
        <w:t xml:space="preserve">Open-Payments-inclusive) and shows how many detected departures each source supports.</w:t>
      </w:r>
      <w:r>
        <w:t xml:space="preserve"> </w:t>
      </w:r>
      <w:r>
        <w:t xml:space="preserve">In this cohort detection is carried almost entirely by the claims and payments signals:</w:t>
      </w:r>
      <w:r>
        <w:t xml:space="preserve"> </w:t>
      </w:r>
      <w:r>
        <w:t xml:space="preserve">Open Payments cessation supports about 80% of detected departures (and is the sole</w:t>
      </w:r>
      <w:r>
        <w:t xml:space="preserve"> </w:t>
      </w:r>
      <w:r>
        <w:t xml:space="preserve">signal for roughly 30%), followed by Part D and Part B; the ABMS and NPPES signals</w:t>
      </w:r>
      <w:r>
        <w:t xml:space="preserve"> </w:t>
      </w:r>
      <w:r>
        <w:t xml:space="preserve">fired for no departures, because board-certified subspecialists rarely let certification</w:t>
      </w:r>
      <w:r>
        <w:t xml:space="preserve"> </w:t>
      </w:r>
      <w:r>
        <w:t xml:space="preserve">lapse or deactivate their NPI. The heavy reliance on Open Payments at the detection</w:t>
      </w:r>
      <w:r>
        <w:t xml:space="preserve"> </w:t>
      </w:r>
      <w:r>
        <w:t xml:space="preserve">stage is exactly why the primary definition adds the Step 2 non-Open-Payments anchor:</w:t>
      </w:r>
      <w:r>
        <w:t xml:space="preserve"> </w:t>
      </w:r>
      <w:r>
        <w:t xml:space="preserve">removing the Open-Payments-sole departures reduces the detected 56 Gynecologic Oncology</w:t>
      </w:r>
      <w:r>
        <w:t xml:space="preserve"> </w:t>
      </w:r>
      <w:r>
        <w:t xml:space="preserve">and 41 URPS departures (2016-2021) to the 37 and 35 primary events, and this anchoring</w:t>
      </w:r>
      <w:r>
        <w:t xml:space="preserve"> </w:t>
      </w:r>
      <w:r>
        <w:t xml:space="preserve">motivates the licensure-concordance and back-testing analyses.</w:t>
      </w:r>
    </w:p>
    <w:p>
      <w:pPr>
        <w:pStyle w:val="TableCaption"/>
      </w:pPr>
      <w:r>
        <w:rPr>
          <w:b/>
          <w:bCs/>
        </w:rPr>
        <w:t xml:space="preserve">Appendix Table S5.</w:t>
      </w:r>
      <w:r>
        <w:t xml:space="preserve"> </w:t>
      </w:r>
      <w:r>
        <w:t xml:space="preserve">Leave-one-source-out: contribution of each departure signal.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5. Leave-one-source-out: contribution of each departure signal."/>
      </w:tblPr>
      <w:tblGrid>
        <w:gridCol w:w="2709"/>
        <w:gridCol w:w="1736"/>
        <w:gridCol w:w="1111"/>
        <w:gridCol w:w="1875"/>
        <w:gridCol w:w="4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Departures supported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departures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Lost if source removed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ABMS MOC lapse (priority 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NPPES deactivation (priority 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Payments cessation (priority 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Medicare Part D cessation (priority 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Medicare Part B cessation (priority 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</w:tbl>
    <w:p>
      <w:pPr>
        <w:pStyle w:val="BodyText"/>
      </w:pPr>
      <w:r>
        <w:rPr>
          <w:i/>
          <w:iCs/>
        </w:rPr>
        <w:t xml:space="preserve">Based on per-physician signal flags (credentials.retirement_signals_pivot) for</w:t>
      </w:r>
      <w:r>
        <w:rPr>
          <w:i/>
          <w:iCs/>
        </w:rPr>
        <w:t xml:space="preserve"> </w:t>
      </w:r>
      <w:r>
        <w:rPr>
          <w:i/>
          <w:iCs/>
        </w:rPr>
        <w:t xml:space="preserve">classified departures; a departure is</w:t>
      </w:r>
      <w:r>
        <w:rPr>
          <w:i/>
          <w:iCs/>
        </w:rPr>
        <w:t xml:space="preserve"> </w:t>
      </w:r>
      <w:r>
        <w:rPr>
          <w:i/>
          <w:iCs/>
        </w:rPr>
        <w:t xml:space="preserve">“lost”</w:t>
      </w:r>
      <w:r>
        <w:rPr>
          <w:i/>
          <w:iCs/>
        </w:rPr>
        <w:t xml:space="preserve"> </w:t>
      </w:r>
      <w:r>
        <w:rPr>
          <w:i/>
          <w:iCs/>
        </w:rPr>
        <w:t xml:space="preserve">if the removed source was its only</w:t>
      </w:r>
      <w:r>
        <w:rPr>
          <w:i/>
          <w:iCs/>
        </w:rPr>
        <w:t xml:space="preserve"> </w:t>
      </w:r>
      <w:r>
        <w:rPr>
          <w:i/>
          <w:iCs/>
        </w:rPr>
        <w:t xml:space="preserve">firing signal.</w:t>
      </w:r>
    </w:p>
    <w:bookmarkStart w:id="17" w:name="exact-classification-rule-pseudocode"/>
    <w:p>
      <w:pPr>
        <w:pStyle w:val="Heading2"/>
      </w:pPr>
      <w:r>
        <w:t xml:space="preserve">Exact classification rule (pseudocode)</w:t>
      </w:r>
    </w:p>
    <w:p>
      <w:pPr>
        <w:pStyle w:val="FirstParagraph"/>
      </w:pPr>
      <w:r>
        <w:t xml:space="preserve">The primary classifier is fully specified by the following Boolean rule. There is no</w:t>
      </w:r>
      <w:r>
        <w:t xml:space="preserve"> </w:t>
      </w:r>
      <w:r>
        <w:t xml:space="preserve">summed-weight threshold; the confidence weights are used only to pick the consensus</w:t>
      </w:r>
      <w:r>
        <w:t xml:space="preserve"> </w:t>
      </w:r>
      <w:r>
        <w:t xml:space="preserve">departure year among firing signals, not to decide departure status.</w:t>
      </w:r>
    </w:p>
    <w:p>
      <w:pPr>
        <w:pStyle w:val="SourceCode"/>
      </w:pPr>
      <w:r>
        <w:rPr>
          <w:rStyle w:val="VerbatimChar"/>
        </w:rPr>
        <w:t xml:space="preserve"># Per-source firing requires PRIOR POSITIVE EVIDENCE in that source</w:t>
      </w:r>
      <w:r>
        <w:br/>
      </w:r>
      <w:r>
        <w:rPr>
          <w:rStyle w:val="VerbatimChar"/>
        </w:rPr>
        <w:t xml:space="preserve"># (e.g., Part B cessation fires only for a physician who previously billed Part B).</w:t>
      </w:r>
      <w:r>
        <w:br/>
      </w:r>
      <w:r>
        <w:rPr>
          <w:rStyle w:val="VerbatimChar"/>
        </w:rPr>
        <w:t xml:space="preserve">detection_signals = {ABMS_lapse, NPPES_deactivation, PartB_cessation,</w:t>
      </w:r>
      <w:r>
        <w:br/>
      </w:r>
      <w:r>
        <w:rPr>
          <w:rStyle w:val="VerbatimChar"/>
        </w:rPr>
        <w:t xml:space="preserve">                     PartD_cessation, PECOS_disenrollment, OpenPayments_cessation}</w:t>
      </w:r>
      <w:r>
        <w:br/>
      </w:r>
      <w:r>
        <w:rPr>
          <w:rStyle w:val="VerbatimChar"/>
        </w:rPr>
        <w:t xml:space="preserve">anchor_signals    = {ABMS_lapse, NPPES_deactivation, PartB_cessation, PartD_cessation}</w:t>
      </w:r>
      <w:r>
        <w:br/>
      </w:r>
      <w:r>
        <w:rPr>
          <w:rStyle w:val="VerbatimChar"/>
        </w:rPr>
        <w:t xml:space="preserve">                    # NOTE: PECOS and Open Payments are NOT anchors</w:t>
      </w:r>
      <w:r>
        <w:br/>
      </w:r>
      <w:r>
        <w:br/>
      </w:r>
      <w:r>
        <w:rPr>
          <w:rStyle w:val="VerbatimChar"/>
        </w:rPr>
        <w:t xml:space="preserve">active_override    = recent Part B / Part D / PECOS activity OR Medicaid-roster</w:t>
      </w:r>
      <w:r>
        <w:br/>
      </w:r>
      <w:r>
        <w:rPr>
          <w:rStyle w:val="VerbatimChar"/>
        </w:rPr>
        <w:t xml:space="preserve">                     reactivation after the candidate year</w:t>
      </w:r>
      <w:r>
        <w:br/>
      </w:r>
      <w:r>
        <w:br/>
      </w:r>
      <w:r>
        <w:rPr>
          <w:rStyle w:val="VerbatimChar"/>
        </w:rPr>
        <w:t xml:space="preserve"># --- Step 1: detect a candidate departure and its year ---</w:t>
      </w:r>
      <w:r>
        <w:br/>
      </w:r>
      <w:r>
        <w:rPr>
          <w:rStyle w:val="VerbatimChar"/>
        </w:rPr>
        <w:t xml:space="preserve">candidate_departure = ( any(s fires for this physician  for s in detection_signals) )</w:t>
      </w:r>
      <w:r>
        <w:br/>
      </w:r>
      <w:r>
        <w:rPr>
          <w:rStyle w:val="VerbatimChar"/>
        </w:rPr>
        <w:t xml:space="preserve">                      AND ( NOT active_override )</w:t>
      </w:r>
      <w:r>
        <w:br/>
      </w:r>
      <w:r>
        <w:rPr>
          <w:rStyle w:val="VerbatimChar"/>
        </w:rPr>
        <w:t xml:space="preserve">candidate_year      = confidence-weighted consensus year across the firing signals</w:t>
      </w:r>
      <w:r>
        <w:br/>
      </w:r>
      <w:r>
        <w:rPr>
          <w:rStyle w:val="VerbatimChar"/>
        </w:rPr>
        <w:t xml:space="preserve">                      # weights (Table S2) resolve disagreement on WHEN, not WHETHER</w:t>
      </w:r>
      <w:r>
        <w:br/>
      </w:r>
      <w:r>
        <w:br/>
      </w:r>
      <w:r>
        <w:rPr>
          <w:rStyle w:val="VerbatimChar"/>
        </w:rPr>
        <w:t xml:space="preserve"># --- Step 2: primary non-Open-Payments anchor ---</w:t>
      </w:r>
      <w:r>
        <w:br/>
      </w:r>
      <w:r>
        <w:rPr>
          <w:rStyle w:val="VerbatimChar"/>
        </w:rPr>
        <w:t xml:space="preserve">primary_departure   = candidate_departure</w:t>
      </w:r>
      <w:r>
        <w:br/>
      </w:r>
      <w:r>
        <w:rPr>
          <w:rStyle w:val="VerbatimChar"/>
        </w:rPr>
        <w:t xml:space="preserve">                      AND ( any(s fires  for s in anchor_signals) )</w:t>
      </w:r>
      <w:r>
        <w:br/>
      </w:r>
      <w:r>
        <w:rPr>
          <w:rStyle w:val="VerbatimChar"/>
        </w:rPr>
        <w:t xml:space="preserve">                      # a candidate supported only by Open Payments and/or PECOS</w:t>
      </w:r>
      <w:r>
        <w:br/>
      </w:r>
      <w:r>
        <w:rPr>
          <w:rStyle w:val="VerbatimChar"/>
        </w:rPr>
        <w:t xml:space="preserve">                      # is reclassified as NOT departed for the primary analysis</w:t>
      </w:r>
    </w:p>
    <w:p>
      <w:pPr>
        <w:pStyle w:val="FirstParagraph"/>
      </w:pPr>
      <w:r>
        <w:t xml:space="preserve">A uniform three-year cessation rule (Part B/Part D) and the fully observable</w:t>
      </w:r>
      <w:r>
        <w:t xml:space="preserve"> </w:t>
      </w:r>
      <w:r>
        <w:t xml:space="preserve">2016-2021 window apply to both cohorts. Table S22 and the worked examples below</w:t>
      </w:r>
      <w:r>
        <w:t xml:space="preserve"> </w:t>
      </w:r>
      <w:r>
        <w:t xml:space="preserve">instantiate this rule.</w:t>
      </w:r>
    </w:p>
    <w:bookmarkEnd w:id="17"/>
    <w:bookmarkStart w:id="18" w:name="classification-decision-table"/>
    <w:p>
      <w:pPr>
        <w:pStyle w:val="Heading2"/>
      </w:pPr>
      <w:r>
        <w:t xml:space="preserve">Classification decision table</w:t>
      </w:r>
    </w:p>
    <w:p>
      <w:pPr>
        <w:pStyle w:val="FirstParagraph"/>
      </w:pPr>
      <w:r>
        <w:t xml:space="preserve">The primary departure classifier is a two-step rule, not a single weighted score.</w:t>
      </w:r>
      <w:r>
        <w:t xml:space="preserve"> </w:t>
      </w:r>
      <w:r>
        <w:t xml:space="preserve">Step 1 detects a candidate departure and its year from the six administrative</w:t>
      </w:r>
      <w:r>
        <w:t xml:space="preserve"> </w:t>
      </w:r>
      <w:r>
        <w:t xml:space="preserve">signals of Appendix S4 (Table S2): each source fires only for physicians with prior</w:t>
      </w:r>
      <w:r>
        <w:t xml:space="preserve"> </w:t>
      </w:r>
      <w:r>
        <w:t xml:space="preserve">positive evidence in that source, a higher-priority signal overrides a lower-priority</w:t>
      </w:r>
      <w:r>
        <w:t xml:space="preserve"> </w:t>
      </w:r>
      <w:r>
        <w:t xml:space="preserve">one on conflict, and the departure year is the confidence-weighted consensus year</w:t>
      </w:r>
      <w:r>
        <w:t xml:space="preserve"> </w:t>
      </w:r>
      <w:r>
        <w:t xml:space="preserve">across firing signals. Step 2 is the primary-definition anchor: a candidate departure</w:t>
      </w:r>
      <w:r>
        <w:t xml:space="preserve"> </w:t>
      </w:r>
      <w:r>
        <w:t xml:space="preserve">is retained only if at least one</w:t>
      </w:r>
      <w:r>
        <w:t xml:space="preserve"> </w:t>
      </w:r>
      <w:r>
        <w:rPr>
          <w:b/>
          <w:bCs/>
        </w:rPr>
        <w:t xml:space="preserve">non-Open-Payments</w:t>
      </w:r>
      <w:r>
        <w:t xml:space="preserve"> </w:t>
      </w:r>
      <w:r>
        <w:t xml:space="preserve">signal fired, namely Medicare</w:t>
      </w:r>
      <w:r>
        <w:t xml:space="preserve"> </w:t>
      </w:r>
      <w:r>
        <w:t xml:space="preserve">Part B cessation, Medicare Part D cessation, NPPES deactivation, or ABMS certification</w:t>
      </w:r>
      <w:r>
        <w:t xml:space="preserve"> </w:t>
      </w:r>
      <w:r>
        <w:t xml:space="preserve">lapse. Candidate departures supported only by Open Payments (or only by Open Payments</w:t>
      </w:r>
      <w:r>
        <w:t xml:space="preserve"> </w:t>
      </w:r>
      <w:r>
        <w:t xml:space="preserve">and PECOS) are reclassified as not-departed for the primary analysis, because stopping</w:t>
      </w:r>
      <w:r>
        <w:t xml:space="preserve"> </w:t>
      </w:r>
      <w:r>
        <w:t xml:space="preserve">industry payments is not a validated indicator of leaving practice. An active</w:t>
      </w:r>
      <w:r>
        <w:t xml:space="preserve"> </w:t>
      </w:r>
      <w:r>
        <w:t xml:space="preserve">counter-signal at any point (recent billing, prescribing, enrollment, or a</w:t>
      </w:r>
      <w:r>
        <w:t xml:space="preserve"> </w:t>
      </w:r>
      <w:r>
        <w:t xml:space="preserve">Medicaid-roster reactivation) resets the physician to active and withdraws the</w:t>
      </w:r>
      <w:r>
        <w:t xml:space="preserve"> </w:t>
      </w:r>
      <w:r>
        <w:t xml:space="preserve">departure year. There is no numeric confidence threshold and no age or ABOG/GOBA</w:t>
      </w:r>
      <w:r>
        <w:t xml:space="preserve"> </w:t>
      </w:r>
      <w:r>
        <w:t xml:space="preserve">status weight; the decision is the Step 1 consensus gated by the Step 2 anchor.</w:t>
      </w:r>
    </w:p>
    <w:p>
      <w:pPr>
        <w:pStyle w:val="TableCaption"/>
      </w:pPr>
      <w:r>
        <w:rPr>
          <w:b/>
          <w:bCs/>
        </w:rPr>
        <w:t xml:space="preserve">Appendix Table S22.</w:t>
      </w:r>
      <w:r>
        <w:t xml:space="preserve"> </w:t>
      </w:r>
      <w:r>
        <w:t xml:space="preserve">Primary departure-classification decision table (the exact rule that generated every primary result). A physician is classified as departed when the Step 1 administrative-consensus rule detects a departure AND at least one non-Open-Payments anchor signal fired; departures supported only by Open Payments (with or without PECOS) are reclassified as not-departed. Any active counter-signal overrides to active. A uniform three-year cessation rule applies to both cohorts (see Right-censoring confirmability); there is no subspecialty-specific inactivity threshold.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22. Primary departure-classification decision table (the exact rule that generated every primary result). A physician is classified as departed when the Step 1 administrative-consensus rule detects a departure AND at least one non-Open-Payments anchor signal fired; departures supported only by Open Payments (with or without PECOS) are reclassified as not-departed. Any active counter-signal overrides to active. A uniform three-year cessation rule applies to both cohorts (see Right-censoring confirmability); there is no subspecialty-specific inactivity threshold."/>
      </w:tblPr>
      <w:tblGrid>
        <w:gridCol w:w="1560"/>
        <w:gridCol w:w="1140"/>
        <w:gridCol w:w="2160"/>
        <w:gridCol w:w="30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Departure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Detection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as non-Open-Payments anchor?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primary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ABMS MOC lapse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Anchors a departure on its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NPPES deactivation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Anchors a departure on its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Medicare Part B cessation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Anchors a departure on its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Medicare Part D cessation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Anchors a departure on its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PECOS disenrollment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signal only; does not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Payments cessation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only; cannot classify a departure alone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Worked examples.</w:t>
      </w:r>
      <w:r>
        <w:t xml:space="preserve"> </w:t>
      </w:r>
      <w:r>
        <w:t xml:space="preserve">(a) A gynecologic oncologist whose Part B and Part D claims</w:t>
      </w:r>
      <w:r>
        <w:t xml:space="preserve"> </w:t>
      </w:r>
      <w:r>
        <w:t xml:space="preserve">both cease in 2019 with no later reactivation: a non-Open-Payments anchor fires, so</w:t>
      </w:r>
      <w:r>
        <w:t xml:space="preserve"> </w:t>
      </w:r>
      <w:r>
        <w:t xml:space="preserve">she is classified as departed in 2019. (b) A urogynecologist whose Open Payments</w:t>
      </w:r>
      <w:r>
        <w:t xml:space="preserve"> </w:t>
      </w:r>
      <w:r>
        <w:t xml:space="preserve">receipts stop in 2018 but who continues to bill Medicare Part B: the active</w:t>
      </w:r>
      <w:r>
        <w:t xml:space="preserve"> </w:t>
      </w:r>
      <w:r>
        <w:t xml:space="preserve">counter-signal keeps her active, and even without it no non-Open-Payments anchor</w:t>
      </w:r>
      <w:r>
        <w:t xml:space="preserve"> </w:t>
      </w:r>
      <w:r>
        <w:t xml:space="preserve">fired, so she is not a primary departure. (c) A physician with a permanent NPPES</w:t>
      </w:r>
      <w:r>
        <w:t xml:space="preserve"> </w:t>
      </w:r>
      <w:r>
        <w:t xml:space="preserve">deactivation in 2020: the deactivation anchor fires and classifies a 2020 departure.</w:t>
      </w:r>
      <w:r>
        <w:t xml:space="preserve"> </w:t>
      </w:r>
      <w:r>
        <w:t xml:space="preserve">(d) A physician whose only signals are an Open Payments cessation and a PECOS</w:t>
      </w:r>
      <w:r>
        <w:t xml:space="preserve"> </w:t>
      </w:r>
      <w:r>
        <w:t xml:space="preserve">disenrollment in 2017: neither counts as a non-Open-Payments anchor, so she is not a</w:t>
      </w:r>
      <w:r>
        <w:t xml:space="preserve"> </w:t>
      </w:r>
      <w:r>
        <w:t xml:space="preserve">primary departure, although she would have been counted under the Open-Payments-inclusive</w:t>
      </w:r>
      <w:r>
        <w:t xml:space="preserve"> </w:t>
      </w:r>
      <w:r>
        <w:t xml:space="preserve">detection layer. This is precisely why the Open-Payments-inclusive detection layer</w:t>
      </w:r>
      <w:r>
        <w:t xml:space="preserve"> </w:t>
      </w:r>
      <w:r>
        <w:t xml:space="preserve">flags 56 Gynecologic Oncology and 41 URPS departures over 2016-2021 while the primary</w:t>
      </w:r>
      <w:r>
        <w:t xml:space="preserve"> </w:t>
      </w:r>
      <w:r>
        <w:t xml:space="preserve">non-Open-Payments-anchored definition retains 37 and 35, respectively.</w:t>
      </w:r>
    </w:p>
    <w:p>
      <w:pPr>
        <w:pStyle w:val="BodyText"/>
      </w:pPr>
      <w:r>
        <w:rPr>
          <w:b/>
          <w:bCs/>
        </w:rPr>
        <w:t xml:space="preserve">The baseline gate and the departure-event definition are related but not</w:t>
      </w:r>
      <w:r>
        <w:rPr>
          <w:b/>
          <w:bCs/>
        </w:rPr>
        <w:t xml:space="preserve"> </w:t>
      </w:r>
      <w:r>
        <w:rPr>
          <w:b/>
          <w:bCs/>
        </w:rPr>
        <w:t xml:space="preserve">identical.</w:t>
      </w:r>
      <w:r>
        <w:t xml:space="preserve"> </w:t>
      </w:r>
      <w:r>
        <w:t xml:space="preserve">The active-workforce baseline (1,052 Gynecologic Oncology;</w:t>
      </w:r>
      <w:r>
        <w:t xml:space="preserve"> </w:t>
      </w:r>
      <w:r>
        <w:t xml:space="preserve">1,027</w:t>
      </w:r>
      <w:r>
        <w:t xml:space="preserve"> </w:t>
      </w:r>
      <w:r>
        <w:t xml:space="preserve">ABOG plus 279 ABU for URPS, contract v3.0.0 URPS-subspecialty-certification basis)</w:t>
      </w:r>
      <w:r>
        <w:t xml:space="preserve"> </w:t>
      </w:r>
      <w:r>
        <w:t xml:space="preserve">is set by the cohorting active-status rule, a</w:t>
      </w:r>
      <w:r>
        <w:t xml:space="preserve"> </w:t>
      </w:r>
      <w:r>
        <w:t xml:space="preserve">hierarchical priority classifier (</w:t>
      </w:r>
      <w:r>
        <w:rPr>
          <w:rStyle w:val="VerbatimChar"/>
        </w:rPr>
        <w:t xml:space="preserve">R/retirement_sql_builder.R</w:t>
      </w:r>
      <w:r>
        <w:t xml:space="preserve">) that assigns a</w:t>
      </w:r>
      <w:r>
        <w:t xml:space="preserve"> </w:t>
      </w:r>
      <w:r>
        <w:t xml:space="preserve">retirement year from, in priority order, ABMS lapse, NPPES deactivation, Open</w:t>
      </w:r>
      <w:r>
        <w:t xml:space="preserve"> </w:t>
      </w:r>
      <w:r>
        <w:t xml:space="preserve">Payments cessation, PECOS disenrollment, and Part D / Part B cessation, each under a</w:t>
      </w:r>
      <w:r>
        <w:t xml:space="preserve"> </w:t>
      </w:r>
      <w:r>
        <w:t xml:space="preserve">prior-positive-evidence and reactivation-override guard. This gate is applied once to</w:t>
      </w:r>
      <w:r>
        <w:t xml:space="preserve"> </w:t>
      </w:r>
      <w:r>
        <w:t xml:space="preserve">fix who is in the active stock; the non-Open-Payments anchor is then applied only to</w:t>
      </w:r>
      <w:r>
        <w:t xml:space="preserve"> </w:t>
      </w:r>
      <w:r>
        <w:t xml:space="preserve">the historical departure</w:t>
      </w:r>
      <w:r>
        <w:t xml:space="preserve"> </w:t>
      </w:r>
      <w:r>
        <w:rPr>
          <w:i/>
          <w:iCs/>
        </w:rPr>
        <w:t xml:space="preserve">events</w:t>
      </w:r>
      <w:r>
        <w:t xml:space="preserve"> </w:t>
      </w:r>
      <w:r>
        <w:t xml:space="preserve">that enter the hazard life table. Because the</w:t>
      </w:r>
      <w:r>
        <w:t xml:space="preserve"> </w:t>
      </w:r>
      <w:r>
        <w:t xml:space="preserve">anchor operates on the event set and not on the stock, changing it changes the</w:t>
      </w:r>
      <w:r>
        <w:t xml:space="preserve"> </w:t>
      </w:r>
      <w:r>
        <w:t xml:space="preserve">estimated hazard but does not add or remove anyone from the 2025 baseline; no</w:t>
      </w:r>
      <w:r>
        <w:t xml:space="preserve"> </w:t>
      </w:r>
      <w:r>
        <w:t xml:space="preserve">physician is</w:t>
      </w:r>
      <w:r>
        <w:t xml:space="preserve"> </w:t>
      </w:r>
      <w:r>
        <w:t xml:space="preserve">“restored.”</w:t>
      </w:r>
    </w:p>
    <w:p>
      <w:pPr>
        <w:pStyle w:val="BodyText"/>
      </w:pPr>
      <w:r>
        <w:t xml:space="preserve">We note explicitly that the two definitions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identical: the cohorting gate</w:t>
      </w:r>
      <w:r>
        <w:t xml:space="preserve"> </w:t>
      </w:r>
      <w:r>
        <w:t xml:space="preserve">can remove a physician from the 2025 active stock on Open-Payments-only inactivity</w:t>
      </w:r>
      <w:r>
        <w:t xml:space="preserve"> </w:t>
      </w:r>
      <w:r>
        <w:t xml:space="preserve">(Open Payments is a priority-3 signal in that gate), whereas the primary hazard event</w:t>
      </w:r>
      <w:r>
        <w:t xml:space="preserve"> </w:t>
      </w:r>
      <w:r>
        <w:t xml:space="preserve">set excludes Open-Payments-only departures. Both differences push the</w:t>
      </w:r>
      <w:r>
        <w:t xml:space="preserve"> </w:t>
      </w:r>
      <w:r>
        <w:t xml:space="preserve">completion-to-departure ratio in the same (upward) direction, because an</w:t>
      </w:r>
      <w:r>
        <w:t xml:space="preserve"> </w:t>
      </w:r>
      <w:r>
        <w:t xml:space="preserve">Open-Payments-inclusive stock gate removes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physicians (a smaller, and thus</w:t>
      </w:r>
      <w:r>
        <w:t xml:space="preserve"> </w:t>
      </w:r>
      <w:r>
        <w:t xml:space="preserve">faster-depleting, baseline) while the anchored event set counts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departures.</w:t>
      </w:r>
      <w:r>
        <w:t xml:space="preserve"> </w:t>
      </w:r>
      <w:r>
        <w:t xml:space="preserve">A fully consistent-definition sensitivity, regenerating the 2025 active stock under</w:t>
      </w:r>
      <w:r>
        <w:t xml:space="preserve"> </w:t>
      </w:r>
      <w:r>
        <w:t xml:space="preserve">the non-Open-Payments-anchored rule so that stock and flow use one identical</w:t>
      </w:r>
      <w:r>
        <w:t xml:space="preserve"> </w:t>
      </w:r>
      <w:r>
        <w:t xml:space="preserve">definition, requires re-running the cohorting classifier against the per-signal</w:t>
      </w:r>
      <w:r>
        <w:t xml:space="preserve"> </w:t>
      </w:r>
      <w:r>
        <w:t xml:space="preserve">retirement table and is an acknowledged outstanding item (it does not change the</w:t>
      </w:r>
      <w:r>
        <w:t xml:space="preserve"> </w:t>
      </w:r>
      <w:r>
        <w:t xml:space="preserve">qualitative conclusion, since both current definitions already sit far above</w:t>
      </w:r>
      <w:r>
        <w:t xml:space="preserve"> </w:t>
      </w:r>
      <w:r>
        <w:t xml:space="preserve">replacement, but it would remove the residual stock-flow definitional asymmetry).</w:t>
      </w:r>
    </w:p>
    <w:bookmarkEnd w:id="18"/>
    <w:bookmarkStart w:id="19" w:name="right-censoring-confirmability"/>
    <w:p>
      <w:pPr>
        <w:pStyle w:val="Heading2"/>
      </w:pPr>
      <w:r>
        <w:t xml:space="preserve">Right-censoring confirmability</w:t>
      </w:r>
    </w:p>
    <w:p>
      <w:pPr>
        <w:pStyle w:val="FirstParagraph"/>
      </w:pPr>
      <w:r>
        <w:t xml:space="preserve">A departure is fully observable only if the required consecutive inactive years fall within</w:t>
      </w:r>
      <w:r>
        <w:t xml:space="preserve"> </w:t>
      </w:r>
      <w:r>
        <w:t xml:space="preserve">the available data. A single uniform three-year cessation rule applies to both cohorts.</w:t>
      </w:r>
      <w:r>
        <w:t xml:space="preserve"> </w:t>
      </w:r>
      <w:r>
        <w:t xml:space="preserve">With Medicare data through 2023, a departure year D requires inactivity in D, D+1, D+2</w:t>
      </w:r>
      <w:r>
        <w:t xml:space="preserve"> </w:t>
      </w:r>
      <w:r>
        <w:t xml:space="preserve">(observable if D+2 &lt;= 2023, i.e., D &lt;= 2021), which defines the fully-observable 2016-2021</w:t>
      </w:r>
      <w:r>
        <w:t xml:space="preserve"> </w:t>
      </w:r>
      <w:r>
        <w:t xml:space="preserve">window for both Gynecologic Oncology and URPS; later candidate years are right-censored and</w:t>
      </w:r>
      <w:r>
        <w:t xml:space="preserve"> </w:t>
      </w:r>
      <w:r>
        <w:t xml:space="preserve">excluded from hazard estimation. There is no separate four-year rule for Gynecologic Oncology.</w:t>
      </w:r>
    </w:p>
    <w:p>
      <w:pPr>
        <w:pStyle w:val="TableCaption"/>
      </w:pPr>
      <w:r>
        <w:rPr>
          <w:b/>
          <w:bCs/>
        </w:rPr>
        <w:t xml:space="preserve">Appendix Table S23.</w:t>
      </w:r>
      <w:r>
        <w:t xml:space="preserve"> </w:t>
      </w:r>
      <w:r>
        <w:t xml:space="preserve">Right-censoring confirmability by candidate departure year (three-year cessation rule, Medicare data through 2023). Departures through 2021 are fully observable; 2022-2023 are right-censored and excluded from hazard estimation.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23. Right-censoring confirmability by candidate departure year (three-year cessation rule, Medicare data through 2023). Departures through 2021 are fully observable; 2022-2023 are right-censored and excluded from hazard estimation."/>
      </w:tblPr>
      <w:tblGrid>
        <w:gridCol w:w="1816"/>
        <w:gridCol w:w="1743"/>
        <w:gridCol w:w="1235"/>
        <w:gridCol w:w="1816"/>
        <w:gridCol w:w="130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Candidate departure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Inactive years required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Last year needed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Last available data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confirmable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19"/>
    <w:bookmarkStart w:id="20" w:name="reproducibility-audit-table"/>
    <w:p>
      <w:pPr>
        <w:pStyle w:val="Heading2"/>
      </w:pPr>
      <w:r>
        <w:t xml:space="preserve">Reproducibility audit table</w:t>
      </w:r>
    </w:p>
    <w:p>
      <w:pPr>
        <w:pStyle w:val="FirstParagraph"/>
      </w:pPr>
      <w:r>
        <w:t xml:space="preserve">To make every reported ratio traceable from raw events to projection, the table below</w:t>
      </w:r>
      <w:r>
        <w:t xml:space="preserve"> </w:t>
      </w:r>
      <w:r>
        <w:t xml:space="preserve">passes each departure definition through the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authoritative model used for the</w:t>
      </w:r>
      <w:r>
        <w:t xml:space="preserve"> </w:t>
      </w:r>
      <w:r>
        <w:t xml:space="preserve">headline result: a single pooled age-band departure hazard (estimated across the two</w:t>
      </w:r>
      <w:r>
        <w:t xml:space="preserve"> </w:t>
      </w:r>
      <w:r>
        <w:t xml:space="preserve">board-certified cohorts, gynecologic oncology and both-pathway urogynecology, to borrow</w:t>
      </w:r>
      <w:r>
        <w:t xml:space="preserve"> </w:t>
      </w:r>
      <w:r>
        <w:t xml:space="preserve">strength over the sparse per-band events; MIGS excluded), applied by dynamic aging of</w:t>
      </w:r>
      <w:r>
        <w:t xml:space="preserve"> </w:t>
      </w:r>
      <w:r>
        <w:t xml:space="preserve">each cohort’s own active-age distribution with annual graduate entry. The primary</w:t>
      </w:r>
      <w:r>
        <w:t xml:space="preserve"> </w:t>
      </w:r>
      <w:r>
        <w:t xml:space="preserve">non-Open-Payments-anchored row reproduces the consolidated projection table exactly</w:t>
      </w:r>
      <w:r>
        <w:t xml:space="preserve"> </w:t>
      </w:r>
      <w:r>
        <w:t xml:space="preserve">(Gynecologic Oncology 7.11,</w:t>
      </w:r>
      <w:r>
        <w:t xml:space="preserve"> </w:t>
      </w:r>
      <w:r>
        <w:t xml:space="preserve">URPS 5.38). The static single-year rate is shown alongside</w:t>
      </w:r>
      <w:r>
        <w:t xml:space="preserve"> </w:t>
      </w:r>
      <w:r>
        <w:t xml:space="preserve">the dynamic four-year departures to make the difference between the two explicit; earlier</w:t>
      </w:r>
      <w:r>
        <w:t xml:space="preserve"> </w:t>
      </w:r>
      <w:r>
        <w:t xml:space="preserve">drafts reported some sensitivities on a static, subspecialty-specific hazard, which is</w:t>
      </w:r>
      <w:r>
        <w:t xml:space="preserve"> </w:t>
      </w:r>
      <w:r>
        <w:t xml:space="preserve">the source of any small numerical differences a reader may recall.</w:t>
      </w:r>
    </w:p>
    <w:p>
      <w:pPr>
        <w:pStyle w:val="TableCaption"/>
      </w:pPr>
      <w:r>
        <w:rPr>
          <w:b/>
          <w:bCs/>
        </w:rPr>
        <w:t xml:space="preserve">Appendix Table S4b.</w:t>
      </w:r>
      <w:r>
        <w:t xml:space="preserve"> </w:t>
      </w:r>
      <w:r>
        <w:t xml:space="preserve">Reproducibility audit: every departure definition through the one authoritative pooled dynamic model. The primary (non-Open-Payments anchored) row reproduces the consolidated projection. Both the primary and the Open-Payments-inclusive definitions remain above replacement, so the qualitative finding does not depend on the source-inclusion choice.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4b. Reproducibility audit: every departure definition through the one authoritative pooled dynamic model. The primary (non-Open-Payments anchored) row reproduces the consolidated projection. Both the primary and the Open-Payments-inclusive definitions remain above replacement, so the qualitative finding does not depend on the source-inclusion choice."/>
      </w:tblPr>
      <w:tblGrid>
        <w:gridCol w:w="1262"/>
        <w:gridCol w:w="497"/>
        <w:gridCol w:w="382"/>
        <w:gridCol w:w="918"/>
        <w:gridCol w:w="803"/>
        <w:gridCol w:w="918"/>
        <w:gridCol w:w="918"/>
        <w:gridCol w:w="497"/>
        <w:gridCol w:w="1147"/>
        <w:gridCol w:w="5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Eligible departures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2025 rate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4-yr departures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annual rate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Graduates/yr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Completion-to-departure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(non-OP anchored)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(non-OP anchored)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OP-inclusive 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OP-inclusive 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primary, ABOG-only URPS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primary, ABOG-only URPS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primary, window 2016-2019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primary, window 2016-2019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primary, window 2016-2023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primary, window 2016-2023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1490</w:t>
            </w:r>
          </w:p>
        </w:tc>
      </w:tr>
    </w:tbl>
    <w:bookmarkEnd w:id="20"/>
    <w:bookmarkEnd w:id="21"/>
    <w:bookmarkStart w:id="23" w:name="appendix-s5.-estimated-age-validation"/>
    <w:p>
      <w:pPr>
        <w:pStyle w:val="Heading1"/>
      </w:pPr>
      <w:r>
        <w:t xml:space="preserve">Appendix S5. Estimated-Age Validation</w:t>
      </w:r>
    </w:p>
    <w:p>
      <w:pPr>
        <w:pStyle w:val="FirstParagraph"/>
      </w:pPr>
      <w:r>
        <w:t xml:space="preserve">The certification-anchored estimated age (reference year minus certification year</w:t>
      </w:r>
      <w:r>
        <w:t xml:space="preserve"> </w:t>
      </w:r>
      <w:r>
        <w:t xml:space="preserve">plus 30) was validated against two external sources: Healthgrades profile age and</w:t>
      </w:r>
      <w:r>
        <w:t xml:space="preserve"> </w:t>
      </w:r>
      <w:r>
        <w:t xml:space="preserve">Medicare Doctors and Clinicians graduation year (graduation year plus 27).</w:t>
      </w:r>
    </w:p>
    <w:p>
      <w:pPr>
        <w:pStyle w:val="TableCaption"/>
      </w:pPr>
      <w:r>
        <w:rPr>
          <w:b/>
          <w:bCs/>
        </w:rPr>
        <w:t xml:space="preserve">Appendix Table S6.</w:t>
      </w:r>
      <w:r>
        <w:t xml:space="preserve"> </w:t>
      </w:r>
      <w:r>
        <w:t xml:space="preserve">Certification-anchored estimated age versus external age sources.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6. Certification-anchored estimated age versus external age sources."/>
      </w:tblPr>
      <w:tblGrid>
        <w:gridCol w:w="2050"/>
        <w:gridCol w:w="424"/>
        <w:gridCol w:w="990"/>
        <w:gridCol w:w="424"/>
        <w:gridCol w:w="1909"/>
        <w:gridCol w:w="848"/>
        <w:gridCol w:w="12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error,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SD,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abs. error, y (IQR)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5-y band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Healthgrades profile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Medicare graduation-year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59.2</w:t>
            </w:r>
          </w:p>
        </w:tc>
      </w:tr>
    </w:tbl>
    <w:p>
      <w:pPr>
        <w:pStyle w:val="BodyText"/>
      </w:pPr>
      <w:r>
        <w:rPr>
          <w:i/>
          <w:iCs/>
        </w:rPr>
        <w:t xml:space="preserve">Error is estimated minus reference age. The estimate correlates strongly with both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references and has a median absolute error of two years, with a small systematic</w:t>
      </w:r>
      <w:r>
        <w:rPr>
          <w:i/>
          <w:iCs/>
        </w:rPr>
        <w:t xml:space="preserve"> </w:t>
      </w:r>
      <w:r>
        <w:rPr>
          <w:i/>
          <w:iCs/>
        </w:rPr>
        <w:t xml:space="preserve">under-estimate; because the same estimate sets both the hazard-estimation and the</w:t>
      </w:r>
      <w:r>
        <w:rPr>
          <w:i/>
          <w:iCs/>
        </w:rPr>
        <w:t xml:space="preserve"> </w:t>
      </w:r>
      <w:r>
        <w:rPr>
          <w:i/>
          <w:iCs/>
        </w:rPr>
        <w:t xml:space="preserve">active-age distributions, the offset largely cancels in the departure rate.</w:t>
      </w:r>
    </w:p>
    <w:bookmarkStart w:id="22" w:name="age-shift-sensitivity"/>
    <w:p>
      <w:pPr>
        <w:pStyle w:val="Heading2"/>
      </w:pPr>
      <w:r>
        <w:t xml:space="preserve">Age-shift sensitivity</w:t>
      </w:r>
    </w:p>
    <w:p>
      <w:pPr>
        <w:pStyle w:val="FirstParagraph"/>
      </w:pPr>
      <w:r>
        <w:t xml:space="preserve">Because age-band hazards rise nonlinearly, a systematic age under-estimate could move</w:t>
      </w:r>
      <w:r>
        <w:t xml:space="preserve"> </w:t>
      </w:r>
      <w:r>
        <w:t xml:space="preserve">physicians across band boundaries even if the offset otherwise cancels. We recomputed the</w:t>
      </w:r>
      <w:r>
        <w:t xml:space="preserve"> </w:t>
      </w:r>
      <w:r>
        <w:t xml:space="preserve">departure rate and completion-to-departure ratio with all ages shifted +0, +2, and +4 years,</w:t>
      </w:r>
      <w:r>
        <w:t xml:space="preserve"> </w:t>
      </w:r>
      <w:r>
        <w:t xml:space="preserve">applied to both the pooled age-band hazard life table and the active-age distribution and run</w:t>
      </w:r>
      <w:r>
        <w:t xml:space="preserve"> </w:t>
      </w:r>
      <w:r>
        <w:t xml:space="preserve">through the same pooled dynamic model as the headline result (primary non-Open-Payments-anchored</w:t>
      </w:r>
      <w:r>
        <w:t xml:space="preserve"> </w:t>
      </w:r>
      <w:r>
        <w:t xml:space="preserve">definition). The +0 row therefore reproduces the Table 2 ratios exactly; the +2 and +4 rows</w:t>
      </w:r>
      <w:r>
        <w:t xml:space="preserve"> </w:t>
      </w:r>
      <w:r>
        <w:t xml:space="preserve">show the effect of the estimated-age under-estimate.</w:t>
      </w:r>
    </w:p>
    <w:p>
      <w:pPr>
        <w:pStyle w:val="TableCaption"/>
      </w:pPr>
      <w:r>
        <w:rPr>
          <w:b/>
          <w:bCs/>
        </w:rPr>
        <w:t xml:space="preserve">Appendix Table S24.</w:t>
      </w:r>
      <w:r>
        <w:t xml:space="preserve"> </w:t>
      </w:r>
      <w:r>
        <w:t xml:space="preserve">Age-shift sensitivity. Shifting all ages up by 2-4 years modestly raises the departure rate and lowers the ratio, but both cohorts remain well above replacement, so the conclusion is robust to the estimated-age under-estimate.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24. Age-shift sensitivity. Shifting all ages up by 2-4 years modestly raises the departure rate and lowers the ratio, but both cohorts remain well above replacement, so the conclusion is robust to the estimated-age under-estimate."/>
      </w:tblPr>
      <w:tblGrid>
        <w:gridCol w:w="571"/>
        <w:gridCol w:w="1224"/>
        <w:gridCol w:w="1796"/>
        <w:gridCol w:w="1877"/>
        <w:gridCol w:w="24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shift (yr)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 rate (%/yr)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annual departures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Completion-to-departure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4.91</w:t>
            </w:r>
          </w:p>
        </w:tc>
      </w:tr>
    </w:tbl>
    <w:bookmarkEnd w:id="22"/>
    <w:bookmarkEnd w:id="23"/>
    <w:bookmarkStart w:id="24" w:name="appendix-s6.-cohort-derivation-flow"/>
    <w:p>
      <w:pPr>
        <w:pStyle w:val="Heading1"/>
      </w:pPr>
      <w:r>
        <w:t xml:space="preserve">Appendix S6. Cohort Derivation Flow</w:t>
      </w:r>
    </w:p>
    <w:p>
      <w:pPr>
        <w:pStyle w:val="TableCaption"/>
      </w:pPr>
      <w:r>
        <w:rPr>
          <w:b/>
          <w:bCs/>
        </w:rPr>
        <w:t xml:space="preserve">Appendix Table S7.</w:t>
      </w:r>
      <w:r>
        <w:t xml:space="preserve"> </w:t>
      </w:r>
      <w:r>
        <w:t xml:space="preserve">Cohort derivation to the 2023 board-certified active baseline, by cohort (canonical contract v3.0.0, URPS-subspecialty-certification basis). For URPS the baseline is the ABOG-pathway active count (1,027) plus the ABU urology-pathway physicians active in 2023 (279), i.e., 1,027 + 279 = 1,306. Of the 1,031 ABOG-pathway and 308 ABU-pathway (270 net-new + 38 reinstated dual-boarded) physicians in the identified roster, 33 (4 ABOG, 29 ABU) whose URPS subspecialty certification postdates 2023 are excluded from the 2023 active baseline.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7. Cohort derivation to the 2023 board-certified active baseline, by cohort (canonical contract v3.0.0, URPS-subspecialty-certification basis). For URPS the baseline is the ABOG-pathway active count (1,027) plus the ABU urology-pathway physicians active in 2023 (279), i.e., 1,027 + 279 = 1,306. Of the 1,031 ABOG-pathway and 308 ABU-pathway (270 net-new + 38 reinstated dual-boarded) physicians in the identified roster, 33 (4 ABOG, 29 ABU) whose URPS subspecialty certification postdates 2023 are excluded from the 2023 active baseline."/>
      </w:tblPr>
      <w:tblGrid>
        <w:gridCol w:w="5544"/>
        <w:gridCol w:w="1108"/>
        <w:gridCol w:w="264"/>
        <w:gridCol w:w="10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Gynecologic Oncology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MIGS (exploratory)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Certified/designated, NPI-matched, in-model roster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Removed: classified deceased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Removed: inactive/departed (GO, MIGS); ABOG-pathway URPS subspecialty certification after 2023 (URPS)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ABOG-pathway 2023 board-certified 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5a. ABU urology-pathway identified (net-new + reinstated)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5b. Excluded: ABU subspecialty certification after 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5c. ABU included (2023 active)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Final 2023 board-certified active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 roster is already NPI-matched and de-duplicated. Classified deaths are zero</w:t>
      </w:r>
      <w:r>
        <w:rPr>
          <w:i/>
          <w:iCs/>
        </w:rPr>
        <w:t xml:space="preserve"> </w:t>
      </w:r>
      <w:r>
        <w:rPr>
          <w:i/>
          <w:iCs/>
        </w:rPr>
        <w:t xml:space="preserve">here, reflecting death under-ascertainment (Appendix S4), not the absence of deaths.</w:t>
      </w:r>
      <w:r>
        <w:rPr>
          <w:i/>
          <w:iCs/>
        </w:rPr>
        <w:t xml:space="preserve"> </w:t>
      </w:r>
      <w:r>
        <w:rPr>
          <w:i/>
          <w:iCs/>
        </w:rPr>
        <w:t xml:space="preserve">The v3.0.0 baseline is keyed on the URPS subspecialty certification year: of the</w:t>
      </w:r>
      <w:r>
        <w:rPr>
          <w:i/>
          <w:iCs/>
        </w:rPr>
        <w:t xml:space="preserve"> </w:t>
      </w:r>
      <w:r>
        <w:rPr>
          <w:i/>
          <w:iCs/>
        </w:rPr>
        <w:t xml:space="preserve">identified roster (1,031 ABOG + 308 ABU),</w:t>
      </w:r>
      <w:r>
        <w:rPr>
          <w:i/>
          <w:iCs/>
        </w:rPr>
        <w:t xml:space="preserve"> </w:t>
      </w:r>
      <w:r>
        <w:rPr>
          <w:i/>
          <w:iCs/>
        </w:rPr>
        <w:t xml:space="preserve">the 33 physicians whose subspecialty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certification postdates 2023 are excluded, leaving 1,027 +</w:t>
      </w:r>
      <w:r>
        <w:rPr>
          <w:i/>
          <w:iCs/>
        </w:rPr>
        <w:t xml:space="preserve"> </w:t>
      </w:r>
      <w:r>
        <w:rPr>
          <w:i/>
          <w:iCs/>
        </w:rPr>
        <w:t xml:space="preserve">279 = 1,306 active in 2023.</w:t>
      </w:r>
      <w:r>
        <w:rPr>
          <w:i/>
          <w:iCs/>
        </w:rPr>
        <w:t xml:space="preserve"> </w:t>
      </w:r>
      <w:r>
        <w:rPr>
          <w:i/>
          <w:iCs/>
        </w:rPr>
        <w:t xml:space="preserve">Age is reconstructed from the URPS subspecialty certification year where available</w:t>
      </w:r>
      <w:r>
        <w:rPr>
          <w:i/>
          <w:iCs/>
        </w:rPr>
        <w:t xml:space="preserve"> </w:t>
      </w:r>
      <w:r>
        <w:rPr>
          <w:i/>
          <w:iCs/>
        </w:rPr>
        <w:t xml:space="preserve">(981 ABOG physicians via the ABOG sub-certification start date) and otherwise from a</w:t>
      </w:r>
      <w:r>
        <w:rPr>
          <w:i/>
          <w:iCs/>
        </w:rPr>
        <w:t xml:space="preserve"> </w:t>
      </w:r>
      <w:r>
        <w:rPr>
          <w:i/>
          <w:iCs/>
        </w:rPr>
        <w:t xml:space="preserve">fellowship-timing proxy (46 ABOG via primary certification + 3 years; all</w:t>
      </w:r>
      <w:r>
        <w:rPr>
          <w:i/>
          <w:iCs/>
        </w:rPr>
        <w:t xml:space="preserve"> </w:t>
      </w:r>
      <w:r>
        <w:rPr>
          <w:i/>
          <w:iCs/>
        </w:rPr>
        <w:t xml:space="preserve">279 ABU via</w:t>
      </w:r>
      <w:r>
        <w:rPr>
          <w:i/>
          <w:iCs/>
        </w:rPr>
        <w:t xml:space="preserve"> </w:t>
      </w:r>
      <w:r>
        <w:rPr>
          <w:i/>
          <w:iCs/>
        </w:rPr>
        <w:t xml:space="preserve">primary certification + 2 years). MIGS is an exploratory focused-practice-designation</w:t>
      </w:r>
      <w:r>
        <w:rPr>
          <w:i/>
          <w:iCs/>
        </w:rPr>
        <w:t xml:space="preserve"> </w:t>
      </w:r>
      <w:r>
        <w:rPr>
          <w:i/>
          <w:iCs/>
        </w:rPr>
        <w:t xml:space="preserve">cohort.</w:t>
      </w:r>
    </w:p>
    <w:bookmarkEnd w:id="24"/>
    <w:bookmarkStart w:id="25" w:name="X73b349d28b1845c3e909a083541430a0468dd35"/>
    <w:p>
      <w:pPr>
        <w:pStyle w:val="Heading1"/>
      </w:pPr>
      <w:r>
        <w:t xml:space="preserve">Appendix S6b. Pooled Versus Unpooled Age-Band Hazards</w:t>
      </w:r>
    </w:p>
    <w:p>
      <w:pPr>
        <w:pStyle w:val="FirstParagraph"/>
      </w:pPr>
      <w:r>
        <w:t xml:space="preserve">The primary model estimates a single</w:t>
      </w:r>
      <w:r>
        <w:t xml:space="preserve"> </w:t>
      </w:r>
      <w:r>
        <w:rPr>
          <w:b/>
          <w:bCs/>
        </w:rPr>
        <w:t xml:space="preserve">pooled</w:t>
      </w:r>
      <w:r>
        <w:t xml:space="preserve"> </w:t>
      </w:r>
      <w:r>
        <w:t xml:space="preserve">age-band departure hazard across the</w:t>
      </w:r>
      <w:r>
        <w:t xml:space="preserve"> </w:t>
      </w:r>
      <w:r>
        <w:t xml:space="preserve">two board-certified primary cohorts (gynecologic oncology and both-pathway</w:t>
      </w:r>
      <w:r>
        <w:t xml:space="preserve"> </w:t>
      </w:r>
      <w:r>
        <w:t xml:space="preserve">urogynecology) and applies it to each cohort’s own active-age distribution. The</w:t>
      </w:r>
      <w:r>
        <w:t xml:space="preserve"> </w:t>
      </w:r>
      <w:r>
        <w:t xml:space="preserve">exploratory MIGS cohort is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the primary hazard because it differs in</w:t>
      </w:r>
      <w:r>
        <w:t xml:space="preserve"> </w:t>
      </w:r>
      <w:r>
        <w:t xml:space="preserve">ascertainment, certification status, and graduate numerator; a MIGS-inclusive hazard</w:t>
      </w:r>
      <w:r>
        <w:t xml:space="preserve"> </w:t>
      </w:r>
      <w:r>
        <w:t xml:space="preserve">is shown alongside as a sensitivity. Pooling is motivated by sparse per-band events:</w:t>
      </w:r>
      <w:r>
        <w:t xml:space="preserve"> </w:t>
      </w:r>
      <w:r>
        <w:t xml:space="preserve">within a single subspecialty most age bands contain only a handful of departures</w:t>
      </w:r>
      <w:r>
        <w:t xml:space="preserve"> </w:t>
      </w:r>
      <w:r>
        <w:t xml:space="preserve">(Table S6b), so unpooled subspecialty-specific hazards are unstable. The table reports,</w:t>
      </w:r>
      <w:r>
        <w:t xml:space="preserve"> </w:t>
      </w:r>
      <w:r>
        <w:t xml:space="preserve">for each age band, the departure events and person-years by subspecialty, the unpooled</w:t>
      </w:r>
      <w:r>
        <w:t xml:space="preserve"> </w:t>
      </w:r>
      <w:r>
        <w:t xml:space="preserve">Gynecologic Oncology and URPS hazards, the pooled hazard actually used, and the</w:t>
      </w:r>
      <w:r>
        <w:t xml:space="preserve"> </w:t>
      </w:r>
      <w:r>
        <w:t xml:space="preserve">MIGS-inclusive pooled hazard as a sensitivity.</w:t>
      </w:r>
    </w:p>
    <w:p>
      <w:pPr>
        <w:pStyle w:val="TableCaption"/>
      </w:pPr>
      <w:r>
        <w:rPr>
          <w:b/>
          <w:bCs/>
        </w:rPr>
        <w:t xml:space="preserve">Appendix Table S6b.</w:t>
      </w:r>
      <w:r>
        <w:t xml:space="preserve"> </w:t>
      </w:r>
      <w:r>
        <w:t xml:space="preserve">Age-band departure events, person-years, and hazards: unpooled (subspecialty-specific) versus the pooled hazard used in the primary model (GO + both-pathway URPS only, primary non-Open-Payments-anchored definition, 2016-2021), with the MIGS-inclusive pooled hazard as a sensitivity. The primary hazard life table totals 36 Gynecologic Oncology and 35 URPS events (71 pooled); adding the exploratory MIGS cohort raises the pool to 81 events. The 37th Gynecologic Oncology anchored departure is dated in its first observable year and contributes no prior at-risk person-time.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6b. Age-band departure events, person-years, and hazards: unpooled (subspecialty-specific) versus the pooled hazard used in the primary model (GO + both-pathway URPS only, primary non-Open-Payments-anchored definition, 2016-2021), with the MIGS-inclusive pooled hazard as a sensitivity. The primary hazard life table totals 36 Gynecologic Oncology and 35 URPS events (71 pooled); adding the exploratory MIGS cohort raises the pool to 81 events. The 37th Gynecologic Oncology anchored departure is dated in its first observable year and contributes no prior at-risk person-time."/>
      </w:tblPr>
      <w:tblGrid>
        <w:gridCol w:w="451"/>
        <w:gridCol w:w="501"/>
        <w:gridCol w:w="300"/>
        <w:gridCol w:w="601"/>
        <w:gridCol w:w="401"/>
        <w:gridCol w:w="601"/>
        <w:gridCol w:w="1052"/>
        <w:gridCol w:w="1152"/>
        <w:gridCol w:w="1503"/>
        <w:gridCol w:w="13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 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URPS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URPS 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MIGS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hazard (unpooled)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 hazard (unpooled)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hazard (used, GO+URPS)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+MIGS (sensitivity)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45-49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50-54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55-59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65-69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</w:tbl>
    <w:p/>
    <w:p>
      <w:pPr>
        <w:pStyle w:val="TableCaption"/>
      </w:pPr>
      <w:r>
        <w:rPr>
          <w:b/>
          <w:bCs/>
        </w:rPr>
        <w:t xml:space="preserve">Appendix Table S6c.</w:t>
      </w:r>
      <w:r>
        <w:t xml:space="preserve"> </w:t>
      </w:r>
      <w:r>
        <w:t xml:space="preserve">Weighted 2025 static departure rate under the pooled hazard (used) versus each subspecialty’s own unpooled hazard. Under unpooled hazards URPS (1.01%) exceeds Gynecologic Oncology (0.90%); under the pooled hazard applied to each age distribution the ordering reverses (Gynecologic Oncology 0.96%, URPS 0.83%). The pooling assumption, not separate estimation, therefore determines which subspecialty’s rate is higher, so the per-subspecialty rates should be read as one pooled hazard filtered through two age structures, not as independently estimated specialty hazards.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6c. Weighted 2025 static departure rate under the pooled hazard (used) versus each subspecialty’s own unpooled hazard. Under unpooled hazards URPS (1.01%) exceeds Gynecologic Oncology (0.90%); under the pooled hazard applied to each age distribution the ordering reverses (Gynecologic Oncology 0.96%, URPS 0.83%). The pooling assumption, not separate estimation, therefore determines which subspecialty’s rate is higher, so the per-subspecialty rates should be read as one pooled hazard filtered through two age structures, not as independently estimated specialty hazards."/>
      </w:tblPr>
      <w:tblGrid>
        <w:gridCol w:w="695"/>
        <w:gridCol w:w="2461"/>
        <w:gridCol w:w="2140"/>
        <w:gridCol w:w="26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2025 rate, pooled GO+URPS hazard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2025 rate, unpooled hazard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2025 rate, pooled +MIGS sensitivity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</w:tr>
    </w:tbl>
    <w:p>
      <w:pPr>
        <w:pStyle w:val="BodyText"/>
      </w:pPr>
      <w:r>
        <w:t xml:space="preserve">Because pooling assumes a common age-conditioned hazard across subspecialties that</w:t>
      </w:r>
      <w:r>
        <w:t xml:space="preserve"> </w:t>
      </w:r>
      <w:r>
        <w:t xml:space="preserve">differ in practice structure and Medicare visibility, we present it transparently</w:t>
      </w:r>
      <w:r>
        <w:t xml:space="preserve"> </w:t>
      </w:r>
      <w:r>
        <w:t xml:space="preserve">rather than as specialty-specific estimation. A hierarchical (partially pooled)</w:t>
      </w:r>
      <w:r>
        <w:t xml:space="preserve"> </w:t>
      </w:r>
      <w:r>
        <w:t xml:space="preserve">survival model would preserve subspecialty identity while borrowing strength across</w:t>
      </w:r>
      <w:r>
        <w:t xml:space="preserve"> </w:t>
      </w:r>
      <w:r>
        <w:t xml:space="preserve">the sparse bands and is the preferred next step; the fully pooled and fully unpooled</w:t>
      </w:r>
      <w:r>
        <w:t xml:space="preserve"> </w:t>
      </w:r>
      <w:r>
        <w:t xml:space="preserve">rates above bracket its result, and both leave every cohort far above replacement.</w:t>
      </w:r>
    </w:p>
    <w:bookmarkEnd w:id="25"/>
    <w:bookmarkStart w:id="26" w:name="X1b895b7a8137e2aa9d4dfc984742b17f25f4303"/>
    <w:p>
      <w:pPr>
        <w:pStyle w:val="Heading1"/>
      </w:pPr>
      <w:r>
        <w:t xml:space="preserve">Appendix S7. Individual-Level Adjudication Protocol</w:t>
      </w:r>
    </w:p>
    <w:p>
      <w:pPr>
        <w:pStyle w:val="FirstParagraph"/>
      </w:pPr>
      <w:r>
        <w:t xml:space="preserve">The licensure-concordance analysis (main text) compares the classifier with an</w:t>
      </w:r>
      <w:r>
        <w:t xml:space="preserve"> </w:t>
      </w:r>
      <w:r>
        <w:t xml:space="preserve">independent administrative reference but is not an individual-level validation. We</w:t>
      </w:r>
      <w:r>
        <w:t xml:space="preserve"> </w:t>
      </w:r>
      <w:r>
        <w:t xml:space="preserve">therefore specify a physician-level manual adjudication over a single definitive</w:t>
      </w:r>
      <w:r>
        <w:t xml:space="preserve"> </w:t>
      </w:r>
      <w:r>
        <w:t xml:space="preserve">sample (</w:t>
      </w:r>
      <w:r>
        <w:rPr>
          <w:rStyle w:val="VerbatimChar"/>
        </w:rPr>
        <w:t xml:space="preserve">data/classifier_adjudication_sample.csv</w:t>
      </w:r>
      <w:r>
        <w:t xml:space="preserve">; scripts/classifier_adjudication.R):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classified clinical-practice departures in Gynecologic Oncology and URPS</w:t>
      </w:r>
      <w:r>
        <w:t xml:space="preserve"> </w:t>
      </w:r>
      <w:r>
        <w:t xml:space="preserve">(2016-2021), enriched with all departures under age 50 and all departures lacking</w:t>
      </w:r>
      <w:r>
        <w:t xml:space="preserve"> </w:t>
      </w:r>
      <w:r>
        <w:t xml:space="preserve">independent corroboration, plus a control set of physicians classified continuously</w:t>
      </w:r>
      <w:r>
        <w:t xml:space="preserve"> </w:t>
      </w:r>
      <w:r>
        <w:t xml:space="preserve">active (to detect false negatives, the error that most threatens the replacement</w:t>
      </w:r>
      <w:r>
        <w:t xml:space="preserve"> </w:t>
      </w:r>
      <w:r>
        <w:t xml:space="preserve">result). For each physician a scoring sheet records the classifier label, classified</w:t>
      </w:r>
      <w:r>
        <w:t xml:space="preserve"> </w:t>
      </w:r>
      <w:r>
        <w:t xml:space="preserve">departure year, estimated age, and firing signals, with blank fields for two</w:t>
      </w:r>
      <w:r>
        <w:t xml:space="preserve"> </w:t>
      </w:r>
      <w:r>
        <w:t xml:space="preserve">independent reviewers to record an adjudicated active/departed status, a departure</w:t>
      </w:r>
      <w:r>
        <w:t xml:space="preserve"> </w:t>
      </w:r>
      <w:r>
        <w:t xml:space="preserve">year, and a confidence rating, using public-record verification (state licensure,</w:t>
      </w:r>
      <w:r>
        <w:t xml:space="preserve"> </w:t>
      </w:r>
      <w:r>
        <w:t xml:space="preserve">institutional affiliation, recent publications or presentations, and obituary or</w:t>
      </w:r>
      <w:r>
        <w:t xml:space="preserve"> </w:t>
      </w:r>
      <w:r>
        <w:t xml:space="preserve">death-index searches). Positive and negative predictive values, sensitivity,</w:t>
      </w:r>
      <w:r>
        <w:t xml:space="preserve"> </w:t>
      </w:r>
      <w:r>
        <w:t xml:space="preserve">specificity, inter-reviewer agreement (Cohen kappa), and adjudication-corrected</w:t>
      </w:r>
      <w:r>
        <w:t xml:space="preserve"> </w:t>
      </w:r>
      <w:r>
        <w:t xml:space="preserve">departure rates and completion-to-departure ratios will be reported for Gynecologic</w:t>
      </w:r>
      <w:r>
        <w:t xml:space="preserve"> </w:t>
      </w:r>
      <w:r>
        <w:t xml:space="preserve">Oncology and ABOG-pathway URPS, with disagreements resolved by consensus. ABU</w:t>
      </w:r>
      <w:r>
        <w:t xml:space="preserve"> </w:t>
      </w:r>
      <w:r>
        <w:t xml:space="preserve">urology-pathway departures are not independently classifiable in this cohort (the ABU</w:t>
      </w:r>
      <w:r>
        <w:t xml:space="preserve"> </w:t>
      </w:r>
      <w:r>
        <w:t xml:space="preserve">roster carries no longitudinal activity data), so ABU-specific predictive values and</w:t>
      </w:r>
      <w:r>
        <w:t xml:space="preserve"> </w:t>
      </w:r>
      <w:r>
        <w:t xml:space="preserve">corrected hazards are not adjudicated; the projection borrows the ABOG-URPS hazard for</w:t>
      </w:r>
      <w:r>
        <w:t xml:space="preserve"> </w:t>
      </w:r>
      <w:r>
        <w:t xml:space="preserve">the ABU component. The sampling frame and instrument are prespecified and complete, and</w:t>
      </w:r>
      <w:r>
        <w:t xml:space="preserve"> </w:t>
      </w:r>
      <w:r>
        <w:t xml:space="preserve">the two-reviewer adjudication is pending; because this individual-level validation is</w:t>
      </w:r>
      <w:r>
        <w:t xml:space="preserve"> </w:t>
      </w:r>
      <w:r>
        <w:t xml:space="preserve">not yet complete, the primary departure endpoint is reported throughout as a provisional</w:t>
      </w:r>
      <w:r>
        <w:t xml:space="preserve"> </w:t>
      </w:r>
      <w:r>
        <w:t xml:space="preserve">administrative classification, and the headcount conclusion is supported instead by the</w:t>
      </w:r>
      <w:r>
        <w:t xml:space="preserve"> </w:t>
      </w:r>
      <w:r>
        <w:t xml:space="preserve">tipping-point robustness analysis (Appendix S10), which shows that overturning it would</w:t>
      </w:r>
      <w:r>
        <w:t xml:space="preserve"> </w:t>
      </w:r>
      <w:r>
        <w:t xml:space="preserve">require a large fraction of true departures to be missed. We do not present the classifier</w:t>
      </w:r>
      <w:r>
        <w:t xml:space="preserve"> </w:t>
      </w:r>
      <w:r>
        <w:t xml:space="preserve">as individually validated.</w:t>
      </w:r>
    </w:p>
    <w:p>
      <w:pPr>
        <w:pStyle w:val="BodyText"/>
      </w:pPr>
      <w:r>
        <w:rPr>
          <w:b/>
          <w:bCs/>
        </w:rPr>
        <w:t xml:space="preserve">Automated corroboration is meaningful only for the Open-Payments-inclusive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 layer, and is tautological for the primary definition.</w:t>
      </w:r>
      <w:r>
        <w:t xml:space="preserve"> </w:t>
      </w:r>
      <w:r>
        <w:t xml:space="preserve">Table S7b below</w:t>
      </w:r>
      <w:r>
        <w:t xml:space="preserve"> </w:t>
      </w:r>
      <w:r>
        <w:t xml:space="preserve">reports, for the Open-Payments-inclusive</w:t>
      </w:r>
      <w:r>
        <w:t xml:space="preserve"> </w:t>
      </w:r>
      <w:r>
        <w:rPr>
          <w:i/>
          <w:iCs/>
        </w:rPr>
        <w:t xml:space="preserve">detection</w:t>
      </w:r>
      <w:r>
        <w:t xml:space="preserve"> </w:t>
      </w:r>
      <w:r>
        <w:t xml:space="preserve">layer (56 Gynecologic Oncology and</w:t>
      </w:r>
      <w:r>
        <w:t xml:space="preserve"> </w:t>
      </w:r>
      <w:r>
        <w:t xml:space="preserve">41 URPS candidate departures, 2016-2021), the fraction with at least one non-Open-Payments</w:t>
      </w:r>
      <w:r>
        <w:t xml:space="preserve"> </w:t>
      </w:r>
      <w:r>
        <w:t xml:space="preserve">signal (NPPES deactivation, Medicare billing cessation in the departure year or the year</w:t>
      </w:r>
      <w:r>
        <w:t xml:space="preserve"> </w:t>
      </w:r>
      <w:r>
        <w:t xml:space="preserve">after, or an ABMS lapse within two years): 36% and 46% respectively. This corroboration</w:t>
      </w:r>
      <w:r>
        <w:t xml:space="preserve"> </w:t>
      </w:r>
      <w:r>
        <w:t xml:space="preserve">is informative there only because that layer includes Open-Payments-only events that the</w:t>
      </w:r>
      <w:r>
        <w:t xml:space="preserve"> </w:t>
      </w:r>
      <w:r>
        <w:t xml:space="preserve">non-Open-Payments signals can either confirm or fail to confirm.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validation of the primary definition: the primary non-Open-Payments-anchored endpoint</w:t>
      </w:r>
      <w:r>
        <w:t xml:space="preserve"> </w:t>
      </w:r>
      <w:r>
        <w:t xml:space="preserve">retains exactly the 37 Gynecologic Oncology and 35 URPS candidates that carry such an</w:t>
      </w:r>
      <w:r>
        <w:t xml:space="preserve"> </w:t>
      </w:r>
      <w:r>
        <w:t xml:space="preserve">anchor, so by construction 100% of primary departures are non-Open-Payments-corroborated.</w:t>
      </w:r>
      <w:r>
        <w:t xml:space="preserve"> </w:t>
      </w:r>
      <w:r>
        <w:t xml:space="preserve">That 100% is definitional, not independent evidence, and does not establish positive</w:t>
      </w:r>
      <w:r>
        <w:t xml:space="preserve"> </w:t>
      </w:r>
      <w:r>
        <w:t xml:space="preserve">predictive value; genuine individual-level validation requires the pending chart</w:t>
      </w:r>
      <w:r>
        <w:t xml:space="preserve"> </w:t>
      </w:r>
      <w:r>
        <w:t xml:space="preserve">adjudication above.</w:t>
      </w:r>
    </w:p>
    <w:p>
      <w:pPr>
        <w:pStyle w:val="TableCaption"/>
      </w:pPr>
      <w:r>
        <w:rPr>
          <w:b/>
          <w:bCs/>
        </w:rPr>
        <w:t xml:space="preserve">Appendix Table S7b.</w:t>
      </w:r>
      <w:r>
        <w:t xml:space="preserve"> </w:t>
      </w:r>
      <w:r>
        <w:t xml:space="preserve">Automated corroboration of the Open-Payments-INCLUSIVE detection-layer departures (56 Gynecologic Oncology, 41 URPS) by non-Open-Payments administrative signals. This is not a validation of the primary definition: the primary non-Open-Payments-anchored endpoint (37 and 35) is 100% non-Open-Payments-corroborated by construction. Neither is a substitute for the pending chart adjudication.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7b. Automated corroboration of the Open-Payments-INCLUSIVE detection-layer departures (56 Gynecologic Oncology, 41 URPS) by non-Open-Payments administrative signals. This is not a validation of the primary definition: the primary non-Open-Payments-anchored endpoint (37 and 35) is 100% non-Open-Payments-corroborated by construction. Neither is a substitute for the pending chart adjudication."/>
      </w:tblPr>
      <w:tblGrid>
        <w:gridCol w:w="364"/>
        <w:gridCol w:w="1354"/>
        <w:gridCol w:w="1146"/>
        <w:gridCol w:w="1458"/>
        <w:gridCol w:w="1615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Classified departures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NPPES deactivated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Medicare billing ceased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ABMS retirement concordant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Any signal (provisional PPV proxy,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</w:tbl>
    <w:bookmarkEnd w:id="26"/>
    <w:bookmarkStart w:id="27" w:name="appendix-s8.-feminization-sensitivity"/>
    <w:p>
      <w:pPr>
        <w:pStyle w:val="Heading1"/>
      </w:pPr>
      <w:r>
        <w:t xml:space="preserve">Appendix S8. Feminization Sensitivity</w:t>
      </w:r>
    </w:p>
    <w:p>
      <w:pPr>
        <w:pStyle w:val="FirstParagraph"/>
      </w:pPr>
      <w:r>
        <w:t xml:space="preserve">These subspecialties are feminizing: the female share of the cohort rose from 33%</w:t>
      </w:r>
      <w:r>
        <w:t xml:space="preserve"> </w:t>
      </w:r>
      <w:r>
        <w:t xml:space="preserve">among physicians certified through 2005 to 60%, 72%, and 71% among those certified</w:t>
      </w:r>
      <w:r>
        <w:t xml:space="preserve"> </w:t>
      </w:r>
      <w:r>
        <w:t xml:space="preserve">in 2006-2012, 2013-2018, and 2019 onward. Women leave clinical practice at a higher</w:t>
      </w:r>
      <w:r>
        <w:t xml:space="preserve"> </w:t>
      </w:r>
      <w:r>
        <w:t xml:space="preserve">hazard than men (hazard ratio ~1.4). We modeled this with a sex-stratified dynamic</w:t>
      </w:r>
      <w:r>
        <w:t xml:space="preserve"> </w:t>
      </w:r>
      <w:r>
        <w:t xml:space="preserve">projection in which the empirical age-band hazard is split into sex-specific hazards</w:t>
      </w:r>
      <w:r>
        <w:t xml:space="preserve"> </w:t>
      </w:r>
      <w:r>
        <w:t xml:space="preserve">(female = 1.4 x male, calibrated to reproduce the observed mixed-sex rate) and</w:t>
      </w:r>
      <w:r>
        <w:t xml:space="preserve"> </w:t>
      </w:r>
      <w:r>
        <w:t xml:space="preserve">graduates enter at the female share of the OB/GYN resident pool that feeds these</w:t>
      </w:r>
      <w:r>
        <w:t xml:space="preserve"> </w:t>
      </w:r>
      <w:r>
        <w:t xml:space="preserve">fellowships (about 85%, ACGME), with the observed recent-subspecialist share (72%)</w:t>
      </w:r>
      <w:r>
        <w:t xml:space="preserve"> </w:t>
      </w:r>
      <w:r>
        <w:t xml:space="preserve">as a lower bound. The URPS results here are</w:t>
      </w:r>
      <w:r>
        <w:t xml:space="preserve"> </w:t>
      </w:r>
      <w:r>
        <w:rPr>
          <w:b/>
          <w:bCs/>
        </w:rPr>
        <w:t xml:space="preserve">ABOG-pathway only</w:t>
      </w:r>
      <w:r>
        <w:t xml:space="preserve">: sex is ascertainable</w:t>
      </w:r>
      <w:r>
        <w:t xml:space="preserve"> </w:t>
      </w:r>
      <w:r>
        <w:t xml:space="preserve">only for the ABOG-certified cohort (n = 1,027; the external ABU roster carries no sex</w:t>
      </w:r>
      <w:r>
        <w:t xml:space="preserve"> </w:t>
      </w:r>
      <w:r>
        <w:t xml:space="preserve">field), and the 85% female entrant share is the obstetrics-gynecology resident pool</w:t>
      </w:r>
      <w:r>
        <w:t xml:space="preserve"> </w:t>
      </w:r>
      <w:r>
        <w:t xml:space="preserve">feeding the ABOG pathway, not the urology pathway. The sex-neutral URPS ratio below is</w:t>
      </w:r>
      <w:r>
        <w:t xml:space="preserve"> </w:t>
      </w:r>
      <w:r>
        <w:t xml:space="preserve">therefore the ABOG-pathway value computed on the sex-known subsample, which is lower than</w:t>
      </w:r>
      <w:r>
        <w:t xml:space="preserve"> </w:t>
      </w:r>
      <w:r>
        <w:t xml:space="preserve">the both-pathway primary ratio (5.4) reported in the main text.</w:t>
      </w:r>
    </w:p>
    <w:p>
      <w:pPr>
        <w:pStyle w:val="TableCaption"/>
      </w:pPr>
      <w:r>
        <w:rPr>
          <w:b/>
          <w:bCs/>
        </w:rPr>
        <w:t xml:space="preserve">Appendix Table S8.</w:t>
      </w:r>
      <w:r>
        <w:t xml:space="preserve"> </w:t>
      </w:r>
      <w:r>
        <w:t xml:space="preserve">Feminization sensitivity: sex-stratified projection versus the sex-neutral ratio (URPS is ABOG-pathway, sex-known subsample; not the both-pathway primary).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8. Feminization sensitivity: sex-stratified projection versus the sex-neutral ratio (URPS is ABOG-pathway, sex-known subsample; not the both-pathway primary)."/>
      </w:tblPr>
      <w:tblGrid>
        <w:gridCol w:w="465"/>
        <w:gridCol w:w="1197"/>
        <w:gridCol w:w="1264"/>
        <w:gridCol w:w="1796"/>
        <w:gridCol w:w="1796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female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Ratio, sex-neutral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Ratio, 72% female entrants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Ratio, 85% female entrants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 change, 85%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+28.5</w:t>
            </w:r>
          </w:p>
        </w:tc>
      </w:tr>
    </w:tbl>
    <w:p>
      <w:pPr>
        <w:pStyle w:val="BodyText"/>
      </w:pPr>
      <w:r>
        <w:rPr>
          <w:i/>
          <w:iCs/>
        </w:rPr>
        <w:t xml:space="preserve">All cohorts remain above replacement. The ratios are essentially unchanged and</w:t>
      </w:r>
      <w:r>
        <w:rPr>
          <w:i/>
          <w:iCs/>
        </w:rPr>
        <w:t xml:space="preserve"> </w:t>
      </w:r>
      <w:r>
        <w:rPr>
          <w:i/>
          <w:iCs/>
        </w:rPr>
        <w:t xml:space="preserve">insensitive to the entrant female share (72% versus the ~85% resident pool), because</w:t>
      </w:r>
      <w:r>
        <w:rPr>
          <w:i/>
          <w:iCs/>
        </w:rPr>
        <w:t xml:space="preserve"> </w:t>
      </w:r>
      <w:r>
        <w:rPr>
          <w:i/>
          <w:iCs/>
        </w:rPr>
        <w:t xml:space="preserve">entrants are young and depart at low rates regardless of sex; near-term departures</w:t>
      </w:r>
      <w:r>
        <w:rPr>
          <w:i/>
          <w:iCs/>
        </w:rPr>
        <w:t xml:space="preserve"> </w:t>
      </w:r>
      <w:r>
        <w:rPr>
          <w:i/>
          <w:iCs/>
        </w:rPr>
        <w:t xml:space="preserve">come from older, male-dominated cohorts, so the early-career feminization effect</w:t>
      </w:r>
      <w:r>
        <w:rPr>
          <w:i/>
          <w:iCs/>
        </w:rPr>
        <w:t xml:space="preserve"> </w:t>
      </w:r>
      <w:r>
        <w:rPr>
          <w:i/>
          <w:iCs/>
        </w:rPr>
        <w:t xml:space="preserve">emerges only over a longer horizon as the majority-female younger cohort ages (URPS</w:t>
      </w:r>
      <w:r>
        <w:rPr>
          <w:i/>
          <w:iCs/>
        </w:rPr>
        <w:t xml:space="preserve"> </w:t>
      </w:r>
      <w:r>
        <w:rPr>
          <w:i/>
          <w:iCs/>
        </w:rPr>
        <w:t xml:space="preserve">here uses the ABOG-pathway cohort, for which sex is recorded).</w:t>
      </w:r>
    </w:p>
    <w:bookmarkEnd w:id="27"/>
    <w:bookmarkStart w:id="29" w:name="Xbb17eeaaac8cf2c28dbf8b1a494f005861a4159"/>
    <w:p>
      <w:pPr>
        <w:pStyle w:val="Heading1"/>
      </w:pPr>
      <w:r>
        <w:t xml:space="preserve">Appendix S9. Clinical Full-Time-Equivalent Sensitivity</w:t>
      </w:r>
    </w:p>
    <w:p>
      <w:pPr>
        <w:pStyle w:val="FirstParagraph"/>
      </w:pPr>
      <w:r>
        <w:t xml:space="preserve">The primary analysis counts physicians (headcount). Because clinical effort per</w:t>
      </w:r>
      <w:r>
        <w:t xml:space="preserve"> </w:t>
      </w:r>
      <w:r>
        <w:t xml:space="preserve">physician is below one and varies by subspecialty, we report an exploratory</w:t>
      </w:r>
      <w:r>
        <w:t xml:space="preserve"> </w:t>
      </w:r>
      <w:r>
        <w:t xml:space="preserve">clinical full-time-equivalent (FTE) sensitivity. Specialty-specific clinical-effort</w:t>
      </w:r>
      <w:r>
        <w:t xml:space="preserve"> </w:t>
      </w:r>
      <w:r>
        <w:t xml:space="preserve">estimates are available but derive from surveys rather than a national FTE census:</w:t>
      </w:r>
      <w:r>
        <w:t xml:space="preserve"> </w:t>
      </w:r>
      <w:r>
        <w:t xml:space="preserve">gynecologic oncologists devoted a median 63% of professional effort to clinical</w:t>
      </w:r>
      <w:r>
        <w:t xml:space="preserve"> </w:t>
      </w:r>
      <w:r>
        <w:t xml:space="preserve">activities (2020 Society of Gynecologic Oncology State of the Society Survey),</w:t>
      </w:r>
      <w:hyperlink w:anchor="ref-temkin2022fte">
        <w:r>
          <w:rPr>
            <w:rStyle w:val="Hyperlink"/>
            <w:vertAlign w:val="superscript"/>
          </w:rPr>
          <w:t xml:space="preserve">1</w:t>
        </w:r>
      </w:hyperlink>
      <w:r>
        <w:t xml:space="preserve"> </w:t>
      </w:r>
      <w:r>
        <w:t xml:space="preserve">and one survey of 118 female pelvic medicine and reconstructive surgery physicians</w:t>
      </w:r>
      <w:r>
        <w:t xml:space="preserve"> </w:t>
      </w:r>
      <w:r>
        <w:t xml:space="preserve">reported about 80% clinical or operative effort.</w:t>
      </w:r>
      <w:hyperlink w:anchor="ref-aua2024fpmrs">
        <w:r>
          <w:rPr>
            <w:rStyle w:val="Hyperlink"/>
            <w:vertAlign w:val="superscript"/>
          </w:rPr>
          <w:t xml:space="preserve">2</w:t>
        </w:r>
      </w:hyperlink>
      <w:r>
        <w:t xml:space="preserve"> </w:t>
      </w:r>
      <w:r>
        <w:t xml:space="preserve">We treat the URPS</w:t>
      </w:r>
      <w:r>
        <w:t xml:space="preserve"> </w:t>
      </w:r>
      <w:r>
        <w:t xml:space="preserve">factor as provisional (sensitivity range 0.60 to 0.90) because that sample may</w:t>
      </w:r>
      <w:r>
        <w:t xml:space="preserve"> </w:t>
      </w:r>
      <w:r>
        <w:t xml:space="preserve">over-represent urology-pathway practice; MIGS effort is not estimated.</w:t>
      </w:r>
    </w:p>
    <w:p>
      <w:pPr>
        <w:pStyle w:val="TableCaption"/>
      </w:pPr>
      <w:r>
        <w:rPr>
          <w:b/>
          <w:bCs/>
        </w:rPr>
        <w:t xml:space="preserve">Appendix Table S9.</w:t>
      </w:r>
      <w:r>
        <w:t xml:space="preserve"> </w:t>
      </w:r>
      <w:r>
        <w:t xml:space="preserve">Clinical-FTE sensitivity applying specialty-specific clinical-effort factors to the active headcount.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9. Clinical-FTE sensitivity applying specialty-specific clinical-effort factors to the active headcount."/>
      </w:tblPr>
      <w:tblGrid>
        <w:gridCol w:w="3867"/>
        <w:gridCol w:w="1043"/>
        <w:gridCol w:w="1412"/>
        <w:gridCol w:w="15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headcount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Clinical-effort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clinical FTEs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Gynecologic Oncology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Urogynecology and Reconstructive Pelvic Surgery (both-pathway)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(0.60-0.90)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1,045 (784-1,175)</w:t>
            </w:r>
          </w:p>
        </w:tc>
      </w:tr>
    </w:tbl>
    <w:p>
      <w:pPr>
        <w:pStyle w:val="BodyText"/>
      </w:pPr>
      <w:r>
        <w:rPr>
          <w:i/>
          <w:iCs/>
        </w:rPr>
        <w:t xml:space="preserve">Clinical FTE (the share of professional effort devoted to clinical care) differs</w:t>
      </w:r>
      <w:r>
        <w:rPr>
          <w:i/>
          <w:iCs/>
        </w:rPr>
        <w:t xml:space="preserve"> </w:t>
      </w:r>
      <w:r>
        <w:rPr>
          <w:i/>
          <w:iCs/>
        </w:rPr>
        <w:t xml:space="preserve">from employment FTE (hours worked relative to a full-time standard) and from</w:t>
      </w:r>
      <w:r>
        <w:rPr>
          <w:i/>
          <w:iCs/>
        </w:rPr>
        <w:t xml:space="preserve"> </w:t>
      </w:r>
      <w:r>
        <w:rPr>
          <w:i/>
          <w:iCs/>
        </w:rPr>
        <w:t xml:space="preserve">headcount; no national census resolves all three for these subspecialties.</w:t>
      </w:r>
      <w:r>
        <w:rPr>
          <w:i/>
          <w:iCs/>
        </w:rPr>
        <w:t xml:space="preserve"> </w:t>
      </w:r>
      <w:r>
        <w:rPr>
          <w:i/>
          <w:iCs/>
        </w:rPr>
        <w:t xml:space="preserve">Critically, applying the same clinical-effort factor to both the incumbent workforce</w:t>
      </w:r>
      <w:r>
        <w:rPr>
          <w:i/>
          <w:iCs/>
        </w:rPr>
        <w:t xml:space="preserve"> </w:t>
      </w:r>
      <w:r>
        <w:rPr>
          <w:i/>
          <w:iCs/>
        </w:rPr>
        <w:t xml:space="preserve">and incoming graduates rescales absolute capacity but leaves the completion-to-departure ratio</w:t>
      </w:r>
      <w:r>
        <w:rPr>
          <w:i/>
          <w:iCs/>
        </w:rPr>
        <w:t xml:space="preserve"> </w:t>
      </w:r>
      <w:r>
        <w:rPr>
          <w:i/>
          <w:iCs/>
        </w:rPr>
        <w:t xml:space="preserve">unchanged; the ratio would move only if clinical effort differed systematically</w:t>
      </w:r>
      <w:r>
        <w:rPr>
          <w:i/>
          <w:iCs/>
        </w:rPr>
        <w:t xml:space="preserve"> </w:t>
      </w:r>
      <w:r>
        <w:rPr>
          <w:i/>
          <w:iCs/>
        </w:rPr>
        <w:t xml:space="preserve">between existing, departing, and newly graduating physicians (for example, if new</w:t>
      </w:r>
      <w:r>
        <w:rPr>
          <w:i/>
          <w:iCs/>
        </w:rPr>
        <w:t xml:space="preserve"> </w:t>
      </w:r>
      <w:r>
        <w:rPr>
          <w:i/>
          <w:iCs/>
        </w:rPr>
        <w:t xml:space="preserve">graduates entered at lower effort or effort declined with age), which available data</w:t>
      </w:r>
      <w:r>
        <w:rPr>
          <w:i/>
          <w:iCs/>
        </w:rPr>
        <w:t xml:space="preserve"> </w:t>
      </w:r>
      <w:r>
        <w:rPr>
          <w:i/>
          <w:iCs/>
        </w:rPr>
        <w:t xml:space="preserve">do not resolve. These estimates are therefore a sensitivity, not a primary workforce</w:t>
      </w:r>
      <w:r>
        <w:rPr>
          <w:i/>
          <w:iCs/>
        </w:rPr>
        <w:t xml:space="preserve"> </w:t>
      </w:r>
      <w:r>
        <w:rPr>
          <w:i/>
          <w:iCs/>
        </w:rPr>
        <w:t xml:space="preserve">measure.</w:t>
      </w:r>
    </w:p>
    <w:bookmarkStart w:id="28" w:name="X82ec00f0b947fb1fb882d952b70845c18cb56f6"/>
    <w:p>
      <w:pPr>
        <w:pStyle w:val="Heading2"/>
      </w:pPr>
      <w:r>
        <w:t xml:space="preserve">Clinical and operative effort of new graduates</w:t>
      </w:r>
    </w:p>
    <w:p>
      <w:pPr>
        <w:pStyle w:val="FirstParagraph"/>
      </w:pPr>
      <w:r>
        <w:t xml:space="preserve">The completion-to-departure ratio changes if incoming graduates deliver less direct clinical and</w:t>
      </w:r>
      <w:r>
        <w:t xml:space="preserve"> </w:t>
      </w:r>
      <w:r>
        <w:t xml:space="preserve">operative capacity per physician than the URPS and gynecologic oncology surgeons they</w:t>
      </w:r>
      <w:r>
        <w:t xml:space="preserve"> </w:t>
      </w:r>
      <w:r>
        <w:t xml:space="preserve">replace, even when total professional hours are preserved. Several converging trends</w:t>
      </w:r>
      <w:r>
        <w:t xml:space="preserve"> </w:t>
      </w:r>
      <w:r>
        <w:t xml:space="preserve">could produce such a shift: a larger share of professional time in administrative and</w:t>
      </w:r>
      <w:r>
        <w:t xml:space="preserve"> </w:t>
      </w:r>
      <w:r>
        <w:t xml:space="preserve">nonclinical roles, more part-time and reduced-hours practice, career interruptions for</w:t>
      </w:r>
      <w:r>
        <w:t xml:space="preserve"> </w:t>
      </w:r>
      <w:r>
        <w:t xml:space="preserve">childbearing in a predominantly (about 85%) female entering cohort, and lower operative</w:t>
      </w:r>
      <w:r>
        <w:t xml:space="preserve"> </w:t>
      </w:r>
      <w:r>
        <w:t xml:space="preserve">volume. Existing data are consistent with a clinical-and-operative, rather than</w:t>
      </w:r>
      <w:r>
        <w:t xml:space="preserve"> </w:t>
      </w:r>
      <w:r>
        <w:t xml:space="preserve">total-hours, gap: in obstetrics-gynecology direct patient-care hours were similar by sex,</w:t>
      </w:r>
      <w:r>
        <w:t xml:space="preserve"> </w:t>
      </w:r>
      <w:r>
        <w:t xml:space="preserve">but nonclinical hours and annual procedural or delivery volume were lower for women and</w:t>
      </w:r>
      <w:r>
        <w:t xml:space="preserve"> </w:t>
      </w:r>
      <w:r>
        <w:t xml:space="preserve">total professional effort was about 91% of men’s after age adjustment.</w:t>
      </w:r>
      <w:hyperlink w:anchor="ref-benedetti2004productivity">
        <w:r>
          <w:rPr>
            <w:rStyle w:val="Hyperlink"/>
            <w:vertAlign w:val="superscript"/>
          </w:rPr>
          <w:t xml:space="preserve">3</w:t>
        </w:r>
      </w:hyperlink>
      <w:r>
        <w:rPr>
          <w:vertAlign w:val="superscript"/>
        </w:rPr>
        <w:t xml:space="preserve">,</w:t>
      </w:r>
      <w:hyperlink w:anchor="ref-romero2025feminization">
        <w:r>
          <w:rPr>
            <w:rStyle w:val="Hyperlink"/>
            <w:vertAlign w:val="superscript"/>
          </w:rPr>
          <w:t xml:space="preserve">4</w:t>
        </w:r>
      </w:hyperlink>
      <w:r>
        <w:t xml:space="preserve"> </w:t>
      </w:r>
      <w:r>
        <w:t xml:space="preserve">We therefore stress the entrant-to-incumbent clinical and operative effort as an explicit</w:t>
      </w:r>
      <w:r>
        <w:t xml:space="preserve"> </w:t>
      </w:r>
      <w:r>
        <w:t xml:space="preserve">multiplier; the effective completion-to-departure ratio is the headcount ratio times that multiplier:</w:t>
      </w:r>
    </w:p>
    <w:p>
      <w:pPr>
        <w:pStyle w:val="TableCaption"/>
      </w:pPr>
      <w:r>
        <w:rPr>
          <w:b/>
          <w:bCs/>
        </w:rPr>
        <w:t xml:space="preserve">Appendix Table S10.</w:t>
      </w:r>
      <w:r>
        <w:t xml:space="preserve"> </w:t>
      </w:r>
      <w:r>
        <w:t xml:space="preserve">Effective completion-to-departure ratio under an entrant-to-incumbent clinical-and-operative-effort multiplier (0.85 to 0.65).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ppendix Table S10. Effective completion-to-departure ratio under an entrant-to-incumbent clinical-and-operative-effort multiplier (0.85 to 0.65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Headcount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7.19</w:t>
            </w:r>
          </w:p>
        </w:tc>
      </w:tr>
    </w:tbl>
    <w:p>
      <w:pPr>
        <w:pStyle w:val="BodyText"/>
      </w:pPr>
      <w:r>
        <w:rPr>
          <w:i/>
          <w:iCs/>
        </w:rPr>
        <w:t xml:space="preserve">Every cohort remains above replacement even at a 0.65 multiplier, a 35% reduction in the</w:t>
      </w:r>
      <w:r>
        <w:rPr>
          <w:i/>
          <w:iCs/>
        </w:rPr>
        <w:t xml:space="preserve"> </w:t>
      </w:r>
      <w:r>
        <w:rPr>
          <w:i/>
          <w:iCs/>
        </w:rPr>
        <w:t xml:space="preserve">clinical and operative effort of new graduates relative to the surgeons they replace</w:t>
      </w:r>
      <w:r>
        <w:rPr>
          <w:i/>
          <w:iCs/>
        </w:rPr>
        <w:t xml:space="preserve"> </w:t>
      </w:r>
      <w:r>
        <w:rPr>
          <w:i/>
          <w:iCs/>
        </w:rPr>
        <w:t xml:space="preserve">(Gynecologic Oncology 4.6, URPS 3.5, MIGS 7.2). The magnitude of any such generational</w:t>
      </w:r>
      <w:r>
        <w:rPr>
          <w:i/>
          <w:iCs/>
        </w:rPr>
        <w:t xml:space="preserve"> </w:t>
      </w:r>
      <w:r>
        <w:rPr>
          <w:i/>
          <w:iCs/>
        </w:rPr>
        <w:t xml:space="preserve">shift is uncertain, so this is presented as a stress test rather than a central estimate.</w:t>
      </w:r>
      <w:r>
        <w:rPr>
          <w:i/>
          <w:iCs/>
        </w:rPr>
        <w:t xml:space="preserve"> </w:t>
      </w:r>
      <w:r>
        <w:rPr>
          <w:i/>
          <w:iCs/>
        </w:rPr>
        <w:t xml:space="preserve">A related forward risk, not modeled here, is that younger cohorts anticipate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retirement, which would raise future departure rates beyond this horizon.</w:t>
      </w:r>
      <w:hyperlink w:anchor="ref-muzyka2025generational">
        <w:r>
          <w:rPr>
            <w:rStyle w:val="Hyperlink"/>
            <w:i/>
            <w:iCs/>
            <w:vertAlign w:val="superscript"/>
          </w:rPr>
          <w:t xml:space="preserve">5</w:t>
        </w:r>
      </w:hyperlink>
    </w:p>
    <w:bookmarkEnd w:id="28"/>
    <w:bookmarkEnd w:id="29"/>
    <w:bookmarkStart w:id="30" w:name="appendix-s10.-break-even-thresholds"/>
    <w:p>
      <w:pPr>
        <w:pStyle w:val="Heading1"/>
      </w:pPr>
      <w:r>
        <w:t xml:space="preserve">Appendix S10. Break-Even Thresholds</w:t>
      </w:r>
    </w:p>
    <w:p>
      <w:pPr>
        <w:pStyle w:val="FirstParagraph"/>
      </w:pPr>
      <w:r>
        <w:t xml:space="preserve">To characterize how much the conclusion can absorb, we computed, for each cohort, the</w:t>
      </w:r>
      <w:r>
        <w:t xml:space="preserve"> </w:t>
      </w:r>
      <w:r>
        <w:t xml:space="preserve">single-parameter value at which the completion-to-departure ratio would fall to 1.0 (the point at</w:t>
      </w:r>
      <w:r>
        <w:t xml:space="preserve"> </w:t>
      </w:r>
      <w:r>
        <w:t xml:space="preserve">which graduate output stops replacing departures), holding the other inputs at their</w:t>
      </w:r>
      <w:r>
        <w:t xml:space="preserve"> </w:t>
      </w:r>
      <w:r>
        <w:t xml:space="preserve">primary values.</w:t>
      </w:r>
    </w:p>
    <w:p>
      <w:pPr>
        <w:pStyle w:val="TableCaption"/>
      </w:pPr>
      <w:r>
        <w:rPr>
          <w:b/>
          <w:bCs/>
        </w:rPr>
        <w:t xml:space="preserve">Appendix Table S11.</w:t>
      </w:r>
      <w:r>
        <w:t xml:space="preserve"> </w:t>
      </w:r>
      <w:r>
        <w:t xml:space="preserve">Single-parameter values that would reduce each cohort to replacement (ratio = 1.0).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11. Single-parameter values that would reduce each cohort to replacement (ratio = 1.0)."/>
      </w:tblPr>
      <w:tblGrid>
        <w:gridCol w:w="473"/>
        <w:gridCol w:w="2030"/>
        <w:gridCol w:w="1760"/>
        <w:gridCol w:w="1692"/>
        <w:gridCol w:w="19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Completion-to-departure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departure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graduate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effort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7.1% (7.1x empirical)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-86% (to 11/yr)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4.9% (5.4x empirical)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-81% (to 12/yr)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7.8% (11.1x empirical)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-91% (to 4/yr)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</w:tr>
    </w:tbl>
    <w:p>
      <w:pPr>
        <w:pStyle w:val="BodyText"/>
      </w:pPr>
      <w:r>
        <w:rPr>
          <w:i/>
          <w:iCs/>
        </w:rPr>
        <w:t xml:space="preserve">No single parameter reaches replacement at a plausible value: the departure rate would have to rise to 4.9% to 7.8% per year (5.4 to 11.1 times the empirical rate, versus the 1.5% to 1.7% national all-surgeon benchmark), graduate output would have to fall 81% to 91%, or new graduates would have to work at 9% to 19% of incumbent clinical effort. Only a compound worst-case, the departure rate tripled and graduate output reduced 30% and the entrant effort multiplier at 0.65 simultaneously, pushes Gynecologic Oncology (1.08) and URPS (0.82) below replacement; the exploratory MIGS cohort remains above (1.68). URPS, with the lowest ratio, is the most sensitive of the two board-certified subspecialties.</w:t>
      </w:r>
    </w:p>
    <w:bookmarkEnd w:id="30"/>
    <w:bookmarkStart w:id="36" w:name="X868843c906684e476fe03f717e7c67b8c45505e"/>
    <w:p>
      <w:pPr>
        <w:pStyle w:val="Heading1"/>
      </w:pPr>
      <w:r>
        <w:t xml:space="preserve">Appendix S11. Operative-Workforce Analysis (Exploratory)</w:t>
      </w:r>
    </w:p>
    <w:bookmarkStart w:id="31" w:name="s11.1-rationale-and-definitions"/>
    <w:p>
      <w:pPr>
        <w:pStyle w:val="Heading2"/>
      </w:pPr>
      <w:r>
        <w:t xml:space="preserve">S11.1 Rationale and definitions</w:t>
      </w:r>
    </w:p>
    <w:p>
      <w:pPr>
        <w:pStyle w:val="FirstParagraph"/>
      </w:pPr>
      <w:r>
        <w:t xml:space="preserve">Because a surgeon can leave operative practice while remaining clinically active,</w:t>
      </w:r>
      <w:r>
        <w:t xml:space="preserve"> </w:t>
      </w:r>
      <w:r>
        <w:t xml:space="preserve">headcount replacement (the primary outcome) need not equal replacement of operative</w:t>
      </w:r>
      <w:r>
        <w:t xml:space="preserve"> </w:t>
      </w:r>
      <w:r>
        <w:t xml:space="preserve">capacity. Retirement from operative practice is a recognized workforce transition,</w:t>
      </w:r>
      <w:r>
        <w:t xml:space="preserve"> </w:t>
      </w:r>
      <w:r>
        <w:t xml:space="preserve">distinct from and typically earlier than complete clinical retirement: in a population</w:t>
      </w:r>
      <w:r>
        <w:t xml:space="preserve"> </w:t>
      </w:r>
      <w:r>
        <w:t xml:space="preserve">survey of general surgeons the median age of stopping operating (65 years, interquartile</w:t>
      </w:r>
      <w:r>
        <w:t xml:space="preserve"> </w:t>
      </w:r>
      <w:r>
        <w:t xml:space="preserve">range 60-67.5) preceded stopping all clinical work (70 years) by roughly five years.</w:t>
      </w:r>
      <w:hyperlink w:anchor="ref-poushay2018">
        <w:r>
          <w:rPr>
            <w:rStyle w:val="Hyperlink"/>
            <w:vertAlign w:val="superscript"/>
          </w:rPr>
          <w:t xml:space="preserve">6</w:t>
        </w:r>
      </w:hyperlink>
      <w:r>
        <w:rPr>
          <w:vertAlign w:val="superscript"/>
        </w:rPr>
        <w:t xml:space="preserve">–</w:t>
      </w:r>
      <w:hyperlink w:anchor="ref-acog2018latecareer">
        <w:r>
          <w:rPr>
            <w:rStyle w:val="Hyperlink"/>
            <w:vertAlign w:val="superscript"/>
          </w:rPr>
          <w:t xml:space="preserve">9</w:t>
        </w:r>
      </w:hyperlink>
      <w:r>
        <w:t xml:space="preserve"> </w:t>
      </w:r>
      <w:r>
        <w:t xml:space="preserve">Prior evidence is almost entirely survey-based, whereas national administrative attrition</w:t>
      </w:r>
      <w:r>
        <w:t xml:space="preserve"> </w:t>
      </w:r>
      <w:r>
        <w:t xml:space="preserve">studies define workforce exit through cessation of evaluation-and-management claims or</w:t>
      </w:r>
      <w:r>
        <w:t xml:space="preserve"> </w:t>
      </w:r>
      <w:r>
        <w:t xml:space="preserve">clinical payments rather than of operations.</w:t>
      </w:r>
      <w:hyperlink w:anchor="ref-elemosho2026">
        <w:r>
          <w:rPr>
            <w:rStyle w:val="Hyperlink"/>
            <w:vertAlign w:val="superscript"/>
          </w:rPr>
          <w:t xml:space="preserve">10</w:t>
        </w:r>
      </w:hyperlink>
      <w:r>
        <w:rPr>
          <w:vertAlign w:val="superscript"/>
        </w:rPr>
        <w:t xml:space="preserve">,</w:t>
      </w:r>
      <w:hyperlink w:anchor="ref-hedden2017">
        <w:r>
          <w:rPr>
            <w:rStyle w:val="Hyperlink"/>
            <w:vertAlign w:val="superscript"/>
          </w:rPr>
          <w:t xml:space="preserve">11</w:t>
        </w:r>
      </w:hyperlink>
      <w:r>
        <w:t xml:space="preserve"> </w:t>
      </w:r>
      <w:r>
        <w:t xml:space="preserve">We therefore</w:t>
      </w:r>
      <w:r>
        <w:t xml:space="preserve"> </w:t>
      </w:r>
      <w:r>
        <w:t xml:space="preserve">conducted an exploratory analysis operationalizing operative-workforce exit longitudinally</w:t>
      </w:r>
      <w:r>
        <w:t xml:space="preserve"> </w:t>
      </w:r>
      <w:r>
        <w:t xml:space="preserve">from Medicare Part B by-service claims (procedure-level HCPCS codes per physician per year),</w:t>
      </w:r>
      <w:r>
        <w:t xml:space="preserve"> </w:t>
      </w:r>
      <w:r>
        <w:t xml:space="preserve">restricted to Gynecologic Oncology and URPS; MIGS was excluded because only about 13% of</w:t>
      </w:r>
      <w:r>
        <w:t xml:space="preserve"> </w:t>
      </w:r>
      <w:r>
        <w:t xml:space="preserve">that cohort was visible as Medicare operators.</w:t>
      </w:r>
      <w:r>
        <w:t xml:space="preserve"> </w:t>
      </w:r>
      <w:r>
        <w:rPr>
          <w:b/>
          <w:bCs/>
        </w:rPr>
        <w:t xml:space="preserve">The URPS operative analysis uses the</w:t>
      </w:r>
      <w:r>
        <w:rPr>
          <w:b/>
          <w:bCs/>
        </w:rPr>
        <w:t xml:space="preserve"> </w:t>
      </w:r>
      <w:r>
        <w:rPr>
          <w:b/>
          <w:bCs/>
        </w:rPr>
        <w:t xml:space="preserve">ABOG-pathway URPS cohort only</w:t>
      </w:r>
      <w:r>
        <w:t xml:space="preserve"> </w:t>
      </w:r>
      <w:r>
        <w:t xml:space="preserve">(active n = 1,027), because the ABU (urology-pathway)</w:t>
      </w:r>
      <w:r>
        <w:t xml:space="preserve"> </w:t>
      </w:r>
      <w:r>
        <w:t xml:space="preserve">physicians are not claims-linkable in this cohort; both the operator denominator and the</w:t>
      </w:r>
      <w:r>
        <w:t xml:space="preserve"> </w:t>
      </w:r>
      <w:r>
        <w:t xml:space="preserve">graduate-entry numerator are therefore ABOG-pathway. All URPS operative figures below should</w:t>
      </w:r>
      <w:r>
        <w:t xml:space="preserve"> </w:t>
      </w:r>
      <w:r>
        <w:t xml:space="preserve">be read as ABOG-pathway URPS, not the both-pathway workforce (1,306) used in the primary</w:t>
      </w:r>
      <w:r>
        <w:t xml:space="preserve"> </w:t>
      </w:r>
      <w:r>
        <w:t xml:space="preserve">headcount analysis. As a share of the both-pathway workforce the visible-operator percentage</w:t>
      </w:r>
      <w:r>
        <w:t xml:space="preserve"> </w:t>
      </w:r>
      <w:r>
        <w:t xml:space="preserve">would be correspondingly lower (e.g., 613/1,306 =</w:t>
      </w:r>
      <w:r>
        <w:t xml:space="preserve"> </w:t>
      </w:r>
      <w:r>
        <w:t xml:space="preserve">47% rather than</w:t>
      </w:r>
      <w:r>
        <w:t xml:space="preserve"> </w:t>
      </w:r>
      <w:r>
        <w:t xml:space="preserve">613/1,027 = 60%).</w:t>
      </w:r>
    </w:p>
    <w:p>
      <w:pPr>
        <w:pStyle w:val="BodyText"/>
      </w:pPr>
      <w:r>
        <w:t xml:space="preserve">The qualifying major-operation HCPCS list is the subspecialty operative code set from the</w:t>
      </w:r>
      <w:r>
        <w:t xml:space="preserve"> </w:t>
      </w:r>
      <w:r>
        <w:t xml:space="preserve">project procedure reference (58210-58958, 38570-49255, 56630-58240 and 57xxx pelvic-floor</w:t>
      </w:r>
      <w:r>
        <w:t xml:space="preserve"> </w:t>
      </w:r>
      <w:r>
        <w:t xml:space="preserve">reconstruction, 64xxx neuromodulation, and 58541-58573 laparoscopic hysterectomy families).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established operator</w:t>
      </w:r>
      <w:r>
        <w:t xml:space="preserve"> </w:t>
      </w:r>
      <w:r>
        <w:t xml:space="preserve">performed at least three qualifying operations per year in at</w:t>
      </w:r>
      <w:r>
        <w:t xml:space="preserve"> </w:t>
      </w:r>
      <w:r>
        <w:t xml:space="preserve">least two of the three preceding years, preventing an isolated procedure from counting as</w:t>
      </w:r>
      <w:r>
        <w:t xml:space="preserve"> </w:t>
      </w:r>
      <w:r>
        <w:t xml:space="preserve">mature operating. The measured event was</w:t>
      </w:r>
      <w:r>
        <w:t xml:space="preserve"> </w:t>
      </w:r>
      <w:r>
        <w:rPr>
          <w:b/>
          <w:bCs/>
        </w:rPr>
        <w:t xml:space="preserve">sustained cessation of Medicare-observed</w:t>
      </w:r>
      <w:r>
        <w:rPr>
          <w:b/>
          <w:bCs/>
        </w:rPr>
        <w:t xml:space="preserve"> </w:t>
      </w:r>
      <w:r>
        <w:rPr>
          <w:b/>
          <w:bCs/>
        </w:rPr>
        <w:t xml:space="preserve">qualifying surgery</w:t>
      </w:r>
      <w:r>
        <w:t xml:space="preserve">: an established operator whose final qualifying operation was followed</w:t>
      </w:r>
      <w:r>
        <w:t xml:space="preserve"> </w:t>
      </w:r>
      <w:r>
        <w:t xml:space="preserve">by three consecutive zero-operation years with no later resumption. With Medicare data</w:t>
      </w:r>
      <w:r>
        <w:t xml:space="preserve"> </w:t>
      </w:r>
      <w:r>
        <w:t xml:space="preserve">ending 2023, the event is datable only through 2020, so events were counted over the fully</w:t>
      </w:r>
      <w:r>
        <w:t xml:space="preserve"> </w:t>
      </w:r>
      <w:r>
        <w:t xml:space="preserve">observable window 2016-2020. We deliberately use</w:t>
      </w:r>
      <w:r>
        <w:t xml:space="preserve"> </w:t>
      </w:r>
      <w:r>
        <w:t xml:space="preserve">“sustained cessation of Medicare-observed</w:t>
      </w:r>
      <w:r>
        <w:t xml:space="preserve"> </w:t>
      </w:r>
      <w:r>
        <w:t xml:space="preserve">qualifying surgery”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“operative retirement”</w:t>
      </w:r>
      <w:r>
        <w:t xml:space="preserve"> </w:t>
      </w:r>
      <w:r>
        <w:t xml:space="preserve">for the administrative event,</w:t>
      </w:r>
      <w:r>
        <w:t xml:space="preserve"> </w:t>
      </w:r>
      <w:r>
        <w:t xml:space="preserve">because (as S11.4 shows) the two are not equivalent.</w:t>
      </w:r>
    </w:p>
    <w:bookmarkEnd w:id="31"/>
    <w:bookmarkStart w:id="32" w:name="X092b3076b1d0bdf99d9420a596b6e20710c8597"/>
    <w:p>
      <w:pPr>
        <w:pStyle w:val="Heading2"/>
      </w:pPr>
      <w:r>
        <w:t xml:space="preserve">S11.2 Corrected denominator, cessation, and volume</w:t>
      </w:r>
    </w:p>
    <w:p>
      <w:pPr>
        <w:pStyle w:val="FirstParagraph"/>
      </w:pPr>
      <w:r>
        <w:t xml:space="preserve">Operator prevalence is expressed as a share of the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board-certified cohort</w:t>
      </w:r>
      <w:r>
        <w:t xml:space="preserve"> </w:t>
      </w:r>
      <w:r>
        <w:t xml:space="preserve">(is_retired_for_cohorting = FALSE), not the total cohort including retirees; the earlier</w:t>
      </w:r>
      <w:r>
        <w:t xml:space="preserve"> </w:t>
      </w:r>
      <w:r>
        <w:t xml:space="preserve">denominator wrongly included retired physicians and understated the share.</w:t>
      </w:r>
    </w:p>
    <w:p>
      <w:pPr>
        <w:pStyle w:val="TableCaption"/>
      </w:pPr>
      <w:r>
        <w:rPr>
          <w:b/>
          <w:bCs/>
        </w:rPr>
        <w:t xml:space="preserve">Appendix Table S12.</w:t>
      </w:r>
      <w:r>
        <w:t xml:space="preserve"> </w:t>
      </w:r>
      <w:r>
        <w:t xml:space="preserve">Established Medicare operators and sustained cessation of Medicare-observed qualifying surgery, active board-certified cohort (2016-2020, Medicare-provisional).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12. Established Medicare operators and sustained cessation of Medicare-observed qualifying surgery, active board-certified cohort (2016-2020, Medicare-provisional)."/>
      </w:tblPr>
      <w:tblGrid>
        <w:gridCol w:w="357"/>
        <w:gridCol w:w="919"/>
        <w:gridCol w:w="2452"/>
        <w:gridCol w:w="1635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 cohort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Medicare operators (n, % of 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Sustained-cessation rate (%/yr)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Still billing clinically after last operation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602 (57%)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613 (60%)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</w:tbl>
    <w:bookmarkEnd w:id="32"/>
    <w:bookmarkStart w:id="33" w:name="X7d19293d57adf16a92d91995eca8caf85bcd864"/>
    <w:p>
      <w:pPr>
        <w:pStyle w:val="Heading2"/>
      </w:pPr>
      <w:r>
        <w:t xml:space="preserve">S11.3 Time-to-event operative entry and the follow-up-time artifact</w:t>
      </w:r>
    </w:p>
    <w:p>
      <w:pPr>
        <w:pStyle w:val="FirstParagraph"/>
      </w:pPr>
      <w:r>
        <w:t xml:space="preserve">A fixed graduate ramp-up window makes the operator-entry numerator depend mechanically on</w:t>
      </w:r>
      <w:r>
        <w:t xml:space="preserve"> </w:t>
      </w:r>
      <w:r>
        <w:t xml:space="preserve">follow-up length: new surgeons accrue a Medicare surgical panel only gradually, so a short</w:t>
      </w:r>
      <w:r>
        <w:t xml:space="preserve"> </w:t>
      </w:r>
      <w:r>
        <w:t xml:space="preserve">window counts few of them. Estimating the cumulative incidence of becoming an established</w:t>
      </w:r>
      <w:r>
        <w:t xml:space="preserve"> </w:t>
      </w:r>
      <w:r>
        <w:t xml:space="preserve">Medicare operator with identical follow-up per certification cohort shows this directly,</w:t>
      </w:r>
      <w:r>
        <w:t xml:space="preserve"> </w:t>
      </w:r>
      <w:r>
        <w:t xml:space="preserve">the conversion probability roughly triples between 3 and 8 years. The earlier fixed-ramp</w:t>
      </w:r>
      <w:r>
        <w:t xml:space="preserve"> </w:t>
      </w:r>
      <w:r>
        <w:t xml:space="preserve">“matched ratio”</w:t>
      </w:r>
      <w:r>
        <w:t xml:space="preserve"> </w:t>
      </w:r>
      <w:r>
        <w:t xml:space="preserve">(as low as 0.34 at a 3-year window) was therefore a follow-up-time</w:t>
      </w:r>
      <w:r>
        <w:t xml:space="preserve"> </w:t>
      </w:r>
      <w:r>
        <w:t xml:space="preserve">artifact, not evidence of a capacity deficit.</w:t>
      </w:r>
    </w:p>
    <w:p>
      <w:pPr>
        <w:pStyle w:val="TableCaption"/>
      </w:pPr>
      <w:r>
        <w:rPr>
          <w:b/>
          <w:bCs/>
        </w:rPr>
        <w:t xml:space="preserve">Appendix Table S13.</w:t>
      </w:r>
      <w:r>
        <w:t xml:space="preserve"> </w:t>
      </w:r>
      <w:r>
        <w:t xml:space="preserve">Cumulative incidence of becoming an established Medicare operator by years since certification (time-to-event, identical follow-up per cohort). The steep rise from 3 to 8 years is the follow-up-time artifact underlying the earlier fixed-ramp estimate.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13. Cumulative incidence of becoming an established Medicare operator by years since certification (time-to-event, identical follow-up per cohort). The steep rise from 3 to 8 years is the follow-up-time artifact underlying the earlier fixed-ramp estimate."/>
      </w:tblPr>
      <w:tblGrid>
        <w:gridCol w:w="571"/>
        <w:gridCol w:w="2939"/>
        <w:gridCol w:w="2612"/>
        <w:gridCol w:w="898"/>
        <w:gridCol w:w="8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Certification cohort (2013-2020,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operator by 3 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5 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8 y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</w:tbl>
    <w:p/>
    <w:p>
      <w:pPr>
        <w:pStyle w:val="TableCaption"/>
      </w:pPr>
      <w:r>
        <w:rPr>
          <w:b/>
          <w:bCs/>
        </w:rPr>
        <w:t xml:space="preserve">Appendix Table S14.</w:t>
      </w:r>
      <w:r>
        <w:t xml:space="preserve"> </w:t>
      </w:r>
      <w:r>
        <w:t xml:space="preserve">Operator-count and procedure-volume-weighted operative-workforce replacement. Volume unit = annual qualifying operative services. The volume ratio compares rising entrants (post-certification years 3-5) against tapering retirees (final two operative years), which biases it upward; both estimates are above one but are NOT interpreted given the endpoint’s poor validity (S11.4).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14. Operator-count and procedure-volume-weighted operative-workforce replacement. Volume unit = annual qualifying operative services. The volume ratio compares rising entrants (post-certification years 3-5) against tapering retirees (final two operative years), which biases it upward; both estimates are above one but are NOT interpreted given the endpoint’s poor validity (S11.4)."/>
      </w:tblPr>
      <w:tblGrid>
        <w:gridCol w:w="318"/>
        <w:gridCol w:w="2139"/>
        <w:gridCol w:w="955"/>
        <w:gridCol w:w="1228"/>
        <w:gridCol w:w="1866"/>
        <w:gridCol w:w="14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Operators produced/yr (grads x 8-y conversion)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Operators ceasing/yr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Operator-count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Entrant vs retiring per-capita op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Volume-weighted capacity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 vs 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 vs 36.2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</w:tr>
    </w:tbl>
    <w:bookmarkEnd w:id="33"/>
    <w:bookmarkStart w:id="34" w:name="X466643895edb83c749a71828d533d96154f6023"/>
    <w:p>
      <w:pPr>
        <w:pStyle w:val="Heading2"/>
      </w:pPr>
      <w:r>
        <w:t xml:space="preserve">S11.4 Concordance with complete departure: the validity finding</w:t>
      </w:r>
    </w:p>
    <w:p>
      <w:pPr>
        <w:pStyle w:val="FirstParagraph"/>
      </w:pPr>
      <w:r>
        <w:t xml:space="preserve">Each apparent operative cessation was compared for concordance with independent signals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complete clinical-practice departure</w:t>
      </w:r>
      <w:r>
        <w:t xml:space="preserve">: whether total Medicare billing (across all</w:t>
      </w:r>
      <w:r>
        <w:t xml:space="preserve"> </w:t>
      </w:r>
      <w:r>
        <w:t xml:space="preserve">HCPCS, not only operations) also stopped, and whether the NPI was deactivated in NPPES. A</w:t>
      </w:r>
      <w:r>
        <w:t xml:space="preserve"> </w:t>
      </w:r>
      <w:r>
        <w:t xml:space="preserve">cessation is concordant with complete departure only if at least one fired. These signals</w:t>
      </w:r>
      <w:r>
        <w:t xml:space="preserve"> </w:t>
      </w:r>
      <w:r>
        <w:t xml:space="preserve">detect departure from clinical medicine, not cessation of operating specifically, so they</w:t>
      </w:r>
      <w:r>
        <w:t xml:space="preserve"> </w:t>
      </w:r>
      <w:r>
        <w:t xml:space="preserve">cannot confirm true operative cessation, by the analysis’s own premise a physician can stop</w:t>
      </w:r>
      <w:r>
        <w:t xml:space="preserve"> </w:t>
      </w:r>
      <w:r>
        <w:t xml:space="preserve">operating while continuing clinic billing with an active NPI. The concordance is therefore</w:t>
      </w:r>
      <w:r>
        <w:t xml:space="preserve"> </w:t>
      </w:r>
      <w:r>
        <w:t xml:space="preserve">interpreted only as evidence that most operative-cessation events are not complete</w:t>
      </w:r>
      <w:r>
        <w:t xml:space="preserve"> </w:t>
      </w:r>
      <w:r>
        <w:t xml:space="preserve">departures, not as a positive predictive value for operative cessation.</w:t>
      </w:r>
    </w:p>
    <w:p>
      <w:pPr>
        <w:pStyle w:val="TableCaption"/>
      </w:pPr>
      <w:r>
        <w:rPr>
          <w:b/>
          <w:bCs/>
        </w:rPr>
        <w:t xml:space="preserve">Appendix Table S15.</w:t>
      </w:r>
      <w:r>
        <w:t xml:space="preserve"> </w:t>
      </w:r>
      <w:r>
        <w:t xml:space="preserve">Concordance of apparent operative cessations with independent signals of complete clinical-practice departure. Only a small minority coincide with a complete-departure signal, and most physicians continued billing clinically; because a true operative retiree may keep billing, this does not establish whether events were true operative cessation or loss of Medicare visibility.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15. Concordance of apparent operative cessations with independent signals of complete clinical-practice departure. Only a small minority coincide with a complete-departure signal, and most physicians continued billing clinically; because a true operative retiree may keep billing, this does not establish whether events were true operative cessation or loss of Medicare visibility."/>
      </w:tblPr>
      <w:tblGrid>
        <w:gridCol w:w="331"/>
        <w:gridCol w:w="1138"/>
        <w:gridCol w:w="1327"/>
        <w:gridCol w:w="1233"/>
        <w:gridCol w:w="1043"/>
        <w:gridCol w:w="995"/>
        <w:gridCol w:w="18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Apparent cessations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billing continued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billing stopped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NPPES deactivated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 &lt;50 at event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Concordant with complete departure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</w:tbl>
    <w:p>
      <w:pPr>
        <w:pStyle w:val="BodyText"/>
      </w:pPr>
      <w:r>
        <w:t xml:space="preserve">Only 7% (Gynecologic Oncology) and 18%</w:t>
      </w:r>
      <w:r>
        <w:t xml:space="preserve"> </w:t>
      </w:r>
      <w:r>
        <w:t xml:space="preserve">(URPS) of apparent operative cessations coincided with a complete-departure signal;</w:t>
      </w:r>
      <w:r>
        <w:t xml:space="preserve"> </w:t>
      </w:r>
      <w:r>
        <w:t xml:space="preserve">97% and 88% continued billing</w:t>
      </w:r>
      <w:r>
        <w:t xml:space="preserve"> </w:t>
      </w:r>
      <w:r>
        <w:t xml:space="preserve">clinically. Because Medicare fee-for-service cannot distinguish true cessation of surgery</w:t>
      </w:r>
      <w:r>
        <w:t xml:space="preserve"> </w:t>
      </w:r>
      <w:r>
        <w:t xml:space="preserve">from loss of claims visibility, the corrected above-one replacement estimates in S11.3 are</w:t>
      </w:r>
      <w:r>
        <w:t xml:space="preserve"> </w:t>
      </w:r>
      <w:r>
        <w:t xml:space="preserve">reported but not interpreted. Reliable measurement of</w:t>
      </w:r>
      <w:r>
        <w:t xml:space="preserve"> </w:t>
      </w:r>
      <w:r>
        <w:t xml:space="preserve">operative-capacity replacement requires all-payer claims or institutional operative-log</w:t>
      </w:r>
      <w:r>
        <w:t xml:space="preserve"> </w:t>
      </w:r>
      <w:r>
        <w:t xml:space="preserve">data capturing the commercial and facility-billed surgery Medicare omits. A stratified</w:t>
      </w:r>
      <w:r>
        <w:t xml:space="preserve"> </w:t>
      </w:r>
      <w:r>
        <w:t xml:space="preserve">sample of apparent operative cessations selected for adjudication (all events younger than 50,</w:t>
      </w:r>
      <w:r>
        <w:t xml:space="preserve"> </w:t>
      </w:r>
      <w:r>
        <w:t xml:space="preserve">all with continued billing, and corroborated exits) is provided in the reproducibility archive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data/operative_cessation_adjudication_sample.csv</w:t>
      </w:r>
      <w:r>
        <w:t xml:space="preserve">).</w:t>
      </w:r>
    </w:p>
    <w:bookmarkEnd w:id="34"/>
    <w:bookmarkStart w:id="35" w:name="Xd952e1d7d61ea9539660d7a0b99bf7038970406"/>
    <w:p>
      <w:pPr>
        <w:pStyle w:val="Heading2"/>
      </w:pPr>
      <w:r>
        <w:t xml:space="preserve">S11.5 URPS pathway (ABU) hazard sensitivity</w:t>
      </w:r>
    </w:p>
    <w:p>
      <w:pPr>
        <w:pStyle w:val="FirstParagraph"/>
      </w:pPr>
      <w:r>
        <w:t xml:space="preserve">The both-pathway URPS baseline assigns ABU-certified urogynecologists the ABOG-URPS</w:t>
      </w:r>
      <w:r>
        <w:t xml:space="preserve"> </w:t>
      </w:r>
      <w:r>
        <w:t xml:space="preserve">departure hazard because ABU-pathway hazards are not independently estimable in this</w:t>
      </w:r>
      <w:r>
        <w:t xml:space="preserve"> </w:t>
      </w:r>
      <w:r>
        <w:t xml:space="preserve">cohort. The table brackets that assumption by modeling the ABU component separately and</w:t>
      </w:r>
      <w:r>
        <w:t xml:space="preserve"> </w:t>
      </w:r>
      <w:r>
        <w:t xml:space="preserve">scaling its hazard from half to twice the ABOG rate (approximate deterministic projection;</w:t>
      </w:r>
      <w:r>
        <w:t xml:space="preserve"> </w:t>
      </w:r>
      <w:r>
        <w:t xml:space="preserve">the authoritative both-pathway ratio is the Monte Carlo value in the main table).</w:t>
      </w:r>
    </w:p>
    <w:p>
      <w:pPr>
        <w:pStyle w:val="TableCaption"/>
      </w:pPr>
      <w:r>
        <w:rPr>
          <w:b/>
          <w:bCs/>
        </w:rPr>
        <w:t xml:space="preserve">Appendix Table S16.</w:t>
      </w:r>
      <w:r>
        <w:t xml:space="preserve"> </w:t>
      </w:r>
      <w:r>
        <w:t xml:space="preserve">URPS completion-to-departure ratio under separate ABU-pathway modeling and ABU-hazard scaling. URPS remains well above replacement across all scenarios. The both-pathway (ABU = ABOG hazard) value here (4.94) is computed with a deterministic baseline-rate approximation and is therefore not expected to match the primary both-pathway ratio (5.4), which comes from the age-structured dynamic model with year-by-year aging into higher-hazard bands; the two differ only by the deterministic-versus-dynamic method, not by inputs.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16. URPS completion-to-departure ratio under separate ABU-pathway modeling and ABU-hazard scaling. URPS remains well above replacement across all scenarios. The both-pathway (ABU = ABOG hazard) value here (4.94) is computed with a deterministic baseline-rate approximation and is therefore not expected to match the primary both-pathway ratio (5.4), which comes from the age-structured dynamic model with year-by-year aging into higher-hazard bands; the two differ only by the deterministic-versus-dynamic method, not by inputs."/>
      </w:tblPr>
      <w:tblGrid>
        <w:gridCol w:w="2252"/>
        <w:gridCol w:w="944"/>
        <w:gridCol w:w="944"/>
        <w:gridCol w:w="1598"/>
        <w:gridCol w:w="21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 grads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annual departures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Completion-to-departure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ABOG-only 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Both-pathway (ABU=ABOG hazard)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Both-pathway, ABU hazard x0.5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Both-pathway, ABU hazard x2.0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4.33</w:t>
            </w:r>
          </w:p>
        </w:tc>
      </w:tr>
    </w:tbl>
    <w:bookmarkEnd w:id="35"/>
    <w:bookmarkEnd w:id="36"/>
    <w:bookmarkStart w:id="37" w:name="X30d9271bbdc3897134508af98395e42ef9e614e"/>
    <w:p>
      <w:pPr>
        <w:pStyle w:val="Heading1"/>
      </w:pPr>
      <w:r>
        <w:t xml:space="preserve">Appendix S12. Multidimensional Sensitivity Grid</w:t>
      </w:r>
    </w:p>
    <w:p>
      <w:pPr>
        <w:pStyle w:val="FirstParagraph"/>
      </w:pPr>
      <w:r>
        <w:t xml:space="preserve">The main-text sensitivity analyses are one-way (single-lever) deviations from the primary</w:t>
      </w:r>
      <w:r>
        <w:t xml:space="preserve"> </w:t>
      </w:r>
      <w:r>
        <w:t xml:space="preserve">projection, and all leave both board-certified cohorts above replacement. To report the</w:t>
      </w:r>
      <w:r>
        <w:t xml:space="preserve"> </w:t>
      </w:r>
      <w:r>
        <w:t xml:space="preserve">fully-crossed grid honestly, we crossed the observation window (fully-observable 2016-2021,</w:t>
      </w:r>
      <w:r>
        <w:t xml:space="preserve"> </w:t>
      </w:r>
      <w:r>
        <w:t xml:space="preserve">drop-2 2016-2019, and the provisional full 2016-2023, which may be upward biased), a departure-rate multiplier</w:t>
      </w:r>
      <w:r>
        <w:t xml:space="preserve"> </w:t>
      </w:r>
      <w:r>
        <w:t xml:space="preserve">(1x/2x/3x), and graduate practice-conversion (1.00/0.85/0.70), giving 27 cells per cohort;</w:t>
      </w:r>
      <w:r>
        <w:t xml:space="preserve"> </w:t>
      </w:r>
      <w:r>
        <w:t xml:space="preserve">each cell’s ratio is the window ratio scaled by conversion divided by the rate multiplier.</w:t>
      </w:r>
    </w:p>
    <w:p>
      <w:pPr>
        <w:pStyle w:val="TableCaption"/>
      </w:pPr>
      <w:r>
        <w:rPr>
          <w:b/>
          <w:bCs/>
        </w:rPr>
        <w:t xml:space="preserve">Appendix Table S17.</w:t>
      </w:r>
      <w:r>
        <w:t xml:space="preserve"> </w:t>
      </w:r>
      <w:r>
        <w:t xml:space="preserve">Multidimensional sensitivity grid (27 cells per cohort). Every one-way sensitivity stays above replacement; the only at-replacement (Gynecologic Oncology) and below-replacement (URPS) cells occur only where the provisional full window, a tripled departure rate, and 70% graduate conversion coincide.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17. Multidimensional sensitivity grid (27 cells per cohort). Every one-way sensitivity stays above replacement; the only at-replacement (Gynecologic Oncology) and below-replacement (URPS) cells occur only where the provisional full window, a tripled departure rate, and 70% graduate conversion coincide."/>
      </w:tblPr>
      <w:tblGrid>
        <w:gridCol w:w="465"/>
        <w:gridCol w:w="399"/>
        <w:gridCol w:w="1730"/>
        <w:gridCol w:w="1796"/>
        <w:gridCol w:w="1730"/>
        <w:gridCol w:w="732"/>
        <w:gridCol w:w="10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Above replacement (&gt;1.05)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 replacement (0.95-1.05)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Below replacement (&lt;0.95)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</w:t>
            </w:r>
          </w:p>
        </w:tc>
      </w:tr>
    </w:tbl>
    <w:p>
      <w:pPr>
        <w:pStyle w:val="BodyText"/>
      </w:pPr>
      <w:r>
        <w:rPr>
          <w:i/>
          <w:iCs/>
        </w:rPr>
        <w:t xml:space="preserve">All one-way minima exceed 1.05. At the joint extreme (full window, 3x rate, 0.70 conversion)</w:t>
      </w:r>
      <w:r>
        <w:rPr>
          <w:i/>
          <w:iCs/>
        </w:rPr>
        <w:t xml:space="preserve"> </w:t>
      </w:r>
      <w:r>
        <w:rPr>
          <w:i/>
          <w:iCs/>
        </w:rPr>
        <w:t xml:space="preserve">Gynecologic Oncology was at replacement (1.03) and URPS was below replacement (0.88), a compound</w:t>
      </w:r>
      <w:r>
        <w:rPr>
          <w:i/>
          <w:iCs/>
        </w:rPr>
        <w:t xml:space="preserve"> </w:t>
      </w:r>
      <w:r>
        <w:rPr>
          <w:i/>
          <w:iCs/>
        </w:rPr>
        <w:t xml:space="preserve">worst case rather than a plausible single deviation; the exploratory MIGS cohort stays above</w:t>
      </w:r>
      <w:r>
        <w:rPr>
          <w:i/>
          <w:iCs/>
        </w:rPr>
        <w:t xml:space="preserve"> </w:t>
      </w:r>
      <w:r>
        <w:rPr>
          <w:i/>
          <w:iCs/>
        </w:rPr>
        <w:t xml:space="preserve">replacement in every cell.</w:t>
      </w:r>
    </w:p>
    <w:bookmarkEnd w:id="37"/>
    <w:bookmarkStart w:id="38" w:name="X36c33b046b7641c11de9882ba9cb199755a5dae"/>
    <w:p>
      <w:pPr>
        <w:pStyle w:val="Heading1"/>
      </w:pPr>
      <w:r>
        <w:t xml:space="preserve">Appendix S13. MIGS Exploratory Focused-Practice Cohort</w:t>
      </w:r>
    </w:p>
    <w:p>
      <w:pPr>
        <w:pStyle w:val="FirstParagraph"/>
      </w:pPr>
      <w:r>
        <w:t xml:space="preserve">Minimally invasive gynecologic surgery (MIGS) is analyzed separately from the two</w:t>
      </w:r>
      <w:r>
        <w:t xml:space="preserve"> </w:t>
      </w:r>
      <w:r>
        <w:t xml:space="preserve">board-certified subspecialties because it differs fundamentally: it is a voluntary</w:t>
      </w:r>
      <w:r>
        <w:t xml:space="preserve"> </w:t>
      </w:r>
      <w:r>
        <w:t xml:space="preserve">ABOG focused-practice</w:t>
      </w:r>
      <w:r>
        <w:t xml:space="preserve"> </w:t>
      </w:r>
      <w:r>
        <w:rPr>
          <w:i/>
          <w:iCs/>
        </w:rPr>
        <w:t xml:space="preserve">designation</w:t>
      </w:r>
      <w:r>
        <w:t xml:space="preserve"> </w:t>
      </w:r>
      <w:r>
        <w:t xml:space="preserve">rather than a board certification, its stock is</w:t>
      </w:r>
      <w:r>
        <w:t xml:space="preserve"> </w:t>
      </w:r>
      <w:r>
        <w:t xml:space="preserve">designation-based, its inflow is NRMP/AAGL match fills rather than ACGME completers,</w:t>
      </w:r>
      <w:r>
        <w:t xml:space="preserve"> </w:t>
      </w:r>
      <w:r>
        <w:t xml:space="preserve">training non-completion is unobserved, and it is not governed by the same stock-flow</w:t>
      </w:r>
      <w:r>
        <w:t xml:space="preserve"> </w:t>
      </w:r>
      <w:r>
        <w:t xml:space="preserve">definitions. It is therefore excluded from the main analysis and reported here only</w:t>
      </w:r>
      <w:r>
        <w:t xml:space="preserve"> </w:t>
      </w:r>
      <w:r>
        <w:t xml:space="preserve">as an exploratory cohort.</w:t>
      </w:r>
    </w:p>
    <w:p>
      <w:pPr>
        <w:pStyle w:val="TableCaption"/>
      </w:pPr>
      <w:r>
        <w:rPr>
          <w:b/>
          <w:bCs/>
        </w:rPr>
        <w:t xml:space="preserve">Appendix Table S18.</w:t>
      </w:r>
      <w:r>
        <w:t xml:space="preserve"> </w:t>
      </w:r>
      <w:r>
        <w:t xml:space="preserve">MIGS exploratory focused-practice cohort (designation-based; NRMP/AAGL inflow). Reported for completeness, not pooled with the board-certified subspecialties.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ppendix Table S18. MIGS exploratory focused-practice cohort (designation-based; NRMP/AAGL inflow). Reported for completeness, not pooled with the board-certified subspecialti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baseline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departure rate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annual departures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entrants (NRMP/AAGL match fill)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Completion-to-departure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2029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median departure age (y)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 estimated median classified departure age of 34 years is an important validity</w:t>
      </w:r>
      <w:r>
        <w:rPr>
          <w:i/>
          <w:iCs/>
        </w:rPr>
        <w:t xml:space="preserve"> </w:t>
      </w:r>
      <w:r>
        <w:rPr>
          <w:i/>
          <w:iCs/>
        </w:rPr>
        <w:t xml:space="preserve">warning: it may reflect nonretirement workforce exits, but may equally reflect</w:t>
      </w:r>
      <w:r>
        <w:rPr>
          <w:i/>
          <w:iCs/>
        </w:rPr>
        <w:t xml:space="preserve"> </w:t>
      </w:r>
      <w:r>
        <w:rPr>
          <w:i/>
          <w:iCs/>
        </w:rPr>
        <w:t xml:space="preserve">transient administrative invisibility, designation uptake, young physicians without</w:t>
      </w:r>
      <w:r>
        <w:rPr>
          <w:i/>
          <w:iCs/>
        </w:rPr>
        <w:t xml:space="preserve"> </w:t>
      </w:r>
      <w:r>
        <w:rPr>
          <w:i/>
          <w:iCs/>
        </w:rPr>
        <w:t xml:space="preserve">Medicare panels, relocation, or coding and cohort-definition artifacts. The general</w:t>
      </w:r>
      <w:r>
        <w:rPr>
          <w:i/>
          <w:iCs/>
        </w:rPr>
        <w:t xml:space="preserve"> </w:t>
      </w:r>
      <w:r>
        <w:rPr>
          <w:i/>
          <w:iCs/>
        </w:rPr>
        <w:t xml:space="preserve">obstetrics-gynecology comparator (Appendix S2) shows young administrative departures</w:t>
      </w:r>
      <w:r>
        <w:rPr>
          <w:i/>
          <w:iCs/>
        </w:rPr>
        <w:t xml:space="preserve"> </w:t>
      </w:r>
      <w:r>
        <w:rPr>
          <w:i/>
          <w:iCs/>
        </w:rPr>
        <w:t xml:space="preserve">across the whole specialty rather than uniquely in MIGS, but does not validate the</w:t>
      </w:r>
      <w:r>
        <w:rPr>
          <w:i/>
          <w:iCs/>
        </w:rPr>
        <w:t xml:space="preserve"> </w:t>
      </w:r>
      <w:r>
        <w:rPr>
          <w:i/>
          <w:iCs/>
        </w:rPr>
        <w:t xml:space="preserve">individual MIGS events. The MIGS replacement estimate should not be interpreted as a</w:t>
      </w:r>
      <w:r>
        <w:rPr>
          <w:i/>
          <w:iCs/>
        </w:rPr>
        <w:t xml:space="preserve"> </w:t>
      </w:r>
      <w:r>
        <w:rPr>
          <w:i/>
          <w:iCs/>
        </w:rPr>
        <w:t xml:space="preserve">measure of the national MIGS clinical-practice workforce.</w:t>
      </w:r>
    </w:p>
    <w:bookmarkEnd w:id="38"/>
    <w:bookmarkStart w:id="39" w:name="Xf95c060b2f68b7186abf059ca460c86b0a84274"/>
    <w:p>
      <w:pPr>
        <w:pStyle w:val="Heading1"/>
      </w:pPr>
      <w:r>
        <w:t xml:space="preserve">Appendix S14. Certification-to-First-Medicare-Activity Transition</w:t>
      </w:r>
    </w:p>
    <w:p>
      <w:pPr>
        <w:pStyle w:val="FirstParagraph"/>
      </w:pPr>
      <w:r>
        <w:t xml:space="preserve">The primary model adds fellowship completers to the active board-certified stock in</w:t>
      </w:r>
      <w:r>
        <w:t xml:space="preserve"> </w:t>
      </w:r>
      <w:r>
        <w:t xml:space="preserve">their entry year. To test that immediate-entry assumption, we estimated a certification-to-first-Medicare-activity</w:t>
      </w:r>
      <w:r>
        <w:t xml:space="preserve"> </w:t>
      </w:r>
      <w:r>
        <w:t xml:space="preserve">transition by linking board-certified GO and URPS certification cohorts (2013-2019,</w:t>
      </w:r>
      <w:r>
        <w:t xml:space="preserve"> </w:t>
      </w:r>
      <w:r>
        <w:t xml:space="preserve">with at least four years of follow-up) to their first observed Medicare activity. This</w:t>
      </w:r>
      <w:r>
        <w:t xml:space="preserve"> </w:t>
      </w:r>
      <w:r>
        <w:t xml:space="preserve">is a proxy for, not a direct measure of, the fellowship-completion-to-active-practice</w:t>
      </w:r>
      <w:r>
        <w:t xml:space="preserve"> </w:t>
      </w:r>
      <w:r>
        <w:t xml:space="preserve">lag: certification is not fellowship graduation (and can follow practice entry), and</w:t>
      </w:r>
      <w:r>
        <w:t xml:space="preserve"> </w:t>
      </w:r>
      <w:r>
        <w:t xml:space="preserve">first Medicare billing is not first active practice (non-Medicare practice is invisible). The transition is reported as a</w:t>
      </w:r>
      <w:r>
        <w:t xml:space="preserve"> </w:t>
      </w:r>
      <w:r>
        <w:rPr>
          <w:b/>
          <w:bCs/>
        </w:rPr>
        <w:t xml:space="preserve">timing ramp</w:t>
      </w:r>
      <w:r>
        <w:t xml:space="preserve"> </w:t>
      </w:r>
      <w:r>
        <w:t xml:space="preserve">normalized to eventual activation, so it measures how quickly graduates reach observed</w:t>
      </w:r>
      <w:r>
        <w:t xml:space="preserve"> </w:t>
      </w:r>
      <w:r>
        <w:t xml:space="preserve">active practice rather than the Medicare-visibility ceiling; the separate ever-billed</w:t>
      </w:r>
      <w:r>
        <w:t xml:space="preserve"> </w:t>
      </w:r>
      <w:r>
        <w:t xml:space="preserve">ceiling (the fraction ever observed in Medicare) reflects non-Medicare practice, not</w:t>
      </w:r>
      <w:r>
        <w:t xml:space="preserve"> </w:t>
      </w:r>
      <w:r>
        <w:t xml:space="preserve">non-entry, and is not applied as a yield penalty.</w:t>
      </w:r>
    </w:p>
    <w:p>
      <w:pPr>
        <w:pStyle w:val="TableCaption"/>
      </w:pPr>
      <w:r>
        <w:rPr>
          <w:b/>
          <w:bCs/>
        </w:rPr>
        <w:t xml:space="preserve">Appendix Table S19.</w:t>
      </w:r>
      <w:r>
        <w:t xml:space="preserve"> </w:t>
      </w:r>
      <w:r>
        <w:t xml:space="preserve">Certification-to-first-Medicare-activity transition: cumulative fraction of a certification cohort with observed Medicare activity by k years after certification (timing ramp, normalized to eventual activation, among certificants ever observed in Medicare), and the ever-billed Medicare-visibility ceiling (not a yield penalty).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19. Certification-to-first-Medicare-activity transition: cumulative fraction of a certification cohort with observed Medicare activity by k years after certification (timing ramp, normalized to eventual activation, among certificants ever observed in Medicare), and the ever-billed Medicare-visibility ceiling (not a yield penalty)."/>
      </w:tblPr>
      <w:tblGrid>
        <w:gridCol w:w="1980"/>
        <w:gridCol w:w="792"/>
        <w:gridCol w:w="792"/>
        <w:gridCol w:w="792"/>
        <w:gridCol w:w="792"/>
        <w:gridCol w:w="792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subspecialty_abbrev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yr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yr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yr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yr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yr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Ever-billed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84%</w:t>
            </w:r>
          </w:p>
        </w:tc>
      </w:tr>
    </w:tbl>
    <w:p/>
    <w:p>
      <w:pPr>
        <w:pStyle w:val="TableCaption"/>
      </w:pPr>
      <w:r>
        <w:rPr>
          <w:b/>
          <w:bCs/>
        </w:rPr>
        <w:t xml:space="preserve">Appendix Table S20.</w:t>
      </w:r>
      <w:r>
        <w:t xml:space="preserve"> </w:t>
      </w:r>
      <w:r>
        <w:t xml:space="preserve">Transition-adjusted projection. Applying the empirical entry ramp defers part of the projected four-year growth beyond 2029; the workforce still grows and the completion-to-departure ratio (a flow balance) is unchanged.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20. Transition-adjusted projection. Applying the empirical entry ramp defers part of the projected four-year growth beyond 2029; the workforce still grows and the completion-to-departure ratio (a flow balance) is unchanged."/>
      </w:tblPr>
      <w:tblGrid>
        <w:gridCol w:w="482"/>
        <w:gridCol w:w="964"/>
        <w:gridCol w:w="2272"/>
        <w:gridCol w:w="2272"/>
        <w:gridCol w:w="19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2029 (immediate 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2029 (transition ramp)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deferred beyond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(37%)</w:t>
            </w:r>
          </w:p>
        </w:tc>
      </w:tr>
    </w:tbl>
    <w:p>
      <w:pPr>
        <w:pStyle w:val="BodyText"/>
      </w:pPr>
      <w:r>
        <w:rPr>
          <w:i/>
          <w:iCs/>
        </w:rPr>
        <w:t xml:space="preserve">Among certificants eventually observed in Medicare, 96% appeared within three years, so</w:t>
      </w:r>
      <w:r>
        <w:rPr>
          <w:i/>
          <w:iCs/>
        </w:rPr>
        <w:t xml:space="preserve"> </w:t>
      </w:r>
      <w:r>
        <w:rPr>
          <w:i/>
          <w:iCs/>
        </w:rPr>
        <w:t xml:space="preserve">observed activity accrues over roughly two to three years; only 89% (GO) and 84% (URPS)</w:t>
      </w:r>
      <w:r>
        <w:rPr>
          <w:i/>
          <w:iCs/>
        </w:rPr>
        <w:t xml:space="preserve"> </w:t>
      </w:r>
      <w:r>
        <w:rPr>
          <w:i/>
          <w:iCs/>
        </w:rPr>
        <w:t xml:space="preserve">of certificants were ever Medicare-visible, and while the remainder plausibly reflects</w:t>
      </w:r>
      <w:r>
        <w:rPr>
          <w:i/>
          <w:iCs/>
        </w:rPr>
        <w:t xml:space="preserve"> </w:t>
      </w:r>
      <w:r>
        <w:rPr>
          <w:i/>
          <w:iCs/>
        </w:rPr>
        <w:t xml:space="preserve">non-Medicare practice, some may not enter U.S. subspecialty practice. The immediate-entry</w:t>
      </w:r>
      <w:r>
        <w:rPr>
          <w:i/>
          <w:iCs/>
        </w:rPr>
        <w:t xml:space="preserve"> </w:t>
      </w:r>
      <w:r>
        <w:rPr>
          <w:i/>
          <w:iCs/>
        </w:rPr>
        <w:t xml:space="preserve">assumption thus modestly overstates near-term growth but not the direction of the conclusion. The completion-to-departure ratio compares</w:t>
      </w:r>
      <w:r>
        <w:rPr>
          <w:i/>
          <w:iCs/>
        </w:rPr>
        <w:t xml:space="preserve"> </w:t>
      </w:r>
      <w:r>
        <w:rPr>
          <w:i/>
          <w:iCs/>
        </w:rPr>
        <w:t xml:space="preserve">annual entrants with annual departures and is unaffected by entry timing; the transition</w:t>
      </w:r>
      <w:r>
        <w:rPr>
          <w:i/>
          <w:iCs/>
        </w:rPr>
        <w:t xml:space="preserve"> </w:t>
      </w:r>
      <w:r>
        <w:rPr>
          <w:i/>
          <w:iCs/>
        </w:rPr>
        <w:t xml:space="preserve">function refines the projected stock trajectory, not the replacement balance.</w:t>
      </w:r>
    </w:p>
    <w:bookmarkEnd w:id="39"/>
    <w:bookmarkStart w:id="40" w:name="Xf074ec736ec223d0a3e50b14e62840a88055d61"/>
    <w:p>
      <w:pPr>
        <w:pStyle w:val="Heading1"/>
      </w:pPr>
      <w:r>
        <w:t xml:space="preserve">Appendix S15. Open Payments Construct-Validity Sensitivity</w:t>
      </w:r>
    </w:p>
    <w:p>
      <w:pPr>
        <w:pStyle w:val="FirstParagraph"/>
      </w:pPr>
      <w:r>
        <w:t xml:space="preserve">Cessation of Open Payments (industry-payment) reporting supported about 80% of classified</w:t>
      </w:r>
      <w:r>
        <w:t xml:space="preserve"> </w:t>
      </w:r>
      <w:r>
        <w:t xml:space="preserve">departures under the prior definition and was the sole firing source for about 30%, whereas</w:t>
      </w:r>
      <w:r>
        <w:t xml:space="preserve"> </w:t>
      </w:r>
      <w:r>
        <w:t xml:space="preserve">ABMS lapse and NPPES deactivation identified none, and Part D and Part B contributed fewer</w:t>
      </w:r>
      <w:r>
        <w:t xml:space="preserve"> </w:t>
      </w:r>
      <w:r>
        <w:t xml:space="preserve">unique cases. Because stopping industry payments is not a validated indicator of leaving</w:t>
      </w:r>
      <w:r>
        <w:t xml:space="preserve"> </w:t>
      </w:r>
      <w:r>
        <w:t xml:space="preserve">clinical practice,</w:t>
      </w:r>
      <w:r>
        <w:t xml:space="preserve"> </w:t>
      </w:r>
      <w:r>
        <w:rPr>
          <w:b/>
          <w:bCs/>
        </w:rPr>
        <w:t xml:space="preserve">the primary departure definition requires a non-Open-Payments</w:t>
      </w:r>
      <w:r>
        <w:rPr>
          <w:b/>
          <w:bCs/>
        </w:rPr>
        <w:t xml:space="preserve"> </w:t>
      </w:r>
      <w:r>
        <w:rPr>
          <w:b/>
          <w:bCs/>
        </w:rPr>
        <w:t xml:space="preserve">corroborating source</w:t>
      </w:r>
      <w:r>
        <w:t xml:space="preserve"> </w:t>
      </w:r>
      <w:r>
        <w:t xml:space="preserve">(Medicare Part B or D, NPPES deactivation, or ABMS lapse); an Open</w:t>
      </w:r>
      <w:r>
        <w:t xml:space="preserve"> </w:t>
      </w:r>
      <w:r>
        <w:t xml:space="preserve">Payments cessation alone no longer classifies a departure. The table below passes both the</w:t>
      </w:r>
      <w:r>
        <w:t xml:space="preserve"> </w:t>
      </w:r>
      <w:r>
        <w:t xml:space="preserve">Open-Payments-inclusive definition and the primary non-Open-Payments-anchored definition</w:t>
      </w:r>
      <w:r>
        <w:t xml:space="preserve"> </w:t>
      </w:r>
      <w:r>
        <w:t xml:space="preserve">through the same pooled dynamic model used for the headline result, so the primary row</w:t>
      </w:r>
      <w:r>
        <w:t xml:space="preserve"> </w:t>
      </w:r>
      <w:r>
        <w:t xml:space="preserve">reproduces Table 2 exactly. Removing the Open-Payments-only departures lowers the departure</w:t>
      </w:r>
      <w:r>
        <w:t xml:space="preserve"> </w:t>
      </w:r>
      <w:r>
        <w:t xml:space="preserve">rate and raises the ratio; we report this as the direction of the arithmetic only and do not</w:t>
      </w:r>
      <w:r>
        <w:t xml:space="preserve"> </w:t>
      </w:r>
      <w:r>
        <w:t xml:space="preserve">assert which definition is closer to truth, which awaits the individual chart adjudication.</w:t>
      </w:r>
      <w:r>
        <w:t xml:space="preserve"> </w:t>
      </w:r>
      <w:r>
        <w:t xml:space="preserve">Both cohorts remain above replacement under either definition.</w:t>
      </w:r>
    </w:p>
    <w:p>
      <w:pPr>
        <w:pStyle w:val="TableCaption"/>
      </w:pPr>
      <w:r>
        <w:rPr>
          <w:b/>
          <w:bCs/>
        </w:rPr>
        <w:t xml:space="preserve">Appendix Table S21.</w:t>
      </w:r>
      <w:r>
        <w:t xml:space="preserve"> </w:t>
      </w:r>
      <w:r>
        <w:t xml:space="preserve">Departure rate and fellowship-completion-to-departure ratio under the Open-Payments-inclusive and primary non-Open-Payments-anchored definitions, both passed through the same pooled dynamic model (the primary row reproduces Table 2). Both board-certified cohorts remain above replacement under either definition; the direction of the difference is reported without a claim as to which definition is closer to truth.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21. Departure rate and fellowship-completion-to-departure ratio under the Open-Payments-inclusive and primary non-Open-Payments-anchored definitions, both passed through the same pooled dynamic model (the primary row reproduces Table 2). Both board-certified cohorts remain above replacement under either definition; the direction of the difference is reported without a claim as to which definition is closer to truth."/>
      </w:tblPr>
      <w:tblGrid>
        <w:gridCol w:w="2765"/>
        <w:gridCol w:w="440"/>
        <w:gridCol w:w="1382"/>
        <w:gridCol w:w="1445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 rate (%/yr)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annual departures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Completion-to-departure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Non-Open-Payments anchor required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Non-Open-Payments anchor required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Payments-inclusive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Payments-inclusive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</w:tr>
    </w:tbl>
    <w:p>
      <w:pPr>
        <w:pStyle w:val="BodyText"/>
      </w:pPr>
      <w:r>
        <w:rPr>
          <w:i/>
          <w:iCs/>
        </w:rPr>
        <w:t xml:space="preserve">Both cohorts remain above replacement under either definition. Requiring a</w:t>
      </w:r>
      <w:r>
        <w:rPr>
          <w:i/>
          <w:iCs/>
        </w:rPr>
        <w:t xml:space="preserve"> </w:t>
      </w:r>
      <w:r>
        <w:rPr>
          <w:i/>
          <w:iCs/>
        </w:rPr>
        <w:t xml:space="preserve">non-Open-Payments anchor (Medicare Part B or D cessation, NPPES deactivation, or ABMS</w:t>
      </w:r>
      <w:r>
        <w:rPr>
          <w:i/>
          <w:iCs/>
        </w:rPr>
        <w:t xml:space="preserve"> </w:t>
      </w:r>
      <w:r>
        <w:rPr>
          <w:i/>
          <w:iCs/>
        </w:rPr>
        <w:t xml:space="preserve">lapse; excluding Open-Payments-only departures) lowers the departure rate and raises</w:t>
      </w:r>
      <w:r>
        <w:rPr>
          <w:i/>
          <w:iCs/>
        </w:rPr>
        <w:t xml:space="preserve"> </w:t>
      </w:r>
      <w:r>
        <w:rPr>
          <w:i/>
          <w:iCs/>
        </w:rPr>
        <w:t xml:space="preserve">the ratio. We report this direction of the arithmetic only and make no claim as to</w:t>
      </w:r>
      <w:r>
        <w:rPr>
          <w:i/>
          <w:iCs/>
        </w:rPr>
        <w:t xml:space="preserve"> </w:t>
      </w:r>
      <w:r>
        <w:rPr>
          <w:i/>
          <w:iCs/>
        </w:rPr>
        <w:t xml:space="preserve">which definition is closer to truth, which awaits the individual chart adjudication;</w:t>
      </w:r>
      <w:r>
        <w:rPr>
          <w:i/>
          <w:iCs/>
        </w:rPr>
        <w:t xml:space="preserve"> </w:t>
      </w:r>
      <w:r>
        <w:rPr>
          <w:i/>
          <w:iCs/>
        </w:rPr>
        <w:t xml:space="preserve">in particular we do not assert that the Open-Payments-inclusive definition was</w:t>
      </w:r>
      <w:r>
        <w:rPr>
          <w:i/>
          <w:iCs/>
        </w:rPr>
        <w:t xml:space="preserve"> </w:t>
      </w:r>
      <w:r>
        <w:rPr>
          <w:i/>
          <w:iCs/>
        </w:rPr>
        <w:t xml:space="preserve">conservative, because that would require knowing which Open-Payments-only events are</w:t>
      </w:r>
      <w:r>
        <w:rPr>
          <w:i/>
          <w:iCs/>
        </w:rPr>
        <w:t xml:space="preserve"> </w:t>
      </w:r>
      <w:r>
        <w:rPr>
          <w:i/>
          <w:iCs/>
        </w:rPr>
        <w:t xml:space="preserve">true departures. The error that could threaten the result is missed departures (false</w:t>
      </w:r>
      <w:r>
        <w:rPr>
          <w:i/>
          <w:iCs/>
        </w:rPr>
        <w:t xml:space="preserve"> </w:t>
      </w:r>
      <w:r>
        <w:rPr>
          <w:i/>
          <w:iCs/>
        </w:rPr>
        <w:t xml:space="preserve">negatives), addressed by the tipping-point analysis and the pending active-control</w:t>
      </w:r>
      <w:r>
        <w:rPr>
          <w:i/>
          <w:iCs/>
        </w:rPr>
        <w:t xml:space="preserve"> </w:t>
      </w:r>
      <w:r>
        <w:rPr>
          <w:i/>
          <w:iCs/>
        </w:rPr>
        <w:t xml:space="preserve">adjudication (Appendix S7).</w:t>
      </w:r>
    </w:p>
    <w:bookmarkEnd w:id="40"/>
    <w:bookmarkStart w:id="41" w:name="Xff32979b1361d93c18c8873a6e4fa0d4aad2547"/>
    <w:p>
      <w:pPr>
        <w:pStyle w:val="Heading1"/>
      </w:pPr>
      <w:r>
        <w:t xml:space="preserve">Age-Specific Mortality Sensitivity (Reviewer #2)</w:t>
      </w:r>
    </w:p>
    <w:p>
      <w:pPr>
        <w:pStyle w:val="TableCaption"/>
      </w:pPr>
      <w:r>
        <w:rPr>
          <w:b/>
          <w:bCs/>
        </w:rPr>
        <w:t xml:space="preserve">Appendix Table S25.</w:t>
      </w:r>
      <w:r>
        <w:t xml:space="preserve"> </w:t>
      </w:r>
      <w:r>
        <w:t xml:space="preserve">Age- and sex-specific expected-mortality sensitivity. Expected annual deaths in the active stock are computed from the SSA Period Life Table, 2020 (as used in the 2023 OASDI Trustees Report; q(x) by single year of age and sex) applied to each active physician’s certification-anchored age and recorded sex, then added to the departure numerator. Because general-population mortality overstates mortality among practicing physicians (healthy-worker effect), the all-missed column is a conservative upper bound; the half-missed column reflects that some deaths are already captured administratively (NPPES deactivation, billing cessation). Both cohorts remain above one-for-one under every column.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25. Age- and sex-specific expected-mortality sensitivity. Expected annual deaths in the active stock are computed from the SSA Period Life Table, 2020 (as used in the 2023 OASDI Trustees Report; q(x) by single year of age and sex) applied to each active physician’s certification-anchored age and recorded sex, then added to the departure numerator. Because general-population mortality overstates mortality among practicing physicians (healthy-worker effect), the all-missed column is a conservative upper bound; the half-missed column reflects that some deaths are already captured administratively (NPPES deactivation, billing cessation). Both cohorts remain above one-for-one under every column."/>
      </w:tblPr>
      <w:tblGrid>
        <w:gridCol w:w="360"/>
        <w:gridCol w:w="668"/>
        <w:gridCol w:w="1234"/>
        <w:gridCol w:w="977"/>
        <w:gridCol w:w="822"/>
        <w:gridCol w:w="1028"/>
        <w:gridCol w:w="977"/>
        <w:gridCol w:w="771"/>
        <w:gridCol w:w="1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Departures/yr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deaths/yr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(half missed)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(all missed)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 (mortality-adj)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1,479</w:t>
            </w:r>
          </w:p>
        </w:tc>
      </w:tr>
    </w:tbl>
    <w:bookmarkEnd w:id="41"/>
    <w:bookmarkStart w:id="42" w:name="X2436ca8fa5d120b4a02359e882288e3d26aac95"/>
    <w:p>
      <w:pPr>
        <w:pStyle w:val="Heading1"/>
      </w:pPr>
      <w:r>
        <w:t xml:space="preserve">Consistent-Definition Baseline Sensitivity (Reviewer #3)</w:t>
      </w:r>
    </w:p>
    <w:p>
      <w:pPr>
        <w:pStyle w:val="TableCaption"/>
      </w:pPr>
      <w:r>
        <w:rPr>
          <w:b/>
          <w:bCs/>
        </w:rPr>
        <w:t xml:space="preserve">Appendix Table S26.</w:t>
      </w:r>
      <w:r>
        <w:t xml:space="preserve"> </w:t>
      </w:r>
      <w:r>
        <w:t xml:space="preserve">Consistent-definition baseline sensitivity. The 2025 active stock is regenerated under the SAME non-Open-Payments anchored rule used for departure events (a physician is active if not classified as departed under the anchored rule by 2025), removing the stock-versus-flow definitional asymmetry. The anchored baseline is modestly larger (the stricter anchor classifies fewer physicians as departed), and the completion-to-departure ratios remain well above replacement, so pairing a broad cohorting baseline with an anchored departure definition does not materially bias the stock-flow balance.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26. Consistent-definition baseline sensitivity. The 2025 active stock is regenerated under the SAME non-Open-Payments anchored rule used for departure events (a physician is active if not classified as departed under the anchored rule by 2025), removing the stock-versus-flow definitional asymmetry. The anchored baseline is modestly larger (the stricter anchor classifies fewer physicians as departed), and the completion-to-departure ratios remain well above replacement, so pairing a broad cohorting baseline with an anchored departure definition does not materially bias the stock-flow balance."/>
      </w:tblPr>
      <w:tblGrid>
        <w:gridCol w:w="477"/>
        <w:gridCol w:w="1297"/>
        <w:gridCol w:w="1365"/>
        <w:gridCol w:w="409"/>
        <w:gridCol w:w="1092"/>
        <w:gridCol w:w="1160"/>
        <w:gridCol w:w="1024"/>
        <w:gridCol w:w="1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(anchored)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(anchored)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 (anchored)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1,514</w:t>
            </w:r>
          </w:p>
        </w:tc>
      </w:tr>
    </w:tbl>
    <w:bookmarkEnd w:id="42"/>
    <w:bookmarkStart w:id="43" w:name="X8cb76ce2bd851d8560f95e2f8a282881da2f435"/>
    <w:p>
      <w:pPr>
        <w:pStyle w:val="Heading1"/>
      </w:pPr>
      <w:r>
        <w:t xml:space="preserve">Inactivity-Threshold Sensitivity (Reviewer #9)</w:t>
      </w:r>
    </w:p>
    <w:p>
      <w:pPr>
        <w:pStyle w:val="TableCaption"/>
      </w:pPr>
      <w:r>
        <w:rPr>
          <w:b/>
          <w:bCs/>
        </w:rPr>
        <w:t xml:space="preserve">Appendix Table S27.</w:t>
      </w:r>
      <w:r>
        <w:t xml:space="preserve"> </w:t>
      </w:r>
      <w:r>
        <w:t xml:space="preserve">Inactivity-duration sensitivity (distinct from the calendar-window sensitivity). A departure event is re-derived directly from Medicare Part B clinical activity: a physician whose last Part B active year is L is classified as departed in year L+1 only if the required T-year absence is fully observable by 2023 (L + T &lt;= 2023); otherwise the exit is right-censored. Only the age-band hazard changes with T; the active baseline and entrant counts are held at the primary values. This isolates the Part B inactivity signal and is more aggressive than the multi-source consensus primary definition, so ratios are lower than the primary 5.6/7.1; nonetheless both board-certified cohorts remain above replacement at every threshold. The 2- and 3-year thresholds are indistinguishable within the fully-observable 2016-2021 window (both require the last active year to fall by 2020 for an in-window event), and a stricter 4-year threshold raises the ratio because fewer exits meet the longer absence requirement.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27. Inactivity-duration sensitivity (distinct from the calendar-window sensitivity). A departure event is re-derived directly from Medicare Part B clinical activity: a physician whose last Part B active year is L is classified as departed in year L+1 only if the required T-year absence is fully observable by 2023 (L + T &lt;= 2023); otherwise the exit is right-censored. Only the age-band hazard changes with T; the active baseline and entrant counts are held at the primary values. This isolates the Part B inactivity signal and is more aggressive than the multi-source consensus primary definition, so ratios are lower than the primary 5.6/7.1; nonetheless both board-certified cohorts remain above replacement at every threshold. The 2- and 3-year thresholds are indistinguishable within the fully-observable 2016-2021 window (both require the last active year to fall by 2020 for an in-window event), and a stricter 4-year threshold raises the ratio because fewer exits meet the longer absence requirement."/>
      </w:tblPr>
      <w:tblGrid>
        <w:gridCol w:w="382"/>
        <w:gridCol w:w="1420"/>
        <w:gridCol w:w="1420"/>
        <w:gridCol w:w="1201"/>
        <w:gridCol w:w="1256"/>
        <w:gridCol w:w="1638"/>
        <w:gridCol w:w="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Inactivity threshold (yr)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Departure events (window)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 rate (%/yr)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annual departures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Completion-to-departure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</w:tbl>
    <w:bookmarkEnd w:id="43"/>
    <w:bookmarkStart w:id="44" w:name="X6ba16e27facc556ad77017d7a7e647816657325"/>
    <w:p>
      <w:pPr>
        <w:pStyle w:val="Heading1"/>
      </w:pPr>
      <w:r>
        <w:t xml:space="preserve">Hierarchical Partial-Pooling Hazard (Reviewer #4)</w:t>
      </w:r>
    </w:p>
    <w:p>
      <w:pPr>
        <w:pStyle w:val="TableCaption"/>
      </w:pPr>
      <w:r>
        <w:rPr>
          <w:b/>
          <w:bCs/>
        </w:rPr>
        <w:t xml:space="preserve">Appendix Table S28.</w:t>
      </w:r>
      <w:r>
        <w:t xml:space="preserve"> </w:t>
      </w:r>
      <w:r>
        <w:t xml:space="preserve">Hierarchical partial-pooling sensitivity for the age-band departure hazard. A binomial discrete-time hazard model with a shared age-band shape (fixed band effects) and a specialty deviation (random intercept) was fit by penalized maximum likelihood with a weakly-informative prior on the between-specialty variance (blme::bglmer); with only two board-certified cohorts, plain maximum likelihood collapses the specialty variance to zero (full pooling), so the variance prior is what makes this a genuine partial pool. Ratios are recomputed by applying each hazard set to the cohort’s active-age distribution through the same dynamic model. Uncertainty: unpooled and pooled intervals are a 4,000-draw Beta(events+0.5, person-years-events+0.5) posterior on the band hazards; the partial-pooled interval is a 300-iteration parametric bootstrap of the fitted model (seed 20260720). The partial-pooled ratio lies between the unpooled and pooled estimates for each cohort, and all methods (with their intervals) remain above one-for-one replacement. ABU-hazard uncertainty is folded in by scaling the ABU share of the URPS hazard by 0.5 and 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28. Hierarchical partial-pooling sensitivity for the age-band departure hazard. A binomial discrete-time hazard model with a shared age-band shape (fixed band effects) and a specialty deviation (random intercept) was fit by penalized maximum likelihood with a weakly-informative prior on the between-specialty variance (blme::bglmer); with only two board-certified cohorts, plain maximum likelihood collapses the specialty variance to zero (full pooling), so the variance prior is what makes this a genuine partial pool. Ratios are recomputed by applying each hazard set to the cohort’s active-age distribution through the same dynamic model. Uncertainty: unpooled and pooled intervals are a 4,000-draw Beta(events+0.5, person-years-events+0.5) posterior on the band hazards; the partial-pooled interval is a 300-iteration parametric bootstrap of the fitted model (seed 20260720). The partial-pooled ratio lies between the unpooled and pooled estimates for each cohort, and all methods (with their intervals) remain above one-for-one replacement. ABU-hazard uncertainty is folded in by scaling the ABU share of the URPS hazard by 0.5 and 2."/>
      </w:tblPr>
      <w:tblGrid>
        <w:gridCol w:w="538"/>
        <w:gridCol w:w="2460"/>
        <w:gridCol w:w="2306"/>
        <w:gridCol w:w="1076"/>
        <w:gridCol w:w="538"/>
        <w:gridCol w:w="9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Completion-to-departure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Person-years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Unpooled (specialty-specific)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 to 9.50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Unpooled (specialty-specific)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 to 5.87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 to 8.35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 to 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Partial-pooled (hierarchical)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4.54 to 11.98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Partial-pooled (hierarchical)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 to 9.37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Partial-pooled, ABU hazard x0.5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Partial-pooled, ABU hazard 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6403</w:t>
            </w:r>
          </w:p>
        </w:tc>
      </w:tr>
    </w:tbl>
    <w:bookmarkEnd w:id="44"/>
    <w:bookmarkStart w:id="45" w:name="graduate-supply-scenarios-reviewer-8"/>
    <w:p>
      <w:pPr>
        <w:pStyle w:val="Heading1"/>
      </w:pPr>
      <w:r>
        <w:t xml:space="preserve">Graduate-Supply Scenarios (Reviewer #8)</w:t>
      </w:r>
    </w:p>
    <w:p>
      <w:pPr>
        <w:pStyle w:val="TableCaption"/>
      </w:pPr>
      <w:r>
        <w:rPr>
          <w:b/>
          <w:bCs/>
        </w:rPr>
        <w:t xml:space="preserve">Appendix Table S29.</w:t>
      </w:r>
      <w:r>
        <w:t xml:space="preserve"> </w:t>
      </w:r>
      <w:r>
        <w:t xml:space="preserve">Graduate-supply scenarios beyond the flat four-year mean. The four observed ACGME completer counts (AY2020-21..2023-24) are recast into transparent forward assumptions and each is passed through the same dynamic model (only the annual entrant count changes; the pooled hazard and active baseline are held at primary values). Cohort accounting uses the most recent observed year (fellows already in final training, the most directly projectable near-term output); contraction uses the lowest of the four recent years; the cautious trend is the four-year mean plus half the observed linear annual trend over the horizon midpoint, capped at the highest observed year. The conservative (70% conversion) and optimistic (NRMP benchmark) scenarios are shown for reference. Both board-certified cohorts remain above replacement under every graduate-supply scenario.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29. Graduate-supply scenarios beyond the flat four-year mean. The four observed ACGME completer counts (AY2020-21..2023-24) are recast into transparent forward assumptions and each is passed through the same dynamic model (only the annual entrant count changes; the pooled hazard and active baseline are held at primary values). Cohort accounting uses the most recent observed year (fellows already in final training, the most directly projectable near-term output); contraction uses the lowest of the four recent years; the cautious trend is the four-year mean plus half the observed linear annual trend over the horizon midpoint, capped at the highest observed year. The conservative (70% conversion) and optimistic (NRMP benchmark) scenarios are shown for reference. Both board-certified cohorts remain above replacement under every graduate-supply scenario."/>
      </w:tblPr>
      <w:tblGrid>
        <w:gridCol w:w="473"/>
        <w:gridCol w:w="2504"/>
        <w:gridCol w:w="1150"/>
        <w:gridCol w:w="2030"/>
        <w:gridCol w:w="1015"/>
        <w:gridCol w:w="7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graduates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Completion-to-departure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recent mean (status-quo)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accounting (most recent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Contraction (recent 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Cautious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(70% conversion)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Optimistic (NRMP benchmark)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recent mean (status-quo)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accounting (most recent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Contraction (recent 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Cautious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(70% conversion)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Optimistic (NRMP benchmark)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</w:tr>
    </w:tbl>
    <w:bookmarkEnd w:id="45"/>
    <w:bookmarkStart w:id="46" w:name="Xf213fe024136ee7368f54d77ecf8ea1f9a2e5b2"/>
    <w:p>
      <w:pPr>
        <w:pStyle w:val="Heading1"/>
      </w:pPr>
      <w:r>
        <w:t xml:space="preserve">Estimated-Baseline Lag Decomposition (Reviewer #5)</w:t>
      </w:r>
    </w:p>
    <w:p>
      <w:pPr>
        <w:pStyle w:val="TableCaption"/>
      </w:pPr>
      <w:r>
        <w:rPr>
          <w:b/>
          <w:bCs/>
        </w:rPr>
        <w:t xml:space="preserve">Appendix Table S30.</w:t>
      </w:r>
      <w:r>
        <w:t xml:space="preserve"> </w:t>
      </w:r>
      <w:r>
        <w:t xml:space="preserve">Decomposition of the estimated 2025 active baseline by administrative-support recency (Medicare Part B last-active year). The baseline is carried forward from admin data ending 2023-2024; the great majority of each Part B-observable cohort had Part B activity in the latest administrative year (2023), and only a small number rest on a three-year-or-longer carry-forward. The final column is a baseline-lag sensitivity: removing the long-lag (&gt;=3-year carried-forward) physicians from the active stock, the most adverse plausible baseline-classification error, does not weaken the conclusion (the ratio is unchanged to slightly higher, because those physicians also carry projected departures). ABU net-new urogynecologists (URPS only) are recent certificants added to the both-pathway baseline; physicians with no Medicare Part B history (non-Medicare panels) are a residual limitation.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30. Decomposition of the estimated 2025 active baseline by administrative-support recency (Medicare Part B last-active year). The baseline is carried forward from admin data ending 2023-2024; the great majority of each Part B-observable cohort had Part B activity in the latest administrative year (2023), and only a small number rest on a three-year-or-longer carry-forward. The final column is a baseline-lag sensitivity: removing the long-lag (&gt;=3-year carried-forward) physicians from the active stock, the most adverse plausible baseline-classification error, does not weaken the conclusion (the ratio is unchanged to slightly higher, because those physicians also carry projected departures). ABU net-new urogynecologists (URPS only) are recent certificants added to the both-pathway baseline; physicians with no Medicare Part B history (non-Medicare panels) are a residual limitation."/>
      </w:tblPr>
      <w:tblGrid>
        <w:gridCol w:w="306"/>
        <w:gridCol w:w="1443"/>
        <w:gridCol w:w="1006"/>
        <w:gridCol w:w="1006"/>
        <w:gridCol w:w="787"/>
        <w:gridCol w:w="525"/>
        <w:gridCol w:w="1050"/>
        <w:gridCol w:w="700"/>
        <w:gridCol w:w="10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Directly supported (2023 Part 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Carried forward 1-2 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Carried forward &gt;=3 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Part B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ABU net-new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2025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(long-lag removed)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</w:t>
            </w:r>
          </w:p>
        </w:tc>
      </w:tr>
    </w:tbl>
    <w:bookmarkEnd w:id="46"/>
    <w:bookmarkStart w:id="47" w:name="X3f71dc29d6fe3ee810c5b5fa71cf796368a081a"/>
    <w:p>
      <w:pPr>
        <w:pStyle w:val="Heading1"/>
      </w:pPr>
      <w:r>
        <w:t xml:space="preserve">Age-Band-Stratified Temporal Back-Test (Reviewer #10)</w:t>
      </w:r>
    </w:p>
    <w:p>
      <w:pPr>
        <w:pStyle w:val="TableCaption"/>
      </w:pPr>
      <w:r>
        <w:rPr>
          <w:b/>
          <w:bCs/>
        </w:rPr>
        <w:t xml:space="preserve">Appendix Table S31.</w:t>
      </w:r>
      <w:r>
        <w:t xml:space="preserve"> </w:t>
      </w:r>
      <w:r>
        <w:t xml:space="preserve">Age-band-stratified closed-cohort temporal back-test. The board-certified cohort active in 2016 is frozen and rolled forward to 2021 under the age-band hazard model (pure survival, no entrants); the predicted number still active is compared with the observed number within each base-year age band. Calibration is close in the well-populated bands (within a few percent through age 59, which hold the large majority of physicians); the oldest bands contain as few as four to nine physicians per cohort, so their percentage errors reflect small counts rather than model misfit. ABU net-new urogynecologists are absent from the historical back-test cohort (no pre-2024 roster) and are not included.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31. Age-band-stratified closed-cohort temporal back-test. The board-certified cohort active in 2016 is frozen and rolled forward to 2021 under the age-band hazard model (pure survival, no entrants); the predicted number still active is compared with the observed number within each base-year age band. Calibration is close in the well-populated bands (within a few percent through age 59, which hold the large majority of physicians); the oldest bands contain as few as four to nine physicians per cohort, so their percentage errors reflect small counts rather than model misfit. ABU net-new urogynecologists are absent from the historical back-test cohort (no pre-2024 roster) and are not included."/>
      </w:tblPr>
      <w:tblGrid>
        <w:gridCol w:w="644"/>
        <w:gridCol w:w="1473"/>
        <w:gridCol w:w="920"/>
        <w:gridCol w:w="1933"/>
        <w:gridCol w:w="2026"/>
        <w:gridCol w:w="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band (2016)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at 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 active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active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55-59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65-69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55-59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65-69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-13.5</w:t>
            </w:r>
          </w:p>
        </w:tc>
      </w:tr>
    </w:tbl>
    <w:bookmarkEnd w:id="47"/>
    <w:bookmarkStart w:id="48" w:name="Xc62fc38b593e6807a394a44560dc1a4f1dd2aa5"/>
    <w:p>
      <w:pPr>
        <w:pStyle w:val="Heading1"/>
      </w:pPr>
      <w:r>
        <w:t xml:space="preserve">Appendix S16. Evidence Supporting Scenarios</w:t>
      </w:r>
    </w:p>
    <w:p>
      <w:pPr>
        <w:pStyle w:val="FirstParagraph"/>
      </w:pPr>
      <w:r>
        <w:t xml:space="preserve">Modeled after Fraher et al. (Pediatrics 2024;153[S2]:e2023063678C, Table 5), this</w:t>
      </w:r>
      <w:r>
        <w:t xml:space="preserve"> </w:t>
      </w:r>
      <w:r>
        <w:t xml:space="preserve">table consolidates the scenarios examined in this supplement: the concrete change</w:t>
      </w:r>
      <w:r>
        <w:t xml:space="preserve"> </w:t>
      </w:r>
      <w:r>
        <w:t xml:space="preserve">each applies to the projection and the evidence used to inform its magnitude and</w:t>
      </w:r>
      <w:r>
        <w:t xml:space="preserve"> </w:t>
      </w:r>
      <w:r>
        <w:t xml:space="preserve">direction. Every scenario is projected through the same age-structured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wc_project</w:t>
      </w:r>
      <w:r>
        <w:t xml:space="preserve">, horizon 4, 64 entrants per year at age 34) with a Binomial Monte</w:t>
      </w:r>
      <w:r>
        <w:t xml:space="preserve"> </w:t>
      </w:r>
      <w:r>
        <w:t xml:space="preserve">Carlo 95% interval at a fixed seed, so a change in the projected workforce reflects</w:t>
      </w:r>
      <w:r>
        <w:t xml:space="preserve"> </w:t>
      </w:r>
      <w:r>
        <w:t xml:space="preserve">the stated input rather than the model. The detailed results for each scenario</w:t>
      </w:r>
      <w:r>
        <w:t xml:space="preserve"> </w:t>
      </w:r>
      <w:r>
        <w:t xml:space="preserve">appear in the preceding appendices.</w:t>
      </w:r>
    </w:p>
    <w:p>
      <w:pPr>
        <w:pStyle w:val="BodyText"/>
      </w:pPr>
      <w:r>
        <w:t xml:space="preserve">Full data lineage for the scenario analysis (producing-code SHA-256, engine SHA-256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wc_project</w:t>
      </w:r>
      <w:r>
        <w:t xml:space="preserve"> </w:t>
      </w:r>
      <w:r>
        <w:t xml:space="preserve">equivalence, the mufflyaccess SSOT contract version and source</w:t>
      </w:r>
      <w:r>
        <w:t xml:space="preserve"> </w:t>
      </w:r>
      <w:r>
        <w:t xml:space="preserve">commit, input and output file hashes, the exact cohort-definition rules, and all run</w:t>
      </w:r>
      <w:r>
        <w:t xml:space="preserve"> </w:t>
      </w:r>
      <w:r>
        <w:t xml:space="preserve">parameters including the fixed Monte Carlo seed) is recorded in a machine-readable</w:t>
      </w:r>
      <w:r>
        <w:t xml:space="preserve"> </w:t>
      </w:r>
      <w:r>
        <w:t xml:space="preserve">provenance record,</w:t>
      </w:r>
      <w:r>
        <w:t xml:space="preserve"> </w:t>
      </w:r>
      <w:r>
        <w:rPr>
          <w:rStyle w:val="VerbatimChar"/>
        </w:rPr>
        <w:t xml:space="preserve">scripts/urps_baseline_scenarios/scenario_provenance.json</w:t>
      </w:r>
      <w:r>
        <w:t xml:space="preserve">,</w:t>
      </w:r>
      <w:r>
        <w:t xml:space="preserve"> </w:t>
      </w:r>
      <w:r>
        <w:t xml:space="preserve">regenerated with the tables so it can never silently drift from them.</w:t>
      </w:r>
    </w:p>
    <w:p>
      <w:pPr>
        <w:pStyle w:val="TableCaption"/>
      </w:pPr>
      <w:r>
        <w:rPr>
          <w:b/>
          <w:bCs/>
        </w:rPr>
        <w:t xml:space="preserve">Appendix Table S32.</w:t>
      </w:r>
      <w:r>
        <w:t xml:space="preserve"> </w:t>
      </w:r>
      <w:r>
        <w:t xml:space="preserve">Evidence supporting scenarios for the urogynecology workforce projection. The primary specification is marked in each scenario family. Modeled after Fraher et al., Pediatrics 2024;153(S2), Table 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S32. Evidence supporting scenarios for the urogynecology workforce projection. The primary specification is marked in each scenario family. Modeled after Fraher et al., Pediatrics 2024;153(S2), Table 5."/>
      </w:tblPr>
      <w:tblGrid>
        <w:gridCol w:w="948"/>
        <w:gridCol w:w="3220"/>
        <w:gridCol w:w="37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workforce estimand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2023 active URPS = 1,306 national (primary); (2) 2025 roster snapshot = 1,339; (3) published legacy cohort = 1,295 (frozen, not recalculated)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 mufflyaccess workforce artifact, contract v3.0.0 (ABOG subspecialty-cert basis; ABU net-new deduplicated). Frozen 1,295 reproduces the published SGS projection.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Increase and decrease in fellowship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(4) status-quo 64 completions/y (primary); (5) increase to 74/y; (6) decrease to 61/y; (7) cohort-accounting 66/y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ACGME accredited URPS fellowship completions, mean of AY2020-2024 (61,66,63,66); NRMP certified-position benchmark (74) for the optimistic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Graduate entry into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(8) 100% enter practice immediately (primary); (9) 85% enter; (10) 70% conversion floor; (11) transition-ramped entry over ~5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 graduates enter active U.S. practice immediately; the ramped curve defers early-career build-up and reproduces the transition-adjusted projection.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Increase in departure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(12) age-band hazard x1.0 (primary); (13) x1.5; (14) x2.0 (stress); departure at a 2-, 3-, or 4-year inactivity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Empirically estimated pooled GO+URPS age-band departure hazards, events/person-years 2016-2021 (35 URPS departures / 6,403 person-years).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 estimation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(15) partially pooled GO+URPS hierarchical (primary); (16) fully pooled; (17) unpooled subspecialty-specific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per-band events make unpooled hazards unstable; hierarchical partial pooling borrows strength (unpooled 4.63 [2.67-5.87] vs pooled 5.38 [3.89-6.46]).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Death and departure under-ascertainment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(18) no mortality adjustment (primary); (19) add half of expected missed deaths; (20) add all expected missed deaths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Classified deaths near zero in administrative signals (under-ascertainment); expected mortality (~8.2 URPS deaths/y) added to observed departures as a bound.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 urology-pathway 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(21) ABU departures = ABOG hazard (primary); (22) ABU hazard x0.5; (23) ABU hazard x2.0; (24) ABOG-only cohort (1,031)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ABU-pathway-specific departure data exist; departure risk is bounded around the ABOG estimate.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Combination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(25) best case: +12.5% fellows, 100% entry, x0.5 ABU hazard; (26) worst case: 61/y, 70% entry, x2.0 departure, all missed deaths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for each contributing scenario detailed above; combinations bound plausible best- and worst-case futures.</w:t>
            </w:r>
          </w:p>
        </w:tc>
      </w:tr>
    </w:tbl>
    <w:bookmarkEnd w:id="48"/>
    <w:bookmarkStart w:id="61" w:name="Xab623368d97972f4355019ced92178fac5a5c21"/>
    <w:p>
      <w:pPr>
        <w:pStyle w:val="Heading1"/>
      </w:pPr>
      <w:r>
        <w:t xml:space="preserve">Appendix S17. Supplementary Figures Moved from the Main Text</w:t>
      </w:r>
    </w:p>
    <w:p>
      <w:pPr>
        <w:pStyle w:val="FirstParagraph"/>
      </w:pPr>
      <w:r>
        <w:t xml:space="preserve">To keep the main manuscript to three figures, the dynamic stock-and-flow schematic,</w:t>
      </w:r>
      <w:r>
        <w:t xml:space="preserve"> </w:t>
      </w:r>
      <w:r>
        <w:t xml:space="preserve">the age-composition and workforce-flow figure, the full completion-to-departure</w:t>
      </w:r>
      <w:r>
        <w:t xml:space="preserve"> </w:t>
      </w:r>
      <w:r>
        <w:t xml:space="preserve">robustness grid (both cohorts, including the gynecologic oncology comparator), and the</w:t>
      </w:r>
      <w:r>
        <w:t xml:space="preserve"> </w:t>
      </w:r>
      <w:r>
        <w:t xml:space="preserve">per-100,000-women coverage measure are reported here.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Supplemental Figure S1. Design of the dynamic age-structured stock-and-flow supply forecast. The estimated 2025 active workforce is aged one year, the pooled age-band departure hazard removes departures, and annual fellowship completers enter, each year across 2025-2029 (extended to 2050 as an exploratory scenario). URPS, urogynecology and reconstructive pelvic surgery; GO, gynecologic oncology; ACGME, Accreditation Council for Graduate Medical Education; FTE, full-time equivalent." title="" id="50" name="Picture"/>
            <a:graphic>
              <a:graphicData uri="http://schemas.openxmlformats.org/drawingml/2006/picture">
                <pic:pic>
                  <pic:nvPicPr>
                    <pic:cNvPr descr="supplement_WORKFORCE_CLIFF_files/supplement_WORKFORCE_CLIFF_files/figure-docx/sfig-stock-flow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Supplemental Figure S1.</w:t>
      </w:r>
      <w:r>
        <w:t xml:space="preserve"> </w:t>
      </w:r>
      <w:r>
        <w:t xml:space="preserve">Design of the dynamic age-structured stock-and-flow supply forecast. The estimated 2025 active workforce is aged one year, the pooled age-band departure hazard removes departures, and annual fellowship completers enter, each year across 2025-2029 (extended to 2050 as an exploratory scenario). URPS, urogynecology and reconstructive pelvic surgery; GO, gynecologic oncology; ACGME, Accreditation Council for Graduate Medical Education; FTE, full-time equivalent.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Supplemental Figure S2. Projected urogynecology age composition (upper panel; black line, total projected headcount) with annual fellowship entrants (above zero) and expected departures (below zero; lower panel). The shaded region is the exploratory scenario extension from 2030. PFD, pelvic floor disorder." title="" id="53" name="Picture"/>
            <a:graphic>
              <a:graphicData uri="http://schemas.openxmlformats.org/drawingml/2006/picture">
                <pic:pic>
                  <pic:nvPicPr>
                    <pic:cNvPr descr="supplement_WORKFORCE_CLIFF_files/supplement_WORKFORCE_CLIFF_files/figure-docx/sfig-age-conveyor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Supplemental Figure S2.</w:t>
      </w:r>
      <w:r>
        <w:t xml:space="preserve"> </w:t>
      </w:r>
      <w:r>
        <w:t xml:space="preserve">Projected urogynecology age composition (upper panel; black line, total projected headcount) with annual fellowship entrants (above zero) and expected departures (below zero; lower panel). The shaded region is the exploratory scenario extension from 2030. PFD, pelvic floor disorder.</w:t>
      </w:r>
    </w:p>
    <w:p>
      <w:pPr>
        <w:pStyle w:val="CaptionedFigure"/>
      </w:pPr>
      <w:r>
        <w:drawing>
          <wp:inline>
            <wp:extent cx="5334000" cy="3852333"/>
            <wp:effectExtent b="0" l="0" r="0" t="0"/>
            <wp:docPr descr="Supplemental Figure S3. Completion-to-departure robustness frontier for urogynecology and the gynecologic oncology comparator, crossing the observation window, graduate-to-practice conversion, and departure-rate multiplier. Cells above 1.0 exceed one-for-one replacement; the ringed cell is the primary analysis." title="" id="56" name="Picture"/>
            <a:graphic>
              <a:graphicData uri="http://schemas.openxmlformats.org/drawingml/2006/picture">
                <pic:pic>
                  <pic:nvPicPr>
                    <pic:cNvPr descr="supplement_WORKFORCE_CLIFF_files/supplement_WORKFORCE_CLIFF_files/figure-docx/sfig-robustness-frontier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Supplemental Figure S3.</w:t>
      </w:r>
      <w:r>
        <w:t xml:space="preserve"> </w:t>
      </w:r>
      <w:r>
        <w:t xml:space="preserve">Completion-to-departure robustness frontier for urogynecology and the gynecologic oncology comparator, crossing the observation window, graduate-to-practice conversion, and departure-rate multiplier. Cells above 1.0 exceed one-for-one replacement; the ringed cell is the primary analysis.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Supplemental Figure S4. Urogynecologists per 100,000 women aged 65 years or older, 2025-2050 (exploratory scenario extension from 2030, shaded), with the 95% Monte Carlo uncertainty band." title="" id="59" name="Picture"/>
            <a:graphic>
              <a:graphicData uri="http://schemas.openxmlformats.org/drawingml/2006/picture">
                <pic:pic>
                  <pic:nvPicPr>
                    <pic:cNvPr descr="supplement_WORKFORCE_CLIFF_files/supplement_WORKFORCE_CLIFF_files/figure-docx/sfig-per100k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Supplemental Figure S4.</w:t>
      </w:r>
      <w:r>
        <w:t xml:space="preserve"> </w:t>
      </w:r>
      <w:r>
        <w:t xml:space="preserve">Urogynecologists per 100,000 women aged 65 years or older, 2025-2050 (exploratory scenario extension from 2030, shaded), with the 95% Monte Carlo uncertainty band.</w:t>
      </w:r>
    </w:p>
    <w:bookmarkEnd w:id="61"/>
    <w:bookmarkStart w:id="62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All input data sources are publicly available. Board certification, NPI, practice location, and Medicare and Open Payments records are identifiable professional records; reported analytic results are aggregated. The consolidated</w:t>
      </w:r>
      <w:r>
        <w:t xml:space="preserve"> </w:t>
      </w:r>
      <w:r>
        <w:t xml:space="preserve">workforce-projection table analyzed here is version-controlled with the analysis</w:t>
      </w:r>
      <w:r>
        <w:t xml:space="preserve"> </w:t>
      </w:r>
      <w:r>
        <w:t xml:space="preserve">code and is validated on load by a fail-closed data 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manuscript/R/workforce_data_contract.R</w:t>
      </w:r>
      <w:r>
        <w:t xml:space="preserve">); primary workforce-projection values are</w:t>
      </w:r>
      <w:r>
        <w:t xml:space="preserve"> </w:t>
      </w:r>
      <w:r>
        <w:t xml:space="preserve">generated programmatically from that consolidated dataset, and secondary sensitivity</w:t>
      </w:r>
      <w:r>
        <w:t xml:space="preserve"> </w:t>
      </w:r>
      <w:r>
        <w:t xml:space="preserve">analyses from their respective version-controlled analytic outputs.</w:t>
      </w:r>
    </w:p>
    <w:bookmarkEnd w:id="62"/>
    <w:bookmarkStart w:id="85" w:name="supplemental-references"/>
    <w:p>
      <w:pPr>
        <w:pStyle w:val="Heading1"/>
      </w:pPr>
      <w:r>
        <w:t xml:space="preserve">Supplemental References</w:t>
      </w:r>
    </w:p>
    <w:bookmarkStart w:id="84" w:name="refs"/>
    <w:bookmarkStart w:id="64" w:name="ref-temkin2022ft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Temkin SM, Chapman-Davis E, Nair N, et al. Creating work environments where people of all genders in gynecologic oncology can thrive: An</w:t>
      </w:r>
      <w:r>
        <w:t xml:space="preserve"> </w:t>
      </w:r>
      <w:r>
        <w:t xml:space="preserve">SGO</w:t>
      </w:r>
      <w:r>
        <w:t xml:space="preserve"> </w:t>
      </w:r>
      <w:r>
        <w:t xml:space="preserve">evidence-based review.</w:t>
      </w:r>
      <w:r>
        <w:t xml:space="preserve"> </w:t>
      </w:r>
      <w:r>
        <w:rPr>
          <w:i/>
          <w:iCs/>
        </w:rPr>
        <w:t xml:space="preserve">Gynecol Oncol</w:t>
      </w:r>
      <w:r>
        <w:t xml:space="preserve">. 2022;164(3):473-480. doi:</w:t>
      </w:r>
      <w:hyperlink r:id="rId63">
        <w:r>
          <w:rPr>
            <w:rStyle w:val="Hyperlink"/>
          </w:rPr>
          <w:t xml:space="preserve">10.1016/j.ygyno.2021.12.032</w:t>
        </w:r>
      </w:hyperlink>
    </w:p>
    <w:bookmarkEnd w:id="64"/>
    <w:bookmarkStart w:id="65" w:name="ref-aua2024fpmr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American Urological Association. Shedding light on physician burnout in female pelvic medicine and reconstructive surgery. Published online 2024.</w:t>
      </w:r>
    </w:p>
    <w:bookmarkEnd w:id="65"/>
    <w:bookmarkStart w:id="67" w:name="ref-benedetti2004productivity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Benedetti TJ, Baldwin LM, Andrilla CHA, Hart LG. The productivity of washington state’s obstetrician-gynecologist workforce: Does gender make a difference?</w:t>
      </w:r>
      <w:r>
        <w:t xml:space="preserve"> </w:t>
      </w:r>
      <w:r>
        <w:rPr>
          <w:i/>
          <w:iCs/>
        </w:rPr>
        <w:t xml:space="preserve">Obstet Gynecol</w:t>
      </w:r>
      <w:r>
        <w:t xml:space="preserve">. 2004;103(3):499-505. doi:</w:t>
      </w:r>
      <w:hyperlink r:id="rId66">
        <w:r>
          <w:rPr>
            <w:rStyle w:val="Hyperlink"/>
          </w:rPr>
          <w:t xml:space="preserve">10.1097/01.AOG.0000113617.94134.fd</w:t>
        </w:r>
      </w:hyperlink>
    </w:p>
    <w:bookmarkEnd w:id="67"/>
    <w:bookmarkStart w:id="69" w:name="ref-romero2025feminizatio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Romero IL, Phelan ST, Xierali IM, Kenton K, Tucker JM, Rayburn WF. Changes in the numbers of male and female obstetricians-gynecologists and their implications.</w:t>
      </w:r>
      <w:r>
        <w:t xml:space="preserve"> </w:t>
      </w:r>
      <w:r>
        <w:rPr>
          <w:i/>
          <w:iCs/>
        </w:rPr>
        <w:t xml:space="preserve">Obstet Gynecol Clin North Am</w:t>
      </w:r>
      <w:r>
        <w:t xml:space="preserve">. 2025;52(4):735-743. doi:</w:t>
      </w:r>
      <w:hyperlink r:id="rId68">
        <w:r>
          <w:rPr>
            <w:rStyle w:val="Hyperlink"/>
          </w:rPr>
          <w:t xml:space="preserve">10.1016/j.ogc.2025.07.014</w:t>
        </w:r>
      </w:hyperlink>
    </w:p>
    <w:bookmarkEnd w:id="69"/>
    <w:bookmarkStart w:id="71" w:name="ref-muzyka2025generational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Muzyka L, Granek L, Limoges N, Lane J, Lei B, Durham SR. Revisiting the pediatric neurosurgical workforce: An update after 15 years and analysis of generational change.</w:t>
      </w:r>
      <w:r>
        <w:t xml:space="preserve"> </w:t>
      </w:r>
      <w:r>
        <w:rPr>
          <w:i/>
          <w:iCs/>
        </w:rPr>
        <w:t xml:space="preserve">Neurosurgery</w:t>
      </w:r>
      <w:r>
        <w:t xml:space="preserve">. 2025;97(3):700-709. doi:</w:t>
      </w:r>
      <w:hyperlink r:id="rId70">
        <w:r>
          <w:rPr>
            <w:rStyle w:val="Hyperlink"/>
          </w:rPr>
          <w:t xml:space="preserve">10.1227/neu.0000000000003448</w:t>
        </w:r>
      </w:hyperlink>
    </w:p>
    <w:bookmarkEnd w:id="71"/>
    <w:bookmarkStart w:id="73" w:name="ref-poushay2018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Poushay HM, Kagedan DJ, Hallet J, et al. Why do general surgeons decide to retire?:</w:t>
      </w:r>
      <w:r>
        <w:t xml:space="preserve"> </w:t>
      </w:r>
      <w:r>
        <w:t xml:space="preserve">A</w:t>
      </w:r>
      <w:r>
        <w:t xml:space="preserve"> </w:t>
      </w:r>
      <w:r>
        <w:t xml:space="preserve">population-level survey.</w:t>
      </w:r>
      <w:r>
        <w:t xml:space="preserve"> </w:t>
      </w:r>
      <w:r>
        <w:rPr>
          <w:i/>
          <w:iCs/>
        </w:rPr>
        <w:t xml:space="preserve">Ann Surg</w:t>
      </w:r>
      <w:r>
        <w:t xml:space="preserve">. 2018;267(1):e4-e5. doi:</w:t>
      </w:r>
      <w:hyperlink r:id="rId72">
        <w:r>
          <w:rPr>
            <w:rStyle w:val="Hyperlink"/>
          </w:rPr>
          <w:t xml:space="preserve">10.1097/SLA.0000000000002467</w:t>
        </w:r>
      </w:hyperlink>
    </w:p>
    <w:bookmarkEnd w:id="73"/>
    <w:bookmarkStart w:id="75" w:name="ref-conn2018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Gotlib Conn L, Wright FC. Retirement plans and perspectives among general surgeons: A qualitative assessment.</w:t>
      </w:r>
      <w:r>
        <w:t xml:space="preserve"> </w:t>
      </w:r>
      <w:r>
        <w:rPr>
          <w:i/>
          <w:iCs/>
        </w:rPr>
        <w:t xml:space="preserve">Can J Surg</w:t>
      </w:r>
      <w:r>
        <w:t xml:space="preserve">. 2018;61(5):319-325. doi:</w:t>
      </w:r>
      <w:hyperlink r:id="rId74">
        <w:r>
          <w:rPr>
            <w:rStyle w:val="Hyperlink"/>
          </w:rPr>
          <w:t xml:space="preserve">10.1503/cjs.011217</w:t>
        </w:r>
      </w:hyperlink>
    </w:p>
    <w:bookmarkEnd w:id="75"/>
    <w:bookmarkStart w:id="77" w:name="ref-greenfield1994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Greenfield LJ, Proctor MC. Attitudes toward retirement.</w:t>
      </w:r>
      <w:r>
        <w:t xml:space="preserve"> </w:t>
      </w:r>
      <w:r>
        <w:t xml:space="preserve">A</w:t>
      </w:r>
      <w:r>
        <w:t xml:space="preserve"> </w:t>
      </w:r>
      <w:r>
        <w:t xml:space="preserve">survey of the</w:t>
      </w:r>
      <w:r>
        <w:t xml:space="preserve"> </w:t>
      </w:r>
      <w:r>
        <w:t xml:space="preserve">American</w:t>
      </w:r>
      <w:r>
        <w:t xml:space="preserve"> </w:t>
      </w:r>
      <w:r>
        <w:t xml:space="preserve">Surgical</w:t>
      </w:r>
      <w:r>
        <w:t xml:space="preserve"> </w:t>
      </w:r>
      <w:r>
        <w:t xml:space="preserve">Association</w:t>
      </w:r>
      <w:r>
        <w:t xml:space="preserve">.</w:t>
      </w:r>
      <w:r>
        <w:t xml:space="preserve"> </w:t>
      </w:r>
      <w:r>
        <w:rPr>
          <w:i/>
          <w:iCs/>
        </w:rPr>
        <w:t xml:space="preserve">Ann Surg</w:t>
      </w:r>
      <w:r>
        <w:t xml:space="preserve">. 1994;220(3):382-390. doi:</w:t>
      </w:r>
      <w:hyperlink r:id="rId76">
        <w:r>
          <w:rPr>
            <w:rStyle w:val="Hyperlink"/>
          </w:rPr>
          <w:t xml:space="preserve">10.1097/00000658-199409000-00014</w:t>
        </w:r>
      </w:hyperlink>
    </w:p>
    <w:bookmarkEnd w:id="77"/>
    <w:bookmarkStart w:id="79" w:name="ref-acog2018latecareer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American College of Obstetricians and Gynecologists.</w:t>
      </w:r>
      <w:r>
        <w:t xml:space="preserve"> </w:t>
      </w:r>
      <w:r>
        <w:t xml:space="preserve">ACOG</w:t>
      </w:r>
      <w:r>
        <w:t xml:space="preserve"> </w:t>
      </w:r>
      <w:r>
        <w:t xml:space="preserve">Committee</w:t>
      </w:r>
      <w:r>
        <w:t xml:space="preserve"> </w:t>
      </w:r>
      <w:r>
        <w:t xml:space="preserve">Opinion</w:t>
      </w:r>
      <w:r>
        <w:t xml:space="preserve"> </w:t>
      </w:r>
      <w:r>
        <w:t xml:space="preserve">no. 739:</w:t>
      </w:r>
      <w:r>
        <w:t xml:space="preserve"> </w:t>
      </w:r>
      <w:r>
        <w:t xml:space="preserve">The</w:t>
      </w:r>
      <w:r>
        <w:t xml:space="preserve"> </w:t>
      </w:r>
      <w:r>
        <w:t xml:space="preserve">late-career obstetrician-gynecologist.</w:t>
      </w:r>
      <w:r>
        <w:t xml:space="preserve"> </w:t>
      </w:r>
      <w:r>
        <w:rPr>
          <w:i/>
          <w:iCs/>
        </w:rPr>
        <w:t xml:space="preserve">Obstet Gynecol</w:t>
      </w:r>
      <w:r>
        <w:t xml:space="preserve">. 2018;131(6):e200-e204. doi:</w:t>
      </w:r>
      <w:hyperlink r:id="rId78">
        <w:r>
          <w:rPr>
            <w:rStyle w:val="Hyperlink"/>
          </w:rPr>
          <w:t xml:space="preserve">10.1097/AOG.0000000000002643</w:t>
        </w:r>
      </w:hyperlink>
    </w:p>
    <w:bookmarkEnd w:id="79"/>
    <w:bookmarkStart w:id="81" w:name="ref-elemosho2026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Elemosho A, Chatzipanagiotou OP, Angeramo CA, et al.</w:t>
      </w:r>
      <w:r>
        <w:t xml:space="preserve"> A national analysis of trends and factors associated with surgeon attrition in the united states.</w:t>
      </w:r>
      <w:r>
        <w:t xml:space="preserve"> </w:t>
      </w:r>
      <w:r>
        <w:rPr>
          <w:i/>
          <w:iCs/>
        </w:rPr>
        <w:t xml:space="preserve">Journal of the American College of Surgeons</w:t>
      </w:r>
      <w:r>
        <w:t xml:space="preserve">. Published online 2026. doi:</w:t>
      </w:r>
      <w:hyperlink r:id="rId80">
        <w:r>
          <w:rPr>
            <w:rStyle w:val="Hyperlink"/>
          </w:rPr>
          <w:t xml:space="preserve">10.1097/XCS.0000000000001905</w:t>
        </w:r>
      </w:hyperlink>
    </w:p>
    <w:bookmarkEnd w:id="81"/>
    <w:bookmarkStart w:id="83" w:name="ref-hedden2017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Hedden L, Lavergne MR, McGrail KM, et al. Patterns of physician retirement and pre-retirement activity: A population-based cohort study.</w:t>
      </w:r>
      <w:r>
        <w:t xml:space="preserve"> </w:t>
      </w:r>
      <w:r>
        <w:rPr>
          <w:i/>
          <w:iCs/>
        </w:rPr>
        <w:t xml:space="preserve">CMAJ</w:t>
      </w:r>
      <w:r>
        <w:t xml:space="preserve">. 2017;189(49):E1517-E1523. doi:</w:t>
      </w:r>
      <w:hyperlink r:id="rId82">
        <w:r>
          <w:rPr>
            <w:rStyle w:val="Hyperlink"/>
          </w:rPr>
          <w:t xml:space="preserve">10.1503/cmaj.170231</w:t>
        </w:r>
      </w:hyperlink>
    </w:p>
    <w:bookmarkEnd w:id="83"/>
    <w:bookmarkEnd w:id="84"/>
    <w:bookmarkEnd w:id="85"/>
    <w:sectPr>
      <w:footerReference r:id="rIdGJFooter" w:type="default"/>
      <w:footnotePr>
        <w:numRestart w:val="eachSect"/>
      </w:footnotePr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bidi="ar-SA" w:eastAsia="zh-CN" w:val="en-US"/>
        <w:rFonts w:ascii="Times New Roman" w:cs="Times New Roman" w:hAnsi="Times New Roman"/>
        <w:sz w:val="24"/>
        <w:szCs w:val="24"/>
      </w:rPr>
    </w:rPrDefault>
    <w:pPrDefault>
      <w:pPr>
        <w:spacing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GJFooter" Target="footer1.xml" Type="http://schemas.openxmlformats.org/officeDocument/2006/relationships/footer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55" Target="media/rId55.png" /><Relationship Type="http://schemas.openxmlformats.org/officeDocument/2006/relationships/image" Id="rId49" Target="media/rId49.png" /><Relationship Type="http://schemas.openxmlformats.org/officeDocument/2006/relationships/hyperlink" Id="rId68" Target="https://doi.org/10.1016/j.ogc.2025.07.014" TargetMode="External" /><Relationship Type="http://schemas.openxmlformats.org/officeDocument/2006/relationships/hyperlink" Id="rId63" Target="https://doi.org/10.1016/j.ygyno.2021.12.032" TargetMode="External" /><Relationship Type="http://schemas.openxmlformats.org/officeDocument/2006/relationships/hyperlink" Id="rId76" Target="https://doi.org/10.1097/00000658-199409000-00014" TargetMode="External" /><Relationship Type="http://schemas.openxmlformats.org/officeDocument/2006/relationships/hyperlink" Id="rId66" Target="https://doi.org/10.1097/01.AOG.0000113617.94134.fd" TargetMode="External" /><Relationship Type="http://schemas.openxmlformats.org/officeDocument/2006/relationships/hyperlink" Id="rId78" Target="https://doi.org/10.1097/AOG.0000000000002643" TargetMode="External" /><Relationship Type="http://schemas.openxmlformats.org/officeDocument/2006/relationships/hyperlink" Id="rId72" Target="https://doi.org/10.1097/SLA.0000000000002467" TargetMode="External" /><Relationship Type="http://schemas.openxmlformats.org/officeDocument/2006/relationships/hyperlink" Id="rId80" Target="https://doi.org/10.1097/XCS.0000000000001905" TargetMode="External" /><Relationship Type="http://schemas.openxmlformats.org/officeDocument/2006/relationships/hyperlink" Id="rId70" Target="https://doi.org/10.1227/neu.0000000000003448" TargetMode="External" /><Relationship Type="http://schemas.openxmlformats.org/officeDocument/2006/relationships/hyperlink" Id="rId74" Target="https://doi.org/10.1503/cjs.011217" TargetMode="External" /><Relationship Type="http://schemas.openxmlformats.org/officeDocument/2006/relationships/hyperlink" Id="rId82" Target="https://doi.org/10.1503/cmaj.17023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i.org/10.1016/j.ogc.2025.07.014" TargetMode="External" /><Relationship Type="http://schemas.openxmlformats.org/officeDocument/2006/relationships/hyperlink" Id="rId63" Target="https://doi.org/10.1016/j.ygyno.2021.12.032" TargetMode="External" /><Relationship Type="http://schemas.openxmlformats.org/officeDocument/2006/relationships/hyperlink" Id="rId76" Target="https://doi.org/10.1097/00000658-199409000-00014" TargetMode="External" /><Relationship Type="http://schemas.openxmlformats.org/officeDocument/2006/relationships/hyperlink" Id="rId66" Target="https://doi.org/10.1097/01.AOG.0000113617.94134.fd" TargetMode="External" /><Relationship Type="http://schemas.openxmlformats.org/officeDocument/2006/relationships/hyperlink" Id="rId78" Target="https://doi.org/10.1097/AOG.0000000000002643" TargetMode="External" /><Relationship Type="http://schemas.openxmlformats.org/officeDocument/2006/relationships/hyperlink" Id="rId72" Target="https://doi.org/10.1097/SLA.0000000000002467" TargetMode="External" /><Relationship Type="http://schemas.openxmlformats.org/officeDocument/2006/relationships/hyperlink" Id="rId80" Target="https://doi.org/10.1097/XCS.0000000000001905" TargetMode="External" /><Relationship Type="http://schemas.openxmlformats.org/officeDocument/2006/relationships/hyperlink" Id="rId70" Target="https://doi.org/10.1227/neu.0000000000003448" TargetMode="External" /><Relationship Type="http://schemas.openxmlformats.org/officeDocument/2006/relationships/hyperlink" Id="rId74" Target="https://doi.org/10.1503/cjs.011217" TargetMode="External" /><Relationship Type="http://schemas.openxmlformats.org/officeDocument/2006/relationships/hyperlink" Id="rId82" Target="https://doi.org/10.1503/cmaj.17023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Digital Content</dc:title>
  <dc:creator/>
  <cp:keywords/>
  <dcterms:created xsi:type="dcterms:W3CDTF">2026-08-14T12:04:40Z</dcterms:created>
  <dcterms:modified xsi:type="dcterms:W3CDTF">2026-08-14T12:04:40Z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references_WORKFORCE_CLIFF.bib</vt:lpwstr>
  </property>
  <property fmtid="{D5CDD505-2E9C-101B-9397-08002B2CF9AE}" pid="3" name="csl">
    <vt:lpwstr>csl/american-medical-association.csl</vt:lpwstr>
  </property>
  <property fmtid="{D5CDD505-2E9C-101B-9397-08002B2CF9AE}" pid="4" name="link-citations">
    <vt:lpwstr>True</vt:lpwstr>
  </property>
  <property fmtid="{D5CDD505-2E9C-101B-9397-08002B2CF9AE}" pid="5" name="output">
    <vt:lpwstr/>
  </property>
  <property fmtid="{D5CDD505-2E9C-101B-9397-08002B2CF9AE}" pid="6" name="subtitle">
    <vt:lpwstr>Supplemental Digital Content for Projected Clinical-Practice Departure and Fellowship Pipeline Balance in Gynecologic Oncology and Urogynecology, 2025-2029, Including Exploratory MIGS Analyses</vt:lpwstr>
  </property>
</Properties>
</file>