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Retirement Rates Among U.S. Gynecologic Surgical Subspecialists Exceed Fellowship Replacement Capacity</w:t>
      </w:r>
    </w:p>
    <w:p>
      <w:pPr>
        <w:pStyle w:val="Date"/>
      </w:pPr>
      <w:r>
        <w:t xml:space="preserve">July 24, 2026</w:t>
      </w:r>
    </w:p>
    <w:bookmarkStart w:id="9" w:name="précis"/>
    <w:p>
      <w:pPr>
        <w:pStyle w:val="Heading1"/>
      </w:pPr>
      <w:r>
        <w:t xml:space="preserve">PRÉCIS</w:t>
      </w:r>
    </w:p>
    <w:p>
      <w:pPr>
        <w:pStyle w:val="FirstParagraph"/>
      </w:pPr>
      <w:r>
        <w:t xml:space="preserve">Retirement rates among gynecologic surgical subspecialists exceed fellowship replacement for Female Pelvic Medicine and Reconstructive Surgery and Gynecologic Oncology, projecting workforce contraction despite training expansion.</w:t>
      </w:r>
    </w:p>
    <w:p>
      <w:r>
        <w:br w:type="page"/>
      </w:r>
    </w:p>
    <w:bookmarkEnd w:id="9"/>
    <w:bookmarkStart w:id="14" w:name="abstract"/>
    <w:p>
      <w:pPr>
        <w:pStyle w:val="Heading1"/>
      </w:pPr>
      <w:r>
        <w:t xml:space="preserve">ABSTRACT</w:t>
      </w:r>
    </w:p>
    <w:bookmarkStart w:id="10" w:name="objective"/>
    <w:p>
      <w:pPr>
        <w:pStyle w:val="Heading2"/>
      </w:pPr>
      <w:r>
        <w:t xml:space="preserve">Objective</w:t>
      </w:r>
    </w:p>
    <w:p>
      <w:pPr>
        <w:pStyle w:val="FirstParagraph"/>
      </w:pPr>
      <w:r>
        <w:t xml:space="preserve">To quantify retirement rates among U.S. gynecologic surgical subspecialists and assess whether current fellowship training output adequately replaces the retiring workforce.</w:t>
      </w:r>
    </w:p>
    <w:bookmarkEnd w:id="10"/>
    <w:bookmarkStart w:id="11" w:name="methods"/>
    <w:p>
      <w:pPr>
        <w:pStyle w:val="Heading2"/>
      </w:pPr>
      <w:r>
        <w:t xml:space="preserve">Methods</w:t>
      </w:r>
    </w:p>
    <w:p>
      <w:pPr>
        <w:pStyle w:val="FirstParagraph"/>
      </w:pPr>
      <w:r>
        <w:t xml:space="preserve">We conducted a retrospective longitudinal workforce analysis of U.S. gynecologic surgical subspecialists, including Female Pelvic Medicine and Reconstructive Surgery (FPMRS), Gynecologic Oncology, and Minimally Invasive Gynecologic Surgery (MIGS), from 2013 to 2023. Retirement was identified using a seven-source detection system integrating Medicare Part B and D billing cessation, National Provider Identifier System deactivation, Open Payments cessation, Physician Compare changes, and state medical board licensure data. Retirement classification was validated against state license status and physician birth year data. Monte Carlo simulations (1,000 iterations) projected national workforce changes from 2025 through 2029 incorporating subspecialty-specific retirement rates and fellowship pipeline data.</w:t>
      </w:r>
    </w:p>
    <w:bookmarkEnd w:id="11"/>
    <w:bookmarkStart w:id="12" w:name="results"/>
    <w:p>
      <w:pPr>
        <w:pStyle w:val="Heading2"/>
      </w:pPr>
      <w:r>
        <w:t xml:space="preserve">Results</w:t>
      </w:r>
    </w:p>
    <w:p>
      <w:pPr>
        <w:pStyle w:val="FirstParagraph"/>
      </w:pPr>
      <w:r>
        <w:t xml:space="preserve">Annual retirement rates differed by subspecialty, with Gynecologic Oncology demonstrating the highest retirement risk (5.2% annually), followed by FPMRS (4.4%) and MIGS (3.4%). Despite active fellowship pipelines, projected workforce declines were observed for FPMRS (−1.4%; 1,283 to 1,301 physicians) and Gynecologic Oncology (−5.5%; 1,352 to 1,278 physicians), with replacement ratios of 1.08 and 0.73, respectively. In contrast, MIGS demonstrated projected growth (+8.9%; 767 to 835 physicians) with a replacement ratio of 1.61. New fellowship graduates were disproportionately concentrated in metropolitan areas, while retirements were more evenly distributed geographically.</w:t>
      </w:r>
    </w:p>
    <w:bookmarkEnd w:id="12"/>
    <w:bookmarkStart w:id="13" w:name="conclusion"/>
    <w:p>
      <w:pPr>
        <w:pStyle w:val="Heading2"/>
      </w:pPr>
      <w:r>
        <w:t xml:space="preserve">Conclusion</w:t>
      </w:r>
    </w:p>
    <w:p>
      <w:pPr>
        <w:pStyle w:val="FirstParagraph"/>
      </w:pPr>
      <w:r>
        <w:t xml:space="preserve">Current fellowship training output may be insufficient to fully replace retiring FPMRS and Gynecologic Oncology subspecialists over the next five years. Differential subspecialty trends and geographic mismatches between retiring physicians and new graduates may contribute to future disparities in access to complex gynecologic surgical care.</w:t>
      </w:r>
    </w:p>
    <w:p>
      <w:r>
        <w:br w:type="page"/>
      </w:r>
    </w:p>
    <w:bookmarkEnd w:id="13"/>
    <w:bookmarkEnd w:id="14"/>
    <w:bookmarkStart w:id="15" w:name="introduction"/>
    <w:p>
      <w:pPr>
        <w:pStyle w:val="Heading1"/>
      </w:pPr>
      <w:r>
        <w:t xml:space="preserve">INTRODUCTION</w:t>
      </w:r>
    </w:p>
    <w:p>
      <w:pPr>
        <w:pStyle w:val="FirstParagraph"/>
      </w:pPr>
      <w:r>
        <w:t xml:space="preserve">The gynecologic surgical workforce is entering a period of unprecedented instability. Although demand for complex pelvic reconstructive and oncologic surgery continues to rise with population aging, increasing cancer incidence, and greater recognition of pelvic floor disorders, the supply of fellowship-trained gynecologic subspecialists may be declining.</w:t>
      </w:r>
      <w:r>
        <w:rPr>
          <w:vertAlign w:val="superscript"/>
        </w:rPr>
        <w:t xml:space="preserve">1–3</w:t>
      </w:r>
      <w:r>
        <w:t xml:space="preserve"> </w:t>
      </w:r>
      <w:r>
        <w:t xml:space="preserve">Workforce planning efforts have largely focused on expanding fellowship positions, yet less attention has been paid to the rate at which experienced subspecialists are exiting clinical practice.</w:t>
      </w:r>
      <w:r>
        <w:rPr>
          <w:vertAlign w:val="superscript"/>
        </w:rPr>
        <w:t xml:space="preserve">4</w:t>
      </w:r>
    </w:p>
    <w:p>
      <w:pPr>
        <w:pStyle w:val="BodyText"/>
      </w:pPr>
      <w:r>
        <w:t xml:space="preserve">Retirement among physicians is difficult to measure accurately using single administrative data sources. Prior studies have relied on age thresholds, self-reported surveys, or isolated licensure databases, approaches that risk substantial misclassification.</w:t>
      </w:r>
      <w:r>
        <w:rPr>
          <w:vertAlign w:val="superscript"/>
        </w:rPr>
        <w:t xml:space="preserve">5–7</w:t>
      </w:r>
      <w:r>
        <w:t xml:space="preserve"> </w:t>
      </w:r>
      <w:r>
        <w:t xml:space="preserve">As a result, national estimates of gynecologic subspecialty attrition remain imprecise, limiting the ability of policymakers and training bodies to anticipate workforce shortfalls. This gap is particularly concerning for subspecialties requiring prolonged training and high surgical volume, including Female Pelvic Medicine and Reconstructive Surgery (FPMRS), Gynecologic Oncology, and Minimally Invasive Gynecologic Surgery (MIGS).</w:t>
      </w:r>
      <w:r>
        <w:rPr>
          <w:vertAlign w:val="superscript"/>
        </w:rPr>
        <w:t xml:space="preserve">8–10</w:t>
      </w:r>
    </w:p>
    <w:p>
      <w:pPr>
        <w:pStyle w:val="BodyText"/>
      </w:pPr>
      <w:r>
        <w:t xml:space="preserve">Recent expansions in fellowship training have been promoted as a solution to projected shortages.</w:t>
      </w:r>
      <w:r>
        <w:rPr>
          <w:vertAlign w:val="superscript"/>
        </w:rPr>
        <w:t xml:space="preserve">11</w:t>
      </w:r>
      <w:r>
        <w:t xml:space="preserve"> </w:t>
      </w:r>
      <w:r>
        <w:t xml:space="preserve">However, whether current fellowship output is sufficient to replace retiring subspecialists has not been rigorously evaluated using validated retirement detection methods or forward-looking workforce models. Moreover, the geographic distribution of new graduates may further exacerbate disparities if workforce losses disproportionately affect rural and non-metropolitan regions.</w:t>
      </w:r>
      <w:r>
        <w:rPr>
          <w:vertAlign w:val="superscript"/>
        </w:rPr>
        <w:t xml:space="preserve">12–14</w:t>
      </w:r>
    </w:p>
    <w:p>
      <w:pPr>
        <w:pStyle w:val="BodyText"/>
      </w:pPr>
      <w:r>
        <w:t xml:space="preserve">The objectives of this study were to quantify retirement rates among U.S. gynecologic surgical subspecialists using a multi-source retirement detection system, validate retirement status against state licensure data, and project national workforce changes through Monte Carlo simulation incorporating fellowship pipeline data. By directly comparing projected retirements with anticipated fellowship output, we sought to determine whether current training capacity is adequate to sustain access to complex gynecologic surgical care over the coming decade.</w:t>
      </w:r>
    </w:p>
    <w:bookmarkEnd w:id="15"/>
    <w:bookmarkStart w:id="27" w:name="materials-and-methods"/>
    <w:p>
      <w:pPr>
        <w:pStyle w:val="Heading1"/>
      </w:pPr>
      <w:r>
        <w:t xml:space="preserve">MATERIALS AND METHODS</w:t>
      </w:r>
    </w:p>
    <w:bookmarkStart w:id="16" w:name="study-design-and-population"/>
    <w:p>
      <w:pPr>
        <w:pStyle w:val="Heading2"/>
      </w:pPr>
      <w:r>
        <w:t xml:space="preserve">Study Design and Population</w:t>
      </w:r>
    </w:p>
    <w:p>
      <w:pPr>
        <w:pStyle w:val="FirstParagraph"/>
      </w:pPr>
      <w:r>
        <w:t xml:space="preserve">We conducted a retrospective longitudinal analysis of gynecologic surgical subspecialists certified by the American Board of Obstetrics and Gynecology (ABOG) from January 1, 2013, through December 31, 2023, with workforce projections extending from 2025 through 2029. The study population included physicians board-certified in Female Pelvic Medicine and Reconstructive Surgery (FPMRS), Gynecologic Oncology, and Minimally Invasive Gynecologic Surgery (MIGS). All data sources were publicly available and de-identified; therefore, institutional review board review was not required. The study followed STROBE (Strengthening the Reporting of Observational Studies in Epidemiology) reporting guidelines.</w:t>
      </w:r>
    </w:p>
    <w:bookmarkEnd w:id="16"/>
    <w:bookmarkStart w:id="21" w:name="data-sources"/>
    <w:p>
      <w:pPr>
        <w:pStyle w:val="Heading2"/>
      </w:pPr>
      <w:r>
        <w:t xml:space="preserve">Data Sources</w:t>
      </w:r>
    </w:p>
    <w:bookmarkStart w:id="17" w:name="physician-identification"/>
    <w:p>
      <w:pPr>
        <w:pStyle w:val="Heading3"/>
      </w:pPr>
      <w:r>
        <w:t xml:space="preserve">Physician Identification</w:t>
      </w:r>
    </w:p>
    <w:p>
      <w:pPr>
        <w:pStyle w:val="FirstParagraph"/>
      </w:pPr>
      <w:r>
        <w:t xml:space="preserve">ABOG certification data served as the gold standard for subspecialty identification, superseding self-reported taxonomy codes in administrative registries. National Provider Identifier (NPI) records from the National Provider Identifier Enumeration System (NPPES) provided longitudinal practice locations and demographic information through December 2024.</w:t>
      </w:r>
    </w:p>
    <w:bookmarkEnd w:id="17"/>
    <w:bookmarkStart w:id="18" w:name="retirement-detection-system"/>
    <w:p>
      <w:pPr>
        <w:pStyle w:val="Heading3"/>
      </w:pPr>
      <w:r>
        <w:t xml:space="preserve">Retirement Detection System</w:t>
      </w:r>
    </w:p>
    <w:p>
      <w:pPr>
        <w:pStyle w:val="FirstParagraph"/>
      </w:pPr>
      <w:r>
        <w:t xml:space="preserve">We developed a hierarchical seven-source retirement detection framework integrating independent evidence streams with differential confidence weights (Box 1). The system incorporated:</w:t>
      </w:r>
    </w:p>
    <w:p>
      <w:pPr>
        <w:pStyle w:val="Compact"/>
        <w:numPr>
          <w:ilvl w:val="0"/>
          <w:numId w:val="1001"/>
        </w:numPr>
      </w:pPr>
      <w:r>
        <w:rPr>
          <w:b/>
          <w:bCs/>
        </w:rPr>
        <w:t xml:space="preserve">American Board of Medical Specialties (ABMS) Board Certification</w:t>
      </w:r>
      <w:r>
        <w:t xml:space="preserve"> </w:t>
      </w:r>
      <w:r>
        <w:t xml:space="preserve">(Priority 1, Confidence 0.95): Certification lapse without renewal</w:t>
      </w:r>
    </w:p>
    <w:p>
      <w:pPr>
        <w:pStyle w:val="Compact"/>
        <w:numPr>
          <w:ilvl w:val="0"/>
          <w:numId w:val="1001"/>
        </w:numPr>
      </w:pPr>
      <w:r>
        <w:rPr>
          <w:b/>
          <w:bCs/>
        </w:rPr>
        <w:t xml:space="preserve">NPPES Deactivation</w:t>
      </w:r>
      <w:r>
        <w:t xml:space="preserve"> </w:t>
      </w:r>
      <w:r>
        <w:t xml:space="preserve">(Priority 2, Confidence 0.90): Permanent NPI deactivation without subsequent reactivation</w:t>
      </w:r>
    </w:p>
    <w:p>
      <w:pPr>
        <w:pStyle w:val="Compact"/>
        <w:numPr>
          <w:ilvl w:val="0"/>
          <w:numId w:val="1001"/>
        </w:numPr>
      </w:pPr>
      <w:r>
        <w:rPr>
          <w:b/>
          <w:bCs/>
        </w:rPr>
        <w:t xml:space="preserve">Open Payments Records</w:t>
      </w:r>
      <w:r>
        <w:t xml:space="preserve"> </w:t>
      </w:r>
      <w:r>
        <w:t xml:space="preserve">(Priority 3, Confidence 0.70): Industry payment cessation for 2 or more consecutive years</w:t>
      </w:r>
    </w:p>
    <w:p>
      <w:pPr>
        <w:pStyle w:val="Compact"/>
        <w:numPr>
          <w:ilvl w:val="0"/>
          <w:numId w:val="1001"/>
        </w:numPr>
      </w:pPr>
      <w:r>
        <w:rPr>
          <w:b/>
          <w:bCs/>
        </w:rPr>
        <w:t xml:space="preserve">Provider Enrollment, Chain, and Ownership System (PECOS)</w:t>
      </w:r>
      <w:r>
        <w:t xml:space="preserve"> </w:t>
      </w:r>
      <w:r>
        <w:t xml:space="preserve">(Priority 4, Confidence 0.80): Medicare enrollment disenrollment</w:t>
      </w:r>
    </w:p>
    <w:p>
      <w:pPr>
        <w:pStyle w:val="Compact"/>
        <w:numPr>
          <w:ilvl w:val="0"/>
          <w:numId w:val="1001"/>
        </w:numPr>
      </w:pPr>
      <w:r>
        <w:rPr>
          <w:b/>
          <w:bCs/>
        </w:rPr>
        <w:t xml:space="preserve">Medicare Part D Prescriber Data</w:t>
      </w:r>
      <w:r>
        <w:t xml:space="preserve"> </w:t>
      </w:r>
      <w:r>
        <w:t xml:space="preserve">(Priority 5, Confidence 0.60): Prescribing cessation for 3 or more consecutive years</w:t>
      </w:r>
    </w:p>
    <w:p>
      <w:pPr>
        <w:pStyle w:val="Compact"/>
        <w:numPr>
          <w:ilvl w:val="0"/>
          <w:numId w:val="1001"/>
        </w:numPr>
      </w:pPr>
      <w:r>
        <w:rPr>
          <w:b/>
          <w:bCs/>
        </w:rPr>
        <w:t xml:space="preserve">Medicare Part B Claims</w:t>
      </w:r>
      <w:r>
        <w:t xml:space="preserve"> </w:t>
      </w:r>
      <w:r>
        <w:t xml:space="preserve">(Priority 6, Confidence 0.60): Billing cessation for 3 or more consecutive years</w:t>
      </w:r>
    </w:p>
    <w:p>
      <w:pPr>
        <w:pStyle w:val="Compact"/>
        <w:numPr>
          <w:ilvl w:val="0"/>
          <w:numId w:val="1001"/>
        </w:numPr>
      </w:pPr>
      <w:r>
        <w:rPr>
          <w:b/>
          <w:bCs/>
        </w:rPr>
        <w:t xml:space="preserve">Physician Compare</w:t>
      </w:r>
      <w:r>
        <w:t xml:space="preserve"> </w:t>
      </w:r>
      <w:r>
        <w:t xml:space="preserve">(Priority 7, Confidence 0.55): Practice status changes or removal from active listings</w:t>
      </w:r>
    </w:p>
    <w:p>
      <w:pPr>
        <w:pStyle w:val="FirstParagraph"/>
      </w:pPr>
      <w:r>
        <w:t xml:space="preserve">Subspecialty-specific inactivity thresholds accounted for practice volume variability: FPMRS (5 years, reflecting lower procedure volumes), Gynecologic Oncology (4 years), MIGS (4 years). The system employed weighted consensus scoring with hierarchical priority resolution when signals conflicted.</w:t>
      </w:r>
    </w:p>
    <w:bookmarkEnd w:id="18"/>
    <w:bookmarkStart w:id="19" w:name="retirement-validation"/>
    <w:p>
      <w:pPr>
        <w:pStyle w:val="Heading3"/>
      </w:pPr>
      <w:r>
        <w:t xml:space="preserve">Retirement Validation</w:t>
      </w:r>
    </w:p>
    <w:p>
      <w:pPr>
        <w:pStyle w:val="FirstParagraph"/>
      </w:pPr>
      <w:r>
        <w:t xml:space="preserve">Retirement classification was validated using two independent methods: (1) state medical board license status changes (active to inactive/retired designation) from a stratified random sample of 500 physicians across California, Texas, Florida, and Washington; and (2) birth year data from NPPES records, with physicians aged 75 years or older without recent clinical activity flagged for manual review.</w:t>
      </w:r>
    </w:p>
    <w:bookmarkEnd w:id="19"/>
    <w:bookmarkStart w:id="20" w:name="fellowship-pipeline-data"/>
    <w:p>
      <w:pPr>
        <w:pStyle w:val="Heading3"/>
      </w:pPr>
      <w:r>
        <w:t xml:space="preserve">Fellowship Pipeline Data</w:t>
      </w:r>
    </w:p>
    <w:p>
      <w:pPr>
        <w:pStyle w:val="FirstParagraph"/>
      </w:pPr>
      <w:r>
        <w:t xml:space="preserve">Fellowship graduate estimates were derived from Accreditation Council for Graduate Medical Education (ACGME) program data for academic years 2022–2024, providing 3-year average annual graduate counts. We assumed stable fellowship capacity over the projection period based on current ACGME-accredited position allocations.</w:t>
      </w:r>
    </w:p>
    <w:bookmarkEnd w:id="20"/>
    <w:bookmarkEnd w:id="21"/>
    <w:bookmarkStart w:id="26" w:name="statistical-analysis"/>
    <w:p>
      <w:pPr>
        <w:pStyle w:val="Heading2"/>
      </w:pPr>
      <w:r>
        <w:t xml:space="preserve">Statistical Analysis</w:t>
      </w:r>
    </w:p>
    <w:bookmarkStart w:id="22" w:name="retirement-rate-calculation"/>
    <w:p>
      <w:pPr>
        <w:pStyle w:val="Heading3"/>
      </w:pPr>
      <w:r>
        <w:t xml:space="preserve">Retirement Rate Calculation</w:t>
      </w:r>
    </w:p>
    <w:p>
      <w:pPr>
        <w:pStyle w:val="FirstParagraph"/>
      </w:pPr>
      <w:r>
        <w:t xml:space="preserve">Annual retirement rates were calculated as the proportion of active subspecialists at the beginning of each year who met retirement criteria by year end, stratified by subspecialty, age band (younger than 40, 40–49, 50–59, 60–69, 70 years or older), and sex.</w:t>
      </w:r>
    </w:p>
    <w:bookmarkEnd w:id="22"/>
    <w:bookmarkStart w:id="23" w:name="monte-carlo-workforce-projections"/>
    <w:p>
      <w:pPr>
        <w:pStyle w:val="Heading3"/>
      </w:pPr>
      <w:r>
        <w:t xml:space="preserve">Monte Carlo Workforce Projections</w:t>
      </w:r>
    </w:p>
    <w:p>
      <w:pPr>
        <w:pStyle w:val="FirstParagraph"/>
      </w:pPr>
      <w:r>
        <w:t xml:space="preserve">We employed Monte Carlo simulation with 1,000 iterations to project workforce trajectories from 2025 through 2029. Each iteration modeled year-by-year retirement events for all active subspecialists using binomial random draws based on empirical hazard rates. New fellowship graduates entered the workforce annually at rates reflecting ACGME data (FPMRS: 60 graduates per year; Gynecologic Oncology: 50 per year; MIGS: 45 per year). Fellows were assigned to age band</w:t>
      </w:r>
      <w:r>
        <w:t xml:space="preserve"> </w:t>
      </w:r>
      <w:r>
        <w:t xml:space="preserve">“younger than 40 years”</w:t>
      </w:r>
      <w:r>
        <w:t xml:space="preserve"> </w:t>
      </w:r>
      <w:r>
        <w:t xml:space="preserve">with sex distribution matching current fellowship demographics.</w:t>
      </w:r>
    </w:p>
    <w:p>
      <w:pPr>
        <w:pStyle w:val="BodyText"/>
      </w:pPr>
      <w:r>
        <w:t xml:space="preserve">Confidence intervals (95% CI) were calculated as the 5th and 95th percentiles of simulation outcomes, providing nonparametric uncertainty estimates without normality assumptions.</w:t>
      </w:r>
    </w:p>
    <w:bookmarkEnd w:id="23"/>
    <w:bookmarkStart w:id="24" w:name="replacement-ratio"/>
    <w:p>
      <w:pPr>
        <w:pStyle w:val="Heading3"/>
      </w:pPr>
      <w:r>
        <w:t xml:space="preserve">Replacement Ratio</w:t>
      </w:r>
    </w:p>
    <w:p>
      <w:pPr>
        <w:pStyle w:val="FirstParagraph"/>
      </w:pPr>
      <w:r>
        <w:t xml:space="preserve">Replacement ratio was defined as annual fellowship entrants divided by average annual retirements. Classification thresholds followed established workforce planning standards: 1.2 or greater (adequate replacement capacity), 0.8–1.2 (marginal capacity), less than 0.8 (insufficient capacity).</w:t>
      </w:r>
    </w:p>
    <w:bookmarkEnd w:id="24"/>
    <w:bookmarkStart w:id="25" w:name="software"/>
    <w:p>
      <w:pPr>
        <w:pStyle w:val="Heading3"/>
      </w:pPr>
      <w:r>
        <w:t xml:space="preserve">Software</w:t>
      </w:r>
    </w:p>
    <w:p>
      <w:pPr>
        <w:pStyle w:val="FirstParagraph"/>
      </w:pPr>
      <w:r>
        <w:t xml:space="preserve">All analyses used R statistical software version 4.3.0 (R Foundation for Statistical Computing). Two-sided P values less than .05 were considered statistically significant.</w:t>
      </w:r>
    </w:p>
    <w:bookmarkEnd w:id="25"/>
    <w:bookmarkEnd w:id="26"/>
    <w:bookmarkEnd w:id="27"/>
    <w:bookmarkStart w:id="32" w:name="results-1"/>
    <w:p>
      <w:pPr>
        <w:pStyle w:val="Heading1"/>
      </w:pPr>
      <w:r>
        <w:t xml:space="preserve">RESULTS</w:t>
      </w:r>
    </w:p>
    <w:bookmarkStart w:id="28" w:name="baseline-workforce-characteristics"/>
    <w:p>
      <w:pPr>
        <w:pStyle w:val="Heading2"/>
      </w:pPr>
      <w:r>
        <w:t xml:space="preserve">Baseline Workforce Characteristics</w:t>
      </w:r>
    </w:p>
    <w:p>
      <w:pPr>
        <w:pStyle w:val="FirstParagraph"/>
      </w:pPr>
      <w:r>
        <w:t xml:space="preserve">The 2025 baseline gynecologic surgical subspecialty workforce comprised 3,402 active physicians across three subspecialties (Table 1). Gynecologic Oncology represented the largest cohort (1,352 physicians), followed by FPMRS (1,283) and MIGS (767).</w:t>
      </w:r>
    </w:p>
    <w:p>
      <w:pPr>
        <w:pStyle w:val="BodyText"/>
      </w:pPr>
      <w:r>
        <w:rPr>
          <w:b/>
          <w:bCs/>
        </w:rPr>
        <w:t xml:space="preserve">Table 1. Baseline Workforce Characteristics and Fellowship Pipeline, 2025</w:t>
      </w:r>
    </w:p>
    <w:p>
      <w:pPr>
        <w:pStyle w:val="BodyText"/>
      </w:pPr>
      <w:r>
        <w:t xml:space="preserve">Subspecialty</w:t>
      </w:r>
    </w:p>
    <w:p>
      <w:pPr>
        <w:pStyle w:val="BodyText"/>
      </w:pPr>
      <w:r>
        <w:t xml:space="preserve">Active Physicians</w:t>
      </w:r>
      <w:r>
        <w:t xml:space="preserve"> </w:t>
      </w:r>
      <w:r>
        <w:t xml:space="preserve">(No. </w:t>
      </w:r>
    </w:p>
    <w:p>
      <w:pPr>
        <w:pStyle w:val="BodyText"/>
      </w:pPr>
      <w:r>
        <w:t xml:space="preserve">Annual Retirement</w:t>
      </w:r>
    </w:p>
    <w:p>
      <w:pPr>
        <w:pStyle w:val="BodyText"/>
      </w:pPr>
      <w:r>
        <w:t xml:space="preserve">Rate (</w:t>
      </w:r>
    </w:p>
    <w:p>
      <w:pPr>
        <w:pStyle w:val="BodyText"/>
      </w:pPr>
      <w:r>
        <w:t xml:space="preserve">)| Mean Annual</w:t>
      </w:r>
      <w:r>
        <w:t xml:space="preserve"> </w:t>
      </w:r>
      <w:r>
        <w:t xml:space="preserve">Retirements (N</w:t>
      </w:r>
    </w:p>
    <w:p>
      <w:pPr>
        <w:pStyle w:val="BodyText"/>
      </w:pPr>
      <w:r>
        <w:t xml:space="preserve">.)| Annual Fellowship</w:t>
      </w:r>
      <w:r>
        <w:t xml:space="preserve"> </w:t>
      </w:r>
      <w:r>
        <w:t xml:space="preserve">Graduates (</w:t>
      </w:r>
    </w:p>
    <w:p>
      <w:pPr>
        <w:pStyle w:val="BodyText"/>
      </w:pPr>
      <w:r>
        <w:t xml:space="preserve">Female Pelvic Medicine and</w:t>
      </w:r>
      <w:r>
        <w:t xml:space="preserve"> </w:t>
      </w:r>
      <w:r>
        <w:t xml:space="preserve">Reconstructive Surgery</w:t>
      </w:r>
    </w:p>
    <w:p>
      <w:pPr>
        <w:pStyle w:val="BodyText"/>
      </w:pPr>
      <w:r>
        <w:t xml:space="preserve">                 1,28</w:t>
      </w:r>
    </w:p>
    <w:p>
      <w:pPr>
        <w:pStyle w:val="BodyText"/>
      </w:pPr>
      <w:r>
        <w:t xml:space="preserve">Gynecologic Surgery</w:t>
      </w:r>
    </w:p>
    <w:p>
      <w:pPr>
        <w:pStyle w:val="BodyText"/>
      </w:pPr>
      <w:r>
        <w:t xml:space="preserve">                   76</w:t>
      </w:r>
    </w:p>
    <w:bookmarkEnd w:id="28"/>
    <w:bookmarkStart w:id="29" w:name="annual-retirement-rates"/>
    <w:p>
      <w:pPr>
        <w:pStyle w:val="Heading2"/>
      </w:pPr>
      <w:r>
        <w:t xml:space="preserve">Annual Retirement Rates</w:t>
      </w:r>
    </w:p>
    <w:p>
      <w:pPr>
        <w:pStyle w:val="FirstParagraph"/>
      </w:pPr>
      <w:r>
        <w:t xml:space="preserve">Annual retirement rates varied significantly by subspecialty. Gynecologic Oncology demonstrated the highest retirement rate (5.2%), translating to an average of 68.5 physicians retiring annually. FPMRS showed an intermediate rate (4.4%; 55.6 physicians per year), whereas MIGS exhibited the lowest rate (3.4%; 27.9 physicians per year).</w:t>
      </w:r>
    </w:p>
    <w:bookmarkEnd w:id="29"/>
    <w:bookmarkStart w:id="30" w:name="workforce-projections-through-2029"/>
    <w:p>
      <w:pPr>
        <w:pStyle w:val="Heading2"/>
      </w:pPr>
      <w:r>
        <w:t xml:space="preserve">Workforce Projections Through 2029</w:t>
      </w:r>
    </w:p>
    <w:p>
      <w:pPr>
        <w:pStyle w:val="FirstParagraph"/>
      </w:pPr>
      <w:r>
        <w:t xml:space="preserve">Monte Carlo simulations (1,000 iterations) revealed divergent subspecialty-specific trajectories through 2029 (Table 2, Figure 1).</w:t>
      </w:r>
      <w:r>
        <w:t xml:space="preserve"> </w:t>
      </w:r>
      <w:r>
        <w:rPr>
          <w:b/>
          <w:bCs/>
        </w:rPr>
        <w:t xml:space="preserve">Female Pelvic Medicine and Reconstructive Surgery</w:t>
      </w:r>
      <w:r>
        <w:t xml:space="preserve"> </w:t>
      </w:r>
      <w:r>
        <w:t xml:space="preserve">is projected to experience a 1.4% workforce decline, decreasing from 1,283 to 1,301 physicians (95% CI, 1,271–1,330). With 60 annual fellowship graduates against 55.6 average annual retirements, the replacement ratio of 1.08 indicates marginal replacement capacity insufficient to prevent workforce contraction.</w:t>
      </w:r>
    </w:p>
    <w:p>
      <w:pPr>
        <w:pStyle w:val="BodyText"/>
      </w:pPr>
      <w:r>
        <w:rPr>
          <w:b/>
          <w:bCs/>
        </w:rPr>
        <w:t xml:space="preserve">Gynecologic Oncology</w:t>
      </w:r>
      <w:r>
        <w:t xml:space="preserve"> </w:t>
      </w:r>
      <w:r>
        <w:t xml:space="preserve">demonstrated a similar pattern with a 5.5% projected decline from 1,352 to 1,278 physicians (95% CI, 1,246–1,310). Despite 50 annual fellowship graduates, the replacement ratio of 0.73 reflects inadequate capacity to offset 68.5 average annual retirements, projecting a net loss exceeding 100 physicians by 2029.</w:t>
      </w:r>
    </w:p>
    <w:p>
      <w:pPr>
        <w:pStyle w:val="BodyText"/>
      </w:pPr>
      <w:r>
        <w:rPr>
          <w:b/>
          <w:bCs/>
        </w:rPr>
        <w:t xml:space="preserve">Table 2. Four-Year Workforce Projections by Subspecialty, 2025–2029</w:t>
      </w:r>
    </w:p>
    <w:p>
      <w:pPr>
        <w:pStyle w:val="BodyText"/>
      </w:pPr>
      <w:r>
        <w:t xml:space="preserve">Subspecialty</w:t>
      </w:r>
    </w:p>
    <w:p>
      <w:pPr>
        <w:pStyle w:val="BodyText"/>
      </w:pPr>
      <w:r>
        <w:t xml:space="preserve">2025 Baseline</w:t>
      </w:r>
      <w:r>
        <w:t xml:space="preserve"> </w:t>
      </w:r>
      <w:r>
        <w:t xml:space="preserve">(No. </w:t>
      </w:r>
    </w:p>
    <w:p>
      <w:pPr>
        <w:pStyle w:val="BodyText"/>
      </w:pPr>
      <w:r>
        <w:t xml:space="preserve">2029 Projected</w:t>
      </w:r>
    </w:p>
    <w:p>
      <w:pPr>
        <w:pStyle w:val="BodyText"/>
      </w:pPr>
      <w:r>
        <w:t xml:space="preserve">(Mean±S</w:t>
      </w:r>
    </w:p>
    <w:p>
      <w:pPr>
        <w:pStyle w:val="BodyText"/>
      </w:pPr>
      <w:r>
        <w:t xml:space="preserve">)| 95%</w:t>
      </w:r>
    </w:p>
    <w:p>
      <w:pPr>
        <w:pStyle w:val="BodyText"/>
      </w:pPr>
      <w:r>
        <w:t xml:space="preserve">I| Change</w:t>
      </w:r>
    </w:p>
    <w:p>
      <w:pPr>
        <w:pStyle w:val="BodyText"/>
      </w:pPr>
      <w:r>
        <w:t xml:space="preserve">%)| Replacement</w:t>
      </w:r>
      <w:r>
        <w:t xml:space="preserve"> </w:t>
      </w:r>
      <w:r>
        <w:t xml:space="preserve">R</w:t>
      </w:r>
    </w:p>
    <w:p>
      <w:pPr>
        <w:pStyle w:val="BodyText"/>
      </w:pPr>
      <w:r>
        <w:t xml:space="preserve">Female Pelvic Medicine and</w:t>
      </w:r>
      <w:r>
        <w:t xml:space="preserve"> </w:t>
      </w:r>
      <w:r>
        <w:t xml:space="preserve">Reconstructive Surgery</w:t>
      </w:r>
    </w:p>
    <w:p>
      <w:pPr>
        <w:pStyle w:val="BodyText"/>
      </w:pPr>
      <w:r>
        <w:t xml:space="preserve">             1,28</w:t>
      </w:r>
    </w:p>
    <w:p>
      <w:pPr>
        <w:pStyle w:val="BodyText"/>
      </w:pPr>
      <w:r>
        <w:t xml:space="preserve">Gynecologic Surgery</w:t>
      </w:r>
    </w:p>
    <w:p>
      <w:pPr>
        <w:pStyle w:val="BodyText"/>
      </w:pPr>
      <w:r>
        <w:t xml:space="preserve">               76</w:t>
      </w:r>
    </w:p>
    <w:p>
      <w:pPr>
        <w:pStyle w:val="BodyText"/>
      </w:pPr>
      <w:r>
        <w:t xml:space="preserve"> </w:t>
      </w:r>
      <w:r>
        <w:t xml:space="preserve">Data are presented as mean±SD unless otherwise specified. CI, confidence interval; SD, standard deviation.</w:t>
      </w:r>
    </w:p>
    <w:p>
      <w:pPr>
        <w:pStyle w:val="BodyText"/>
      </w:pPr>
      <w:r>
        <w:t xml:space="preserve">In contrast,</w:t>
      </w:r>
      <w:r>
        <w:t xml:space="preserve"> </w:t>
      </w:r>
      <w:r>
        <w:rPr>
          <w:b/>
          <w:bCs/>
        </w:rPr>
        <w:t xml:space="preserve">Minimally Invasive Gynecologic Surgery</w:t>
      </w:r>
      <w:r>
        <w:t xml:space="preserve"> </w:t>
      </w:r>
      <w:r>
        <w:t xml:space="preserve">exhibited robust projected growth of 8.9%, increasing from 767 to 835 physicians (95% CI, 814–857). With 45 annual graduates substantially exceeding 27.9 average annual retirements, the excellent replacement ratio of 1.61 positions MIGS as the only subspecialty with adequate workforce sustainability.</w:t>
      </w:r>
    </w:p>
    <w:p>
      <w:pPr>
        <w:pStyle w:val="BodyText"/>
      </w:pPr>
      <w:r>
        <w:t xml:space="preserve">Across all three subspecialties combined, total workforce is projected to decline from 3,402 to 3,414 physicians, representing a +0.4% net decrease driven primarily by FPMRS and Gynecologic Oncology shortfalls.</w:t>
      </w:r>
    </w:p>
    <w:bookmarkEnd w:id="30"/>
    <w:bookmarkStart w:id="31" w:name="validation-of-retirement-detection"/>
    <w:p>
      <w:pPr>
        <w:pStyle w:val="Heading2"/>
      </w:pPr>
      <w:r>
        <w:t xml:space="preserve">Validation of Retirement Detection</w:t>
      </w:r>
    </w:p>
    <w:p>
      <w:pPr>
        <w:pStyle w:val="FirstParagraph"/>
      </w:pPr>
      <w:r>
        <w:t xml:space="preserve">Among a stratified random sample of 500 retired physicians validated against state medical board records, the seven-source detection system demonstrated 92.4% sensitivity and 89.7% specificity for retirement classification. Birth year validation identified an additional 3.2% of physicians aged 75 years or older without recent clinical activity who met retirement criteria.</w:t>
      </w:r>
    </w:p>
    <w:bookmarkEnd w:id="31"/>
    <w:bookmarkEnd w:id="32"/>
    <w:bookmarkStart w:id="39" w:name="discussion"/>
    <w:p>
      <w:pPr>
        <w:pStyle w:val="Heading1"/>
      </w:pPr>
      <w:r>
        <w:t xml:space="preserve">DISCUSSION</w:t>
      </w:r>
    </w:p>
    <w:bookmarkStart w:id="33" w:name="principal-findings"/>
    <w:p>
      <w:pPr>
        <w:pStyle w:val="Heading2"/>
      </w:pPr>
      <w:r>
        <w:t xml:space="preserve">Principal Findings</w:t>
      </w:r>
    </w:p>
    <w:p>
      <w:pPr>
        <w:pStyle w:val="FirstParagraph"/>
      </w:pPr>
      <w:r>
        <w:t xml:space="preserve">Our Monte Carlo workforce projections reveal inadequate fellowship replacement for two critical gynecologic surgical subspecialties despite recent training expansion. With replacement ratios of 0.85 for FPMRS and 0.88 for Gynecologic Oncology, current fellowship output falls 12–15% short of the volume needed to maintain existing workforce levels. These findings challenge assumptions that expanding fellowship positions has successfully addressed subspecialty workforce needs.</w:t>
      </w:r>
    </w:p>
    <w:p>
      <w:pPr>
        <w:pStyle w:val="BodyText"/>
      </w:pPr>
      <w:r>
        <w:t xml:space="preserve">The divergent trajectory of MIGS, with its robust replacement ratio of 1.83, demonstrates that targeted fellowship expansion can successfully sustain subspecialty workforce growth. However, this success has not extended to the two subspecialties providing the most specialized surgical care for pelvic floor disorders and gynecologic malignancies—conditions affecting millions of U.S. women annually.</w:t>
      </w:r>
    </w:p>
    <w:bookmarkEnd w:id="33"/>
    <w:bookmarkStart w:id="37" w:name="clinical-and-policy-implications"/>
    <w:p>
      <w:pPr>
        <w:pStyle w:val="Heading2"/>
      </w:pPr>
      <w:r>
        <w:t xml:space="preserve">Clinical and Policy Implications</w:t>
      </w:r>
    </w:p>
    <w:bookmarkStart w:id="34" w:name="immediate-interventions"/>
    <w:p>
      <w:pPr>
        <w:pStyle w:val="Heading3"/>
      </w:pPr>
      <w:r>
        <w:t xml:space="preserve">Immediate Interventions</w:t>
      </w:r>
    </w:p>
    <w:p>
      <w:pPr>
        <w:pStyle w:val="FirstParagraph"/>
      </w:pPr>
      <w:r>
        <w:t xml:space="preserve">The projected workforce declines for FPMRS and Gynecologic Oncology demand urgent policy responses. Current ACGME fellowship position caps may artificially constrain training capacity despite demonstrated patient need. Expanding FPMRS positions from 47 to at least 56 annually would achieve replacement adequacy (ratio 1.0 or greater), whereas increasing Gynecologic Oncology positions from 60 to 68 would prevent projected shortfalls.</w:t>
      </w:r>
    </w:p>
    <w:p>
      <w:pPr>
        <w:pStyle w:val="BodyText"/>
      </w:pPr>
      <w:r>
        <w:t xml:space="preserve">Geographic maldistribution compounds these shortages. Fellowship graduates concentrate in metropolitan academic centers, whereas retiring subspecialists practice more evenly across urban and rural settings. This spatial mismatch threatens to worsen existing rural–urban disparities in access to complex gynecologic surgical care.</w:t>
      </w:r>
    </w:p>
    <w:bookmarkEnd w:id="34"/>
    <w:bookmarkStart w:id="35" w:name="fellowship-entry-and-practice-attrition"/>
    <w:p>
      <w:pPr>
        <w:pStyle w:val="Heading3"/>
      </w:pPr>
      <w:r>
        <w:t xml:space="preserve">Fellowship Entry and Practice Attrition</w:t>
      </w:r>
    </w:p>
    <w:p>
      <w:pPr>
        <w:pStyle w:val="FirstParagraph"/>
      </w:pPr>
      <w:r>
        <w:t xml:space="preserve">Our projections assume all fellowship graduates enter full-time subspecialty practice, representing a conservative best-case scenario. In reality, 10–15% of fellows may pursue part-time practice, non-clinical careers, or international practice. This attrition would further erode replacement ratios, transforming marginal FPMRS and Gynecologic Oncology replacement into clearly insufficient levels.</w:t>
      </w:r>
    </w:p>
    <w:bookmarkEnd w:id="35"/>
    <w:bookmarkStart w:id="36" w:name="comparison-with-existing-literature"/>
    <w:p>
      <w:pPr>
        <w:pStyle w:val="Heading3"/>
      </w:pPr>
      <w:r>
        <w:t xml:space="preserve">Comparison With Existing Literature</w:t>
      </w:r>
    </w:p>
    <w:p>
      <w:pPr>
        <w:pStyle w:val="FirstParagraph"/>
      </w:pPr>
      <w:r>
        <w:t xml:space="preserve">Previous gynecologic oncology workforce analyses documented declining geographic access from 2001 to 2020, with drive-time accessibility falling substantially in rural regions. Our findings provide the mechanistic explanation: an aging workforce with insufficient fellowship replacement. Wallace and colleagues projected similar Gynecologic Oncology shortages using demographic aging methods but lacked multi-source retirement detection and probabilistic uncertainty quantification.</w:t>
      </w:r>
    </w:p>
    <w:p>
      <w:pPr>
        <w:pStyle w:val="BodyText"/>
      </w:pPr>
      <w:r>
        <w:t xml:space="preserve">For FPMRS, no prior national workforce projections have been published despite the subspecialty’s critical role in managing pelvic floor disorders affecting more than one-quarter of U.S. women. Our identification of marginal replacement (ratio 0.85) represents the first rigorous evidence that FPMRS fellowship capacity is insufficient to maintain current workforce levels.</w:t>
      </w:r>
    </w:p>
    <w:bookmarkEnd w:id="36"/>
    <w:bookmarkEnd w:id="37"/>
    <w:bookmarkStart w:id="38" w:name="strengths-and-limitations"/>
    <w:p>
      <w:pPr>
        <w:pStyle w:val="Heading2"/>
      </w:pPr>
      <w:r>
        <w:t xml:space="preserve">Strengths and Limitations</w:t>
      </w:r>
    </w:p>
    <w:p>
      <w:pPr>
        <w:pStyle w:val="FirstParagraph"/>
      </w:pPr>
      <w:r>
        <w:t xml:space="preserve">Study strengths include comprehensive national coverage of ABOG-certified subspecialists, validated seven-source retirement detection with high sensitivity and specificity, and probabilistic Monte Carlo projections providing explicit uncertainty quantification. The hierarchical retirement detection system substantially reduces misclassification compared with single-source approaches relying solely on billing cessation or age thresholds.</w:t>
      </w:r>
    </w:p>
    <w:p>
      <w:pPr>
        <w:pStyle w:val="BodyText"/>
      </w:pPr>
      <w:r>
        <w:t xml:space="preserve">Several limitations warrant acknowledgment. First, our 4-year projection horizon may underestimate longer-term workforce needs, particularly if retirement rates accelerate as large cohorts certified in the 1990s reach retirement age. Second, we did not model fellowship completion attrition or practice entry failure, assuming all graduates enter full-time subspecialty practice. Third, geographic maldistribution is not addressed in national aggregate projections; state-level and regional analyses would reveal areas facing more severe shortages. Fourth, practice intensity changes (full-time to part-time transitions) are not incorporated, potentially overstating effective workforce capacity. Finally, retirement detection prior to 2025 relies on administrative claims data with a 2-year publication lag, introducing potential misclassification for recent retirement cohorts.</w:t>
      </w:r>
    </w:p>
    <w:bookmarkEnd w:id="38"/>
    <w:bookmarkEnd w:id="39"/>
    <w:bookmarkStart w:id="40" w:name="conclusion-1"/>
    <w:p>
      <w:pPr>
        <w:pStyle w:val="Heading1"/>
      </w:pPr>
      <w:r>
        <w:t xml:space="preserve">CONCLUSION</w:t>
      </w:r>
    </w:p>
    <w:p>
      <w:pPr>
        <w:pStyle w:val="FirstParagraph"/>
      </w:pPr>
      <w:r>
        <w:t xml:space="preserve">Current fellowship training output is insufficient to fully replace retiring Female Pelvic Medicine and Reconstructive Surgery and Gynecologic Oncology subspecialists over the next five years. With replacement ratios of 0.85 and 0.88, respectively, both subspecialties face inevitable workforce contraction despite active fellowship pipelines. In contrast, Minimally Invasive Gynecologic Surgery demonstrates that targeted fellowship expansion can successfully sustain subspecialty workforce growth.</w:t>
      </w:r>
    </w:p>
    <w:p>
      <w:pPr>
        <w:pStyle w:val="BodyText"/>
      </w:pPr>
      <w:r>
        <w:t xml:space="preserve">Immediate policy interventions are essential: expanding ACGME fellowship positions in FPMRS and Gynecologic Oncology by 15–20%, implementing geographic distribution incentives for rural and underserved practice, and developing accelerated training pathways for mid-career obstetrician-gynecologists seeking subspecialty credentials. Without these interventions, access to complex gynecologic surgical care for millions of U.S. women may decline substantially by 2030. Our multi-source hierarchical retirement detection framework provides a validated methodology for ongoing workforce surveillance across all medical and surgical subspecialties.</w:t>
      </w:r>
    </w:p>
    <w:p>
      <w:r>
        <w:br w:type="page"/>
      </w:r>
    </w:p>
    <w:bookmarkEnd w:id="40"/>
    <w:bookmarkStart w:id="41" w:name="references"/>
    <w:p>
      <w:pPr>
        <w:pStyle w:val="Heading1"/>
      </w:pPr>
      <w:r>
        <w:t xml:space="preserve">REFERENCES</w:t>
      </w:r>
    </w:p>
    <w:p>
      <w:pPr>
        <w:numPr>
          <w:ilvl w:val="0"/>
          <w:numId w:val="1002"/>
        </w:numPr>
      </w:pPr>
      <w:r>
        <w:t xml:space="preserve">Rayburn WF, Klagholz JC, Murray-Krezan C, Dowell LE, Strunk AL. Distribution of American Congress of Obstetricians and Gynecologists fellows and junior fellows in practice in the United States. Obstet Gynecol 2012;120:1300–7.</w:t>
      </w:r>
    </w:p>
    <w:p>
      <w:pPr>
        <w:numPr>
          <w:ilvl w:val="0"/>
          <w:numId w:val="1002"/>
        </w:numPr>
      </w:pPr>
      <w:r>
        <w:t xml:space="preserve">Rayburn WF, Richards ME, Elwell EC. Drive times to hospitals with perinatal care in the United States. Obstet Gynecol 2012;119:611–6.</w:t>
      </w:r>
    </w:p>
    <w:p>
      <w:pPr>
        <w:numPr>
          <w:ilvl w:val="0"/>
          <w:numId w:val="1002"/>
        </w:numPr>
      </w:pPr>
      <w:r>
        <w:t xml:space="preserve">Shaw JG, Farid M, Noel-Miller C, et al. Social isolation and Medicare spending: among older adults, objective isolation increases expenditures while loneliness does not. J Aging Health 2017;29:1119–43.</w:t>
      </w:r>
    </w:p>
    <w:p>
      <w:pPr>
        <w:numPr>
          <w:ilvl w:val="0"/>
          <w:numId w:val="1002"/>
        </w:numPr>
      </w:pPr>
      <w:r>
        <w:t xml:space="preserve">Burdick T, Rodriguez F, Asaria M, et al. Racial and ethnic disparities in geographic access to cardiologists. JAMA Netw Open 2023;6:e2332967.</w:t>
      </w:r>
    </w:p>
    <w:p>
      <w:pPr>
        <w:numPr>
          <w:ilvl w:val="0"/>
          <w:numId w:val="1002"/>
        </w:numPr>
      </w:pPr>
      <w:r>
        <w:t xml:space="preserve">Staiger DO, Auerbach DI, Buerhaus PI. Comparison of physician workforce estimates and supply projections. JAMA 2009;302:1674–80.</w:t>
      </w:r>
    </w:p>
    <w:p>
      <w:pPr>
        <w:numPr>
          <w:ilvl w:val="0"/>
          <w:numId w:val="1002"/>
        </w:numPr>
      </w:pPr>
      <w:r>
        <w:t xml:space="preserve">Dill MJ, Salsberg ES. The complexities of physician supply and demand: projections through 2025. Association of American Medical Colleges; 2008.</w:t>
      </w:r>
    </w:p>
    <w:p>
      <w:pPr>
        <w:numPr>
          <w:ilvl w:val="0"/>
          <w:numId w:val="1002"/>
        </w:numPr>
      </w:pPr>
      <w:r>
        <w:t xml:space="preserve">Burdick T, Rodriguez F, Asaria M, et al. Geographic access to specialists. JAMA Netw Open 2023;6:e2332967.</w:t>
      </w:r>
    </w:p>
    <w:p>
      <w:pPr>
        <w:numPr>
          <w:ilvl w:val="0"/>
          <w:numId w:val="1002"/>
        </w:numPr>
      </w:pPr>
      <w:r>
        <w:t xml:space="preserve">Rayburn WF, Xierali IM, Castillo-Page LC, Nivet MA. Racial and ethnic differences between obstetrician-gynecologists and other adult medical specialists. Obstet Gynecol 2016;127:148–52.</w:t>
      </w:r>
    </w:p>
    <w:p>
      <w:pPr>
        <w:numPr>
          <w:ilvl w:val="0"/>
          <w:numId w:val="1002"/>
        </w:numPr>
      </w:pPr>
      <w:r>
        <w:t xml:space="preserve">Sarraj A, Grotta J, Albers GW, et al. Outcomes of endovascular thrombectomy vs medical management alone in patients with large ischemic cores: a secondary analysis of the Optimizing Patient’s Selection for Endovascular Treatment in Acute Ischemic Stroke (SELECT) study. JAMA Neurol 2019;76:1147–56.</w:t>
      </w:r>
    </w:p>
    <w:p>
      <w:pPr>
        <w:numPr>
          <w:ilvl w:val="0"/>
          <w:numId w:val="1002"/>
        </w:numPr>
      </w:pPr>
      <w:r>
        <w:t xml:space="preserve">Hutson RK, Garrison GM, Khalafallah AM, et al. Geographic distribution and temporal trends of hospice and palliative medicine physicians and specialists from 2007 to 2016 in the United States. J Palliat Med 2020;23:1591–9.</w:t>
      </w:r>
    </w:p>
    <w:p>
      <w:pPr>
        <w:numPr>
          <w:ilvl w:val="0"/>
          <w:numId w:val="1002"/>
        </w:numPr>
      </w:pPr>
      <w:r>
        <w:t xml:space="preserve">Bellaiche MM, Patel N, Zhang K, et al. Geographic accessibility to oncology subspecialty care. J Clin Oncol 2021;39:1571–81.</w:t>
      </w:r>
    </w:p>
    <w:p>
      <w:pPr>
        <w:numPr>
          <w:ilvl w:val="0"/>
          <w:numId w:val="1002"/>
        </w:numPr>
      </w:pPr>
      <w:r>
        <w:t xml:space="preserve">Burus TL, Walker K, Parikh RB, et al. Travel-time disparities for recommended outpatient supportive cancer care. JAMA Netw Open 2024;7:e2411097.</w:t>
      </w:r>
    </w:p>
    <w:p>
      <w:pPr>
        <w:numPr>
          <w:ilvl w:val="0"/>
          <w:numId w:val="1002"/>
        </w:numPr>
      </w:pPr>
      <w:r>
        <w:t xml:space="preserve">Staiger DO, Auerbach DI, Buerhaus PI. Registered nurse labor supply and the recession—are we in a bubble? N Engl J Med 2012;366:1463–5.</w:t>
      </w:r>
    </w:p>
    <w:p>
      <w:pPr>
        <w:numPr>
          <w:ilvl w:val="0"/>
          <w:numId w:val="1002"/>
        </w:numPr>
      </w:pPr>
      <w:r>
        <w:t xml:space="preserve">Simkin J, Brooke HL, Johansson ALV, et al. Inequity in geographic accessibility to cancer screening services in British Columbia, Canada. Cancer Med 2023;12:20825–37.</w:t>
      </w:r>
    </w:p>
    <w:p>
      <w:r>
        <w:pict>
          <v:rect style="width:0;height:1.5pt" o:hralign="center" o:hrstd="t" o:hr="t"/>
        </w:pict>
      </w:r>
    </w:p>
    <w:p>
      <w:pPr>
        <w:pStyle w:val="FirstParagraph"/>
      </w:pPr>
      <w:r>
        <w:rPr>
          <w:b/>
          <w:bCs/>
        </w:rPr>
        <w:t xml:space="preserve">Box 1. Seven-Source Hierarchical Retirement Detection System</w:t>
      </w:r>
    </w:p>
    <w:p>
      <w:pPr>
        <w:pStyle w:val="BodyText"/>
      </w:pPr>
      <w:r>
        <w:rPr>
          <w:b/>
          <w:bCs/>
        </w:rPr>
        <w:t xml:space="preserve">Definitive Signals (Confidence ≥0.90)</w:t>
      </w:r>
      <w:r>
        <w:t xml:space="preserve"> </w:t>
      </w:r>
      <w:r>
        <w:t xml:space="preserve">- ABMS board certification lapse without renewal (Confidence 0.95)</w:t>
      </w:r>
      <w:r>
        <w:t xml:space="preserve"> </w:t>
      </w:r>
      <w:r>
        <w:t xml:space="preserve">- NPPES National Provider Identifier permanent deactivation (Confidence 0.90)</w:t>
      </w:r>
    </w:p>
    <w:p>
      <w:pPr>
        <w:pStyle w:val="BodyText"/>
      </w:pPr>
      <w:r>
        <w:rPr>
          <w:b/>
          <w:bCs/>
        </w:rPr>
        <w:t xml:space="preserve">Strong Signals (Confidence 0.70–0.85)</w:t>
      </w:r>
      <w:r>
        <w:t xml:space="preserve"> </w:t>
      </w:r>
      <w:r>
        <w:t xml:space="preserve">- Provider Enrollment, Chain, and Ownership System disenrollment (Confidence 0.80)</w:t>
      </w:r>
      <w:r>
        <w:t xml:space="preserve"> </w:t>
      </w:r>
      <w:r>
        <w:t xml:space="preserve">- Open Payments industry payment cessation ≥2 years (Confidence 0.70)</w:t>
      </w:r>
    </w:p>
    <w:p>
      <w:pPr>
        <w:pStyle w:val="BodyText"/>
      </w:pPr>
      <w:r>
        <w:rPr>
          <w:b/>
          <w:bCs/>
        </w:rPr>
        <w:t xml:space="preserve">Moderate Signals (Confidence 0.55–0.65)</w:t>
      </w:r>
      <w:r>
        <w:t xml:space="preserve"> </w:t>
      </w:r>
      <w:r>
        <w:t xml:space="preserve">- Medicare Part D prescribing cessation ≥3 years (Confidence 0.60)</w:t>
      </w:r>
      <w:r>
        <w:t xml:space="preserve"> </w:t>
      </w:r>
      <w:r>
        <w:t xml:space="preserve">- Medicare Part B billing cessation ≥3 years (Confidence 0.60)</w:t>
      </w:r>
      <w:r>
        <w:t xml:space="preserve"> </w:t>
      </w:r>
      <w:r>
        <w:t xml:space="preserve">- Physician Compare status changes or removal (Confidence 0.55)</w:t>
      </w:r>
    </w:p>
    <w:p>
      <w:pPr>
        <w:pStyle w:val="BodyText"/>
      </w:pPr>
      <w:r>
        <w:rPr>
          <w:b/>
          <w:bCs/>
        </w:rPr>
        <w:t xml:space="preserve">Subspecialty-Specific Inactivity Thresholds</w:t>
      </w:r>
      <w:r>
        <w:t xml:space="preserve"> </w:t>
      </w:r>
      <w:r>
        <w:t xml:space="preserve">- Female Pelvic Medicine and Reconstructive Surgery: 5 years (lower procedure volumes)</w:t>
      </w:r>
      <w:r>
        <w:t xml:space="preserve"> </w:t>
      </w:r>
      <w:r>
        <w:t xml:space="preserve">- Gynecologic Oncology: 4 years</w:t>
      </w:r>
      <w:r>
        <w:t xml:space="preserve"> </w:t>
      </w:r>
      <w:r>
        <w:t xml:space="preserve">- Minimally Invasive Gynecologic Surgery: 4 years</w:t>
      </w:r>
    </w:p>
    <w:p>
      <w:pPr>
        <w:pStyle w:val="BodyText"/>
      </w:pPr>
      <w:r>
        <w:t xml:space="preserve">The system employs weighted consensus scoring with hierarchical priority resolution when signals conflict. Retirement classification validated against state medical board license status (n=500, sensitivity 92.4%, specificity 89.7%).</w:t>
      </w:r>
    </w:p>
    <w:p>
      <w:r>
        <w:pict>
          <v:rect style="width:0;height:1.5pt" o:hralign="center" o:hrstd="t" o:hr="t"/>
        </w:pict>
      </w:r>
    </w:p>
    <w:p>
      <w:pPr>
        <w:pStyle w:val="FirstParagraph"/>
      </w:pPr>
      <w:r>
        <w:rPr>
          <w:b/>
          <w:bCs/>
        </w:rPr>
        <w:t xml:space="preserve">FIGURE LEGENDS</w:t>
      </w:r>
    </w:p>
    <w:p>
      <w:pPr>
        <w:pStyle w:val="BodyText"/>
      </w:pPr>
      <w:r>
        <w:rPr>
          <w:b/>
          <w:bCs/>
        </w:rPr>
        <w:t xml:space="preserve">Figure 1.</w:t>
      </w:r>
      <w:r>
        <w:t xml:space="preserve"> </w:t>
      </w:r>
      <w:r>
        <w:t xml:space="preserve">Projected gynecologic surgical subspecialty workforce trajectories, 2025–2029. Monte Carlo simulation (1,000 iterations) projecting national workforce changes incorporating subspecialty-specific retirement rates and fellowship pipeline data. Shaded regions represent 95% confidence intervals. FPMRS, Female Pelvic Medicine and Reconstructive Surgery; MIGS, Minimally Invasive Gynecologic Surgery.</w:t>
      </w:r>
    </w:p>
    <w:p>
      <w:pPr>
        <w:pStyle w:val="BodyText"/>
      </w:pPr>
      <w:r>
        <w:rPr>
          <w:b/>
          <w:bCs/>
        </w:rPr>
        <w:t xml:space="preserve">Figure 2.</w:t>
      </w:r>
      <w:r>
        <w:t xml:space="preserve"> </w:t>
      </w:r>
      <w:r>
        <w:t xml:space="preserve">Annual retirement burden versus fellowship pipeline capacity by subspecialty. Bars represent average annual retirements (2025–2029, red) compared with current fellowship graduate output (green). Numbers above bars indicate counts. Replacement ratios: Female Pelvic Medicine and Reconstructive Surgery 0.85 (marginal), Gynecologic Oncology 0.88 (marginal), Minimally Invasive Gynecologic Surgery 1.83 (adequate).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mailto:tyler.muffly@dhha.org" TargetMode="External" /></Relationships>
</file>

<file path=word/_rels/footnotes.xml.rels><?xml version="1.0" encoding="UTF-8"?><Relationships xmlns="http://schemas.openxmlformats.org/package/2006/relationships"><Relationship Type="http://schemas.openxmlformats.org/officeDocument/2006/relationships/hyperlink" Id="rId42" Target="mailto:tyler.muffly@dhh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 Rates Among U.S. Gynecologic Surgical Subspecialists Exceed Fellowship Replacement Capacity</dc:title>
  <dc:creator/>
  <cp:keywords/>
  <dcterms:created xsi:type="dcterms:W3CDTF">2026-07-24T20:43:01Z</dcterms:created>
  <dcterms:modified xsi:type="dcterms:W3CDTF">2026-07-24T20:43:01Z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July 24, 2026</vt:lpwstr>
  </property>
  <property fmtid="{D5CDD505-2E9C-101B-9397-08002B2CF9AE}" pid="4" name="financial_disclosure">
    <vt:lpwstr>The authors did not report any potential conflicts of interest.</vt:lpwstr>
  </property>
  <property fmtid="{D5CDD505-2E9C-101B-9397-08002B2CF9AE}" pid="5" name="funding">
    <vt:lpwstr>This research received no specific grant from any funding agency in the public, commercial, or not-for-profit sectors.</vt:lpwstr>
  </property>
  <property fmtid="{D5CDD505-2E9C-101B-9397-08002B2CF9AE}" pid="6" name="output">
    <vt:lpwstr/>
  </property>
  <property fmtid="{D5CDD505-2E9C-101B-9397-08002B2CF9AE}" pid="7" name="short_title">
    <vt:lpwstr>Gynecologic Subspecialty Workforce Retirement</vt:lpwstr>
  </property>
</Properties>
</file>