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“After a failed office attempt, we modeled two pathways rather than assuming universal escalation to D&amp;C: a repeat office attempt, estimated to occur in 5% of failures… succeeding 25% of the time… or direct escalation to D&amp;C.”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“D&amp;C… cost also includes a partial expected cost for uterine perforation, restricted to the one management pathway (diagnostic laparoscopy) with a cost fully traceable to current Medicare payment data, weighted by that pathway’s observed probability in an independent cohort study of postperforation management.”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$506.11 per patient, compared with $749.18 for standalone office biopsy and $3,839.81 for operative D&amp;C. Combined biopsy was $243.06 (32.4%)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$539.93 (SD $116.01) and office biopsy a mean cost of $755.70 (SD $119.99). Combined biopsy was the least expensive strategy in 91.4%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strategies, and our attempt to test that assumption directly did not detect a difference to report… This is a genuine absence of evidence for a differential risk between strategies, not evidence that their true risks are equal…”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risk, than either standalone office biopsy or operative D&amp;C for Lynch syndrome surveillance. This conclusion was robust to parameter uncertainty and practice location in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2026-09-02T21:24:17Z</dcterms:created>
  <dcterms:modified xsi:type="dcterms:W3CDTF">2026-09-02T21:24:17Z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