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 guideline specifies</w:t>
      </w:r>
      <w:r>
        <w:t xml:space="preserve"> </w:t>
      </w:r>
      <w:r>
        <w:t xml:space="preserve">timing and eligibility, not delivery method.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25% of the time based on that same general</w:t>
      </w:r>
      <w:r>
        <w:t xml:space="preserve"> </w:t>
      </w:r>
      <w:r>
        <w:t xml:space="preserve">Pipelle-sampling population’s own reported outcome among patients with a</w:t>
      </w:r>
      <w:r>
        <w:t xml:space="preserve"> </w:t>
      </w:r>
      <w:r>
        <w:t xml:space="preserve">documented prior sampling failure,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small,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not a direct measurement, and the 25% repeat-attempt</w:t>
      </w:r>
      <w:r>
        <w:t xml:space="preserve"> </w:t>
      </w:r>
      <w:r>
        <w:t xml:space="preserve">success probability comes from a subgroup of only 8 patients in a single</w:t>
      </w:r>
      <w:r>
        <w:t xml:space="preserve"> </w:t>
      </w:r>
      <w:r>
        <w:t xml:space="preserve">U.S. health system’s Pipelle-failure cohort. Both parameters’ effects were</w:t>
      </w:r>
      <w:r>
        <w:t xml:space="preserve"> </w:t>
      </w:r>
      <w:r>
        <w:t xml:space="preserve">tested in sensitivity analysis rather than treated as fixed, but neither is</w:t>
      </w:r>
      <w:r>
        <w:t xml:space="preserve"> </w:t>
      </w:r>
      <w:r>
        <w:t xml:space="preserve">a direct measurement in a Lynch surveillance population.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Adambekov S, Goughnour SL, Mansuria S, Donnellan N, Elishaev E,</w:t>
      </w:r>
      <w:r>
        <w:t xml:space="preserve"> </w:t>
      </w:r>
      <w:r>
        <w:t xml:space="preserve">Villanueva HJ, Edwards RP, Bovbjerg DH, Linkov F. Patient and provider</w:t>
      </w:r>
      <w:r>
        <w:t xml:space="preserve"> </w:t>
      </w:r>
      <w:r>
        <w:t xml:space="preserve">factors associated with endometrial Pipelle sampling failure. Gynecol</w:t>
      </w:r>
      <w:r>
        <w:t xml:space="preserve"> </w:t>
      </w:r>
      <w:r>
        <w:t xml:space="preserve">Oncol 2017;144:324-328.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2026-09-02T21:24:08Z</dcterms:created>
  <dcterms:modified xsi:type="dcterms:W3CDTF">2026-09-02T21:24:08Z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