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16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 among whom a</w:t>
      </w:r>
      <w:r>
        <w:t xml:space="preserve"> </w:t>
      </w:r>
      <w:r>
        <w:t xml:space="preserve">second sampling attempt was adequate in three-quarters of those who</w:t>
      </w:r>
      <w:r>
        <w:t xml:space="preserve"> </w:t>
      </w:r>
      <w:r>
        <w:t xml:space="preserve">underwent one,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– the office arm’s repeat-attempt-or-D&amp;C structure and the</w:t>
      </w:r>
      <w:r>
        <w:t xml:space="preserve"> </w:t>
      </w:r>
      <w:r>
        <w:t xml:space="preserve">combined arm’s directly observed escalation rate –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 –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underlying the detection-probability</w:t>
      </w:r>
      <w:r>
        <w:t xml:space="preserve"> </w:t>
      </w:r>
      <w:r>
        <w:t xml:space="preserve">analysis above,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2026-09-02T23:14:37Z</dcterms:created>
  <dcterms:modified xsi:type="dcterms:W3CDTF">2026-09-02T23:14:37Z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