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$761.94 for standalone office biopsy and $3,839.81</w:t>
      </w:r>
      <w:r>
        <w:t xml:space="preserve"> </w:t>
      </w:r>
      <w:r>
        <w:t xml:space="preserve">for operative D&amp;C. Combined biopsy was $255.83 (33.6%) less expensive than</w:t>
      </w:r>
      <w:r>
        <w:t xml:space="preserve"> </w:t>
      </w:r>
      <w:r>
        <w:t xml:space="preserve">standalone office biopsy and was cost-saving in 90.5%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$207.12 in a low-cost locality</w:t>
      </w:r>
      <w:r>
        <w:t xml:space="preserve"> </w:t>
      </w:r>
      <w:r>
        <w:t xml:space="preserve">to $348.75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0.35</w:t>
      </w:r>
      <w:r>
        <w:t xml:space="preserve"> </w:t>
      </w:r>
      <w:r>
        <w:t xml:space="preserve">vs 2.51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Consensus guidelines recommend gynecologic surveillance with</w:t>
      </w:r>
      <w:r>
        <w:t xml:space="preserve"> </w:t>
      </w:r>
      <w:r>
        <w:t xml:space="preserve">endometrial biopsy at regular intervals beginning in the third or fourth</w:t>
      </w:r>
      <w:r>
        <w:t xml:space="preserve"> </w:t>
      </w:r>
      <w:r>
        <w:t xml:space="preserve">decade of life, alongside interval colonoscopy.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25% of the time based on that same general</w:t>
      </w:r>
      <w:r>
        <w:t xml:space="preserve"> </w:t>
      </w:r>
      <w:r>
        <w:t xml:space="preserve">Pipelle-sampling population’s own reported outcome among patients with a</w:t>
      </w:r>
      <w:r>
        <w:t xml:space="preserve"> </w:t>
      </w:r>
      <w:r>
        <w:t xml:space="preserve">documented prior sampling failure,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 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$761.94 for standalone office biopsy and $3,839.81 for</w:t>
      </w:r>
      <w:r>
        <w:t xml:space="preserve"> </w:t>
      </w:r>
      <w:r>
        <w:t xml:space="preserve">operative D&amp;C. Combined biopsy was $255.83 (33.6%)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-$141.69 to -$510.74 across its 10.3%-20.0%</w:t>
      </w:r>
      <w:r>
        <w:t xml:space="preserve"> </w:t>
      </w:r>
      <w:r>
        <w:t xml:space="preserve">bound) and the combined arm’s incremental procedure time (range -$389.57 to</w:t>
      </w:r>
      <w:r>
        <w:t xml:space="preserve"> </w:t>
      </w:r>
      <w:r>
        <w:t xml:space="preserve">-$21.78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$21.78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$541.57 (SD $116.63) and office biopsy a mean cost of $759.34 (SD</w:t>
      </w:r>
      <w:r>
        <w:t xml:space="preserve"> </w:t>
      </w:r>
      <w:r>
        <w:t xml:space="preserve">$117.35). Combined biopsy was the least expensive strategy in 90.5%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6.6%.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$2,558 to $255,829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$207.12 per patient in</w:t>
      </w:r>
      <w:r>
        <w:t xml:space="preserve"> </w:t>
      </w:r>
      <w:r>
        <w:t xml:space="preserve">the low-cost locality to $270.95 in the mid-cost locality to $348.75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0.35 events per 1,000 patients) than for office</w:t>
      </w:r>
      <w:r>
        <w:t xml:space="preserve"> </w:t>
      </w:r>
      <w:r>
        <w:t xml:space="preserve">biopsy (mean 2.51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19.18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did not detect a difference to</w:t>
      </w:r>
      <w:r>
        <w:t xml:space="preserve"> </w:t>
      </w:r>
      <w:r>
        <w:t xml:space="preserve">report. Both arms’ failure-resolution pathways – the office arm’s</w:t>
      </w:r>
      <w:r>
        <w:t xml:space="preserve"> </w:t>
      </w:r>
      <w:r>
        <w:t xml:space="preserve">repeat-attempt-or-D&amp;C structure and the combined arm’s directly observed</w:t>
      </w:r>
      <w:r>
        <w:t xml:space="preserve"> </w:t>
      </w:r>
      <w:r>
        <w:t xml:space="preserve">escalation rate – are built from literature that accounts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adequately resampled nor escalated to D&amp;C. This is a genuine</w:t>
      </w:r>
      <w:r>
        <w:t xml:space="preserve"> </w:t>
      </w:r>
      <w:r>
        <w:t xml:space="preserve">absence of evidence for a differential risk between strategies, not</w:t>
      </w:r>
      <w:r>
        <w:t xml:space="preserve"> </w:t>
      </w:r>
      <w:r>
        <w:t xml:space="preserve">evidence that their true risks are equal: none of the underlying studies –</w:t>
      </w:r>
      <w:r>
        <w:t xml:space="preserve"> </w:t>
      </w:r>
      <w:r>
        <w:t xml:space="preserve">a Pipelle decision-tree model’s own repeat-attempt estimates, the general</w:t>
      </w:r>
      <w:r>
        <w:t xml:space="preserve"> </w:t>
      </w:r>
      <w:r>
        <w:t xml:space="preserve">(non-Lynch) Pipelle-failure literature they draw a repeat-success rate</w:t>
      </w:r>
      <w:r>
        <w:t xml:space="preserve"> </w:t>
      </w:r>
      <w:r>
        <w:t xml:space="preserve">from, or the combined-screening cohort – was designed to detect or report</w:t>
      </w:r>
      <w:r>
        <w:t xml:space="preserve"> </w:t>
      </w:r>
      <w:r>
        <w:t xml:space="preserve">a distinct unresolved-failure outcome, so a real difference between</w:t>
      </w:r>
      <w:r>
        <w:t xml:space="preserve"> </w:t>
      </w:r>
      <w:r>
        <w:t xml:space="preserve">strategies could exist without being visible to this analysis. What would</w:t>
      </w:r>
      <w:r>
        <w:t xml:space="preserve"> </w:t>
      </w:r>
      <w:r>
        <w:t xml:space="preserve">resolve this is a study, in either population, that follows sampling</w:t>
      </w:r>
      <w:r>
        <w:t xml:space="preserve"> </w:t>
      </w:r>
      <w:r>
        <w:t xml:space="preserve">failures forward far enough to confirm whether every patient with a failed</w:t>
      </w:r>
      <w:r>
        <w:t xml:space="preserve"> </w:t>
      </w:r>
      <w:r>
        <w:t xml:space="preserve">attempt eventually received either an adequate repeat sample or D&amp;C, rather</w:t>
      </w:r>
      <w:r>
        <w:t xml:space="preserve"> </w:t>
      </w:r>
      <w:r>
        <w:t xml:space="preserve">than assuming or inferring it from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small,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not a direct measurement, and the 25% repeat-attempt</w:t>
      </w:r>
      <w:r>
        <w:t xml:space="preserve"> </w:t>
      </w:r>
      <w:r>
        <w:t xml:space="preserve">success probability comes from a subgroup of only 8 patients in a single</w:t>
      </w:r>
      <w:r>
        <w:t xml:space="preserve"> </w:t>
      </w:r>
      <w:r>
        <w:t xml:space="preserve">U.S. health system’s Pipelle-failure cohort. Both parameters’ effects were</w:t>
      </w:r>
      <w:r>
        <w:t xml:space="preserve"> </w:t>
      </w:r>
      <w:r>
        <w:t xml:space="preserve">tested in sensitivity analysis rather than treated as fixed, but neither is</w:t>
      </w:r>
      <w:r>
        <w:t xml:space="preserve"> </w:t>
      </w:r>
      <w:r>
        <w:t xml:space="preserve">a direct measurement in a Lynch surveillance population.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Adambekov S, Goughnour SL, Mansuria S, Donnellan N, Elishaev E,</w:t>
      </w:r>
      <w:r>
        <w:t xml:space="preserve"> </w:t>
      </w:r>
      <w:r>
        <w:t xml:space="preserve">Villanueva HJ, Edwards RP, Bovbjerg DH, Linkov F. Patient and provider</w:t>
      </w:r>
      <w:r>
        <w:t xml:space="preserve"> </w:t>
      </w:r>
      <w:r>
        <w:t xml:space="preserve">factors associated with endometrial Pipelle sampling failure. Gynecol</w:t>
      </w:r>
      <w:r>
        <w:t xml:space="preserve"> </w:t>
      </w:r>
      <w:r>
        <w:t xml:space="preserve">Oncol 2017;144:324-328.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2026-09-02T01:57:25Z</dcterms:created>
  <dcterms:modified xsi:type="dcterms:W3CDTF">2026-09-02T01:57:25Z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