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 Transvaginal ultrasound was not modeled as a fourth comparator: NCCN’s own guideline states that transvaginal ultrasound has not been shown to have sufficient sensitivity or specificity to support a screening recommendation in this population, in contrast to endometrial biopsy.”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  <w:r>
              <w:t xml:space="preserve"> </w:t>
            </w:r>
            <w:r>
              <w:rPr>
                <w:b/>
                <w:bCs/>
              </w:rPr>
              <w:t xml:space="preserve">Methods, societal-perspective secondary check.</w:t>
            </w:r>
            <w:r>
              <w:t xml:space="preserve"> </w:t>
            </w:r>
            <w:r>
              <w:t xml:space="preserve">“As a supplementary societal-perspective check, we reintroduced patient time and travel-time opportunity costs the base case excludes…”</w:t>
            </w:r>
            <w:r>
              <w:t xml:space="preserve"> </w:t>
            </w:r>
            <w:r>
              <w:t xml:space="preserve">A second, deterministic perspective is reported alongside the primary healthcare-sector base case rather than substituted for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75%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  <w:r>
              <w:t xml:space="preserve"> </w:t>
            </w:r>
            <w:r>
              <w:rPr>
                <w:b/>
                <w:bCs/>
              </w:rPr>
              <w:t xml:space="preserve">Methods, clinical-outcome-sensitivity paragraph (secondary check).</w:t>
            </w:r>
            <w:r>
              <w:t xml:space="preserve"> </w:t>
            </w:r>
            <w:r>
              <w:t xml:space="preserve">“As a separate, deterministic check on the same equivalent-effectiveness assumption, we also computed each strategy’s overall probability of detecting a true cancer or endometrial hyperplasia, combining each arm’s sampling-escalation probabilities with published Pipelle and D&amp;C sensitivities from a general (non-Lynch) diagnostic-accuracy meta-analysis. This calculation is a point estimate only, not integrated into the probabilistic sensitivity analysis.”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$749.18 for standalone office biopsy and $3,839.81 for operative D&amp;C. Combined biopsy was $243.06 (32.4%)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$539.93 (SD $116.01) and office biopsy a mean cost of $755.70 (SD $119.99). Combined biopsy was the least expensive strategy in 91.4%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strategies. We tested that assumption two ways, with different results. First, whether a failed sample goes entirely undiagnosed… This is a genuine absence of evidence for a differential risk, not evidence the risks are equal… Second, each strategy’s overall detection probability for a true cancer or precancer, combining escalation probabilities with published (non-Lynch) Pipelle and D&amp;C sensitivities, suggested D&amp;C’s point estimate exceeds office and combined biopsy’s (see Results) – but D&amp;C’s own sensitivity carries a 95% confidence interval spanning 28.1%-99.3%, so this difference is far from established.”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and patient-time burden, than either alternative for Lynch syndrome surveillance – a conclusion robust to parameter uncertainty and practice location across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2026-09-02T23:38:46Z</dcterms:created>
  <dcterms:modified xsi:type="dcterms:W3CDTF">2026-09-02T23:38:46Z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