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Surveillance: A Decision-Analytic Model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[DRAFT, count words, limit 25] Combining endometrial biopsy with</w:t>
      </w:r>
      <w:r>
        <w:t xml:space="preserve"> </w:t>
      </w:r>
      <w:r>
        <w:t xml:space="preserve">an already-scheduled surveillance colonoscopy costs less than a standalone</w:t>
      </w:r>
      <w:r>
        <w:t xml:space="preserve"> </w:t>
      </w:r>
      <w:r>
        <w:t xml:space="preserve">office biopsy or operative dilation and curettage across a wide range of</w:t>
      </w:r>
      <w:r>
        <w:t xml:space="preserve"> </w:t>
      </w:r>
      <w:r>
        <w:t xml:space="preserve">assumptions and practice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$505.88 per</w:t>
      </w:r>
      <w:r>
        <w:t xml:space="preserve"> </w:t>
      </w:r>
      <w:r>
        <w:t xml:space="preserve">patient, compared with $764.93 for standalone office biopsy and $3,827.04</w:t>
      </w:r>
      <w:r>
        <w:t xml:space="preserve"> </w:t>
      </w:r>
      <w:r>
        <w:t xml:space="preserve">for operative D&amp;C. Combined biopsy was $259.04 (33.9%) less expensive than</w:t>
      </w:r>
      <w:r>
        <w:t xml:space="preserve"> </w:t>
      </w:r>
      <w:r>
        <w:t xml:space="preserve">standalone office biopsy and was cost-saving in 82.0%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$209.77 in a low-cost locality</w:t>
      </w:r>
      <w:r>
        <w:t xml:space="preserve"> </w:t>
      </w:r>
      <w:r>
        <w:t xml:space="preserve">to $353.14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0.34</w:t>
      </w:r>
      <w:r>
        <w:t xml:space="preserve"> </w:t>
      </w:r>
      <w:r>
        <w:t xml:space="preserve">vs 2.11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[NOT YET DRAFTED. Per the journal’s guidance: orient the reader to the</w:t>
      </w:r>
      <w:r>
        <w:t xml:space="preserve"> </w:t>
      </w:r>
      <w:r>
        <w:t xml:space="preserve">problem, preferably in one page or less, and clearly state the hypothesis</w:t>
      </w:r>
      <w:r>
        <w:t xml:space="preserve"> </w:t>
      </w:r>
      <w:r>
        <w:t xml:space="preserve">or objective; avoid a detailed literature review. This section should</w:t>
      </w:r>
      <w:r>
        <w:t xml:space="preserve"> </w:t>
      </w:r>
      <w:r>
        <w:t xml:space="preserve">establish: (1) Lynch syndrome’s endometrial cancer risk and the rationale</w:t>
      </w:r>
      <w:r>
        <w:t xml:space="preserve"> </w:t>
      </w:r>
      <w:r>
        <w:t xml:space="preserve">for biopsy-based surveillance, (2) the clinical and logistical burden of</w:t>
      </w:r>
      <w:r>
        <w:t xml:space="preserve"> </w:t>
      </w:r>
      <w:r>
        <w:t xml:space="preserve">standalone office biopsy (pain, a dedicated visit) that motivates</w:t>
      </w:r>
      <w:r>
        <w:t xml:space="preserve"> </w:t>
      </w:r>
      <w:r>
        <w:t xml:space="preserve">considering a combined-procedure alternative, (3) the gap this model fills</w:t>
      </w:r>
      <w:r>
        <w:t xml:space="preserve"> </w:t>
      </w:r>
      <w:r>
        <w:t xml:space="preserve">– no prior published cost comparison of these three specific strategies</w:t>
      </w:r>
      <w:r>
        <w:t xml:space="preserve"> </w:t>
      </w:r>
      <w:r>
        <w:t xml:space="preserve">for this specific population – and (4) the study objective, matching the</w:t>
      </w:r>
      <w:r>
        <w:t xml:space="preserve"> </w:t>
      </w:r>
      <w:r>
        <w:t xml:space="preserve">abstract’s Objective statement. Ask the author for the clinical framing and</w:t>
      </w:r>
      <w:r>
        <w:t xml:space="preserve"> </w:t>
      </w:r>
      <w:r>
        <w:t xml:space="preserve">guideline context (e.g., current NCCN/ACOG surveillance recommendations)</w:t>
      </w:r>
      <w:r>
        <w:t xml:space="preserve"> </w:t>
      </w:r>
      <w:r>
        <w:t xml:space="preserve">this section should cite.]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women with Lynch syndrome: standalone</w:t>
      </w:r>
      <w:r>
        <w:t xml:space="preserve"> </w:t>
      </w:r>
      <w:r>
        <w:t xml:space="preserve">office endometrial biopsy, operative dilation and curettage (D&amp;C), and</w:t>
      </w:r>
      <w:r>
        <w:t xml:space="preserve"> </w:t>
      </w:r>
      <w:r>
        <w:t xml:space="preserve">endometrial biopsy performed during an already-scheduled surveillance</w:t>
      </w:r>
      <w:r>
        <w:t xml:space="preserve"> </w:t>
      </w:r>
      <w:r>
        <w:t xml:space="preserve">colonoscopy (combined biopsy). The analysis took a U.S. health-system/payer</w:t>
      </w:r>
      <w:r>
        <w:t xml:space="preserve"> </w:t>
      </w:r>
      <w:r>
        <w:t xml:space="preserve">perspective, using Medicare-anchored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 rather than hospital charges.</w:t>
      </w:r>
      <w:r>
        <w:rPr>
          <w:vertAlign w:val="superscript"/>
        </w:rPr>
        <w:t xml:space="preserve">6</w:t>
      </w:r>
      <w:r>
        <w:t xml:space="preserve"> </w:t>
      </w:r>
      <w:r>
        <w:t xml:space="preserve">All costs are reported in</w:t>
      </w:r>
      <w:r>
        <w:t xml:space="preserve"> </w:t>
      </w:r>
      <w:r>
        <w:t xml:space="preserve">2026 U.S. dollars; costs originally reported in an earlier year were</w:t>
      </w:r>
      <w:r>
        <w:t xml:space="preserve"> </w:t>
      </w:r>
      <w:r>
        <w:t xml:space="preserve">inflation-adjusted using the Bureau of Labor Statistics Consumer Price Index</w:t>
      </w:r>
      <w:r>
        <w:t xml:space="preserve"> </w:t>
      </w:r>
      <w:r>
        <w:t xml:space="preserve">for Medical Care.</w:t>
      </w:r>
    </w:p>
    <w:p>
      <w:pPr>
        <w:pStyle w:val="BodyText"/>
      </w:pPr>
      <w:r>
        <w:t xml:space="preserve">A cost-minimization design assumes equivalent clinical effectiveness across</w:t>
      </w:r>
      <w:r>
        <w:t xml:space="preserve"> </w:t>
      </w:r>
      <w:r>
        <w:t xml:space="preserve">strategies – specifically,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conducted two supplementary</w:t>
      </w:r>
      <w:r>
        <w:t xml:space="preserve"> </w:t>
      </w:r>
      <w:r>
        <w:t xml:space="preserve">clinical-outcome sensitivity analyses that directly test, rather than merely</w:t>
      </w:r>
      <w:r>
        <w:t xml:space="preserve"> </w:t>
      </w:r>
      <w:r>
        <w:t xml:space="preserve">assume, this equivalence (described below).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The combined-arm</w:t>
      </w:r>
      <w:r>
        <w:t xml:space="preserve"> </w:t>
      </w:r>
      <w:r>
        <w:t xml:space="preserve">probability of escalation to D&amp;C was the directly observed rate from a</w:t>
      </w:r>
      <w:r>
        <w:t xml:space="preserve"> </w:t>
      </w:r>
      <w:r>
        <w:t xml:space="preserve">10.5-year, 111-visit combined-screening cohort (2 of 111 visits, 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 range 1-12</w:t>
      </w:r>
      <w:r>
        <w:t xml:space="preserve"> </w:t>
      </w:r>
      <w:r>
        <w:t xml:space="preserve">minutes) and incremental anesthesia requirement (no increase in dosing) were</w:t>
      </w:r>
      <w:r>
        <w:t xml:space="preserve"> </w:t>
      </w:r>
      <w:r>
        <w:t xml:space="preserve">drawn from a prospective feasibility study of the combined 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for the office-biopsy arm, we estimated the probability of</w:t>
      </w:r>
      <w:r>
        <w:t xml:space="preserve"> </w:t>
      </w:r>
      <w:r>
        <w:t xml:space="preserve">a failed sampling attempt that is not rescued to D&amp;C,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We were unable to construct a symmetric estimate for the</w:t>
      </w:r>
      <w:r>
        <w:t xml:space="preserve"> </w:t>
      </w:r>
      <w:r>
        <w:t xml:space="preserve">combined-biopsy arm, because the available combined-screening literature</w:t>
      </w:r>
      <w:r>
        <w:t xml:space="preserve"> </w:t>
      </w:r>
      <w:r>
        <w:t xml:space="preserve">reports a directly observed escalation-to-D&amp;C probability but does not</w:t>
      </w:r>
      <w:r>
        <w:t xml:space="preserve"> </w:t>
      </w:r>
      <w:r>
        <w:t xml:space="preserve">separately report the fraction of combined-biopsy failures, if any, that go</w:t>
      </w:r>
      <w:r>
        <w:t xml:space="preserve"> </w:t>
      </w:r>
      <w:r>
        <w:t xml:space="preserve">unresolved without follow-up sampling; this limitation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$505.88 per patient,</w:t>
      </w:r>
      <w:r>
        <w:t xml:space="preserve"> </w:t>
      </w:r>
      <w:r>
        <w:t xml:space="preserve">compared with $764.93 for standalone office biopsy and $3,827.04 for</w:t>
      </w:r>
      <w:r>
        <w:t xml:space="preserve"> </w:t>
      </w:r>
      <w:r>
        <w:t xml:space="preserve">operative D&amp;C. Combined biopsy was $259.04 (33.9%)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-$144.23 to -$515.45 across its 10.3%-20.0%</w:t>
      </w:r>
      <w:r>
        <w:t xml:space="preserve"> </w:t>
      </w:r>
      <w:r>
        <w:t xml:space="preserve">bound) and the combined arm’s incremental procedure time (range -$392.78 to</w:t>
      </w:r>
      <w:r>
        <w:t xml:space="preserve"> </w:t>
      </w:r>
      <w:r>
        <w:t xml:space="preserve">-$24.99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$24.99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$536.50 (SD $113.50) and office biopsy a mean cost of $678.20 (SD</w:t>
      </w:r>
      <w:r>
        <w:t xml:space="preserve"> </w:t>
      </w:r>
      <w:r>
        <w:t xml:space="preserve">$114.50). Combined biopsy was the least expensive strategy in 82.0%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12.7 minutes and as long</w:t>
      </w:r>
      <w:r>
        <w:t xml:space="preserve"> </w:t>
      </w:r>
      <w:r>
        <w:t xml:space="preserve">as the office biopsy failure probability stayed above approximately 6.5%.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$2,590 to $259,043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$209.77 per patient in</w:t>
      </w:r>
      <w:r>
        <w:t xml:space="preserve"> </w:t>
      </w:r>
      <w:r>
        <w:t xml:space="preserve">the low-cost locality to $274.33 in the mid-cost locality to $353.14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0.34 events per 1,000 patients) than for office</w:t>
      </w:r>
      <w:r>
        <w:t xml:space="preserve"> </w:t>
      </w:r>
      <w:r>
        <w:t xml:space="preserve">biopsy (mean 2.11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19.16 per 1,000. The office-biopsy arm’s estimated</w:t>
      </w:r>
      <w:r>
        <w:t xml:space="preserve"> </w:t>
      </w:r>
      <w:r>
        <w:t xml:space="preserve">delayed-neoplasia risk (a failed sample not rescued to D&amp;C that represents</w:t>
      </w:r>
      <w:r>
        <w:t xml:space="preserve"> </w:t>
      </w:r>
      <w:r>
        <w:t xml:space="preserve">cancer or precancer) had a mean of 1.52 per 1,000 patients. The</w:t>
      </w:r>
      <w:r>
        <w:t xml:space="preserve"> </w:t>
      </w:r>
      <w:r>
        <w:t xml:space="preserve">combined-biopsy arm’s estimated delayed-neoplasia risk was 0.00 in all 1,000</w:t>
      </w:r>
      <w:r>
        <w:t xml:space="preserve"> </w:t>
      </w:r>
      <w:r>
        <w:t xml:space="preserve">draws by construction, not because the underlying risk is known to be zero</w:t>
      </w:r>
      <w:r>
        <w:t xml:space="preserve"> </w:t>
      </w:r>
      <w:r>
        <w:t xml:space="preserve">(see Discussion); we therefore report this as an exploratory,</w:t>
      </w:r>
      <w:r>
        <w:t xml:space="preserve"> </w:t>
      </w:r>
      <w:r>
        <w:t xml:space="preserve">office-arm-specific finding rather than a head-to-head comparison.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[NOT YET DRAFTED. Per the journal’s guidance: begin with what the study</w:t>
      </w:r>
      <w:r>
        <w:t xml:space="preserve"> </w:t>
      </w:r>
      <w:r>
        <w:t xml:space="preserve">found in relation to the stated objective, then address: (1) clinical and</w:t>
      </w:r>
      <w:r>
        <w:t xml:space="preserve"> </w:t>
      </w:r>
      <w:r>
        <w:t xml:space="preserve">policy significance of the finding that combined biopsy is both less</w:t>
      </w:r>
      <w:r>
        <w:t xml:space="preserve"> </w:t>
      </w:r>
      <w:r>
        <w:t xml:space="preserve">costly AND less exposed to procedural adverse events; (2) the principal</w:t>
      </w:r>
      <w:r>
        <w:t xml:space="preserve"> </w:t>
      </w:r>
      <w:r>
        <w:t xml:space="preserve">limitation, stated plainly: the model’s assumption of equivalent diagnostic</w:t>
      </w:r>
      <w:r>
        <w:t xml:space="preserve"> </w:t>
      </w:r>
      <w:r>
        <w:t xml:space="preserve">effectiveness is tested but not fully validated – the delayed-neoplasia</w:t>
      </w:r>
      <w:r>
        <w:t xml:space="preserve"> </w:t>
      </w:r>
      <w:r>
        <w:t xml:space="preserve">metric is structurally asymmetric (zero for the combined arm by construction,</w:t>
      </w:r>
      <w:r>
        <w:t xml:space="preserve"> </w:t>
      </w:r>
      <w:r>
        <w:t xml:space="preserve">not by evidence), because no published study reports the fraction of failed</w:t>
      </w:r>
      <w:r>
        <w:t xml:space="preserve"> </w:t>
      </w:r>
      <w:r>
        <w:t xml:space="preserve">combined-biopsy attempts that go unresolved without follow-up sampling; (3)</w:t>
      </w:r>
      <w:r>
        <w:t xml:space="preserve"> </w:t>
      </w:r>
      <w:r>
        <w:t xml:space="preserve">other limitations: the office-arm escalation-to-D&amp;C fraction remains a</w:t>
      </w:r>
      <w:r>
        <w:t xml:space="preserve"> </w:t>
      </w:r>
      <w:r>
        <w:t xml:space="preserve">100% provisional assumption; D&amp;C’s own failure/escalation risk is not</w:t>
      </w:r>
      <w:r>
        <w:t xml:space="preserve"> </w:t>
      </w:r>
      <w:r>
        <w:t xml:space="preserve">modeled; adverse-event costs are not monetized; several clinical</w:t>
      </w:r>
      <w:r>
        <w:t xml:space="preserve"> </w:t>
      </w:r>
      <w:r>
        <w:t xml:space="preserve">probabilities are drawn from general rather than Lynch-specific populations;</w:t>
      </w:r>
      <w:r>
        <w:t xml:space="preserve"> </w:t>
      </w:r>
      <w:r>
        <w:t xml:space="preserve">(4) comparison with existing literature/guidelines; (5) what evidence would</w:t>
      </w:r>
      <w:r>
        <w:t xml:space="preserve"> </w:t>
      </w:r>
      <w:r>
        <w:t xml:space="preserve">resolve the principal limitation (e.g., aggregate counts from existing</w:t>
      </w:r>
      <w:r>
        <w:t xml:space="preserve"> </w:t>
      </w:r>
      <w:r>
        <w:t xml:space="preserve">combined-screening cohorts of total attempts, insufficient-tissue</w:t>
      </w:r>
      <w:r>
        <w:t xml:space="preserve"> </w:t>
      </w:r>
      <w:r>
        <w:t xml:space="preserve">specimens, and follow-up pathway); (6) conclusion, directly supported by</w:t>
      </w:r>
      <w:r>
        <w:t xml:space="preserve"> </w:t>
      </w:r>
      <w:r>
        <w:t xml:space="preserve">data, without</w:t>
      </w:r>
      <w:r>
        <w:t xml:space="preserve"> </w:t>
      </w:r>
      <w:r>
        <w:t xml:space="preserve">“further research is needed”</w:t>
      </w:r>
      <w:r>
        <w:t xml:space="preserve"> </w:t>
      </w:r>
      <w:r>
        <w:t xml:space="preserve">framing per the journal’s</w:t>
      </w:r>
      <w:r>
        <w:t xml:space="preserve"> </w:t>
      </w:r>
      <w:r>
        <w:t xml:space="preserve">explicit instruction. Ask the author for the clinical/policy framing this</w:t>
      </w:r>
      <w:r>
        <w:t xml:space="preserve"> </w:t>
      </w:r>
      <w:r>
        <w:t xml:space="preserve">section should take.]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 [VERIFY exact page range]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2026-08-31T19:32:35Z</dcterms:created>
  <dcterms:modified xsi:type="dcterms:W3CDTF">2026-08-31T19:32:35Z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