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$485 per</w:t>
      </w:r>
      <w:r>
        <w:t xml:space="preserve"> </w:t>
      </w:r>
      <w:r>
        <w:t xml:space="preserve">patient, compared with $727 for standalone office biopsy and $3,823</w:t>
      </w:r>
      <w:r>
        <w:t xml:space="preserve"> </w:t>
      </w:r>
      <w:r>
        <w:t xml:space="preserve">for operative D&amp;C. Combined biopsy was $242 (33.3%) less expensive than</w:t>
      </w:r>
      <w:r>
        <w:t xml:space="preserve"> </w:t>
      </w:r>
      <w:r>
        <w:t xml:space="preserve">standalone office biopsy and was cost-saving in 91.8%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$195 in a low-cost locality</w:t>
      </w:r>
      <w:r>
        <w:t xml:space="preserve"> </w:t>
      </w:r>
      <w:r>
        <w:t xml:space="preserve">to $333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0.36</w:t>
      </w:r>
      <w:r>
        <w:t xml:space="preserve"> </w:t>
      </w:r>
      <w:r>
        <w:t xml:space="preserve">vs 2.48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 (NCCN category 2A).</w:t>
      </w:r>
      <w:r>
        <w:rPr>
          <w:vertAlign w:val="superscript"/>
        </w:rPr>
        <w:t xml:space="preserve">1</w:t>
      </w:r>
      <w:r>
        <w:t xml:space="preserve"> </w:t>
      </w:r>
      <w:r>
        <w:t xml:space="preserve">This</w:t>
      </w:r>
      <w:r>
        <w:t xml:space="preserve"> </w:t>
      </w:r>
      <w:r>
        <w:t xml:space="preserve">guideline specifies timing and eligibility, not delivery method. Office</w:t>
      </w:r>
      <w:r>
        <w:t xml:space="preserve"> </w:t>
      </w:r>
      <w:r>
        <w:t xml:space="preserve">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specimen, with failure rates of 20%, 10%, and</w:t>
      </w:r>
      <w:r>
        <w:t xml:space="preserve"> </w:t>
      </w:r>
      <w:r>
        <w:t xml:space="preserve">20% reported in three Lynch-syndrome-specific cohorts.</w:t>
      </w:r>
      <w:r>
        <w:rPr>
          <w:vertAlign w:val="superscript"/>
        </w:rPr>
        <w:t xml:space="preserve">2,3,4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alternatives, standalone office biopsy or operative dilation and</w:t>
      </w:r>
      <w:r>
        <w:t xml:space="preserve"> </w:t>
      </w:r>
      <w:r>
        <w:t xml:space="preserve">curettage (D&amp;C),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Transvaginal ultrasound was not modeled as a</w:t>
      </w:r>
      <w:r>
        <w:t xml:space="preserve"> </w:t>
      </w:r>
      <w:r>
        <w:t xml:space="preserve">fourth comparator: NCCN’s own guideline states that transvaginal ultrasound</w:t>
      </w:r>
      <w:r>
        <w:t xml:space="preserve"> </w:t>
      </w:r>
      <w:r>
        <w:t xml:space="preserve">has not been shown to have sufficient sensitivity or specificity to support</w:t>
      </w:r>
      <w:r>
        <w:t xml:space="preserve"> </w:t>
      </w:r>
      <w:r>
        <w:t xml:space="preserve">a screening recommendation in this population, in contrast to endometrial</w:t>
      </w:r>
      <w:r>
        <w:t xml:space="preserve"> </w:t>
      </w:r>
      <w:r>
        <w:t xml:space="preserve">biopsy.</w:t>
      </w:r>
      <w:r>
        <w:rPr>
          <w:vertAlign w:val="superscript"/>
        </w:rPr>
        <w:t xml:space="preserve">1</w:t>
      </w:r>
    </w:p>
    <w:p>
      <w:pPr>
        <w:pStyle w:val="BodyText"/>
      </w:pPr>
      <w:r>
        <w:t xml:space="preserve">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5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 endometrial-surveillance episode: the</w:t>
      </w:r>
      <w:r>
        <w:t xml:space="preserve"> </w:t>
      </w:r>
      <w:r>
        <w:t xml:space="preserve">initial sampling strategy through any rescue D&amp;C after an unsuccessful</w:t>
      </w:r>
      <w:r>
        <w:t xml:space="preserve"> </w:t>
      </w:r>
      <w:r>
        <w:t xml:space="preserve">attempt; costs beyond resolution of 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(which sampling strategy a program</w:t>
      </w:r>
      <w:r>
        <w:t xml:space="preserve"> </w:t>
      </w:r>
      <w:r>
        <w:t xml:space="preserve">should adopt) is, in the base case, a cost-minimization question:</w:t>
      </w:r>
      <w:r>
        <w:t xml:space="preserve"> </w:t>
      </w:r>
      <w:r>
        <w:t xml:space="preserve">cost-minimization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</w:t>
      </w:r>
      <w:r>
        <w:t xml:space="preserve"> </w:t>
      </w:r>
      <w:r>
        <w:t xml:space="preserve">willingness-to-pay threshold, or efficiency frontier). Instead, we selected</w:t>
      </w:r>
      <w:r>
        <w:t xml:space="preserve"> </w:t>
      </w:r>
      <w:r>
        <w:t xml:space="preserve">two secondary outcomes (D&amp;C-related adverse-event exposure and</w:t>
      </w:r>
      <w:r>
        <w:t xml:space="preserve"> </w:t>
      </w:r>
      <w:r>
        <w:t xml:space="preserve">delayed-neoplasia probability) to test, rather than assume, this</w:t>
      </w:r>
      <w:r>
        <w:t xml:space="preserve"> </w:t>
      </w:r>
      <w:r>
        <w:t xml:space="preserve">equivalence (described below), both reported as event counts per 1,000</w:t>
      </w:r>
      <w:r>
        <w:t xml:space="preserve"> </w:t>
      </w:r>
      <w:r>
        <w:t xml:space="preserve">patients rather than converted to a utility, quality-adjusted life-year, or</w:t>
      </w:r>
      <w:r>
        <w:t xml:space="preserve"> </w:t>
      </w:r>
      <w:r>
        <w:t xml:space="preserve">monetary value.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7</w:t>
      </w:r>
      <w:r>
        <w:t xml:space="preserve"> </w:t>
      </w:r>
      <w:r>
        <w:t xml:space="preserve">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colonoscopy regardless of whether biopsy is added, no</w:t>
      </w:r>
      <w:r>
        <w:t xml:space="preserve"> </w:t>
      </w:r>
      <w:r>
        <w:t xml:space="preserve">colonoscopy base cost, gastroenterology fee, or baseline sedation cost</w:t>
      </w:r>
      <w:r>
        <w:t xml:space="preserve"> </w:t>
      </w:r>
      <w:r>
        <w:t xml:space="preserve">was charged; only incremental costs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succeeding 75% of the time based on a separate, much larger</w:t>
      </w:r>
      <w:r>
        <w:t xml:space="preserve"> </w:t>
      </w:r>
      <w:r>
        <w:t xml:space="preserve">cohort of patients with an insufficient endometrial sample,</w:t>
      </w:r>
      <w:r>
        <w:rPr>
          <w:vertAlign w:val="superscript"/>
        </w:rPr>
        <w:t xml:space="preserve">9</w:t>
      </w:r>
      <w:r>
        <w:t xml:space="preserve"> </w:t>
      </w:r>
      <w:r>
        <w:t xml:space="preserve">or direct</w:t>
      </w:r>
      <w:r>
        <w:t xml:space="preserve"> </w:t>
      </w:r>
      <w:r>
        <w:t xml:space="preserve">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11</w:t>
      </w:r>
    </w:p>
    <w:p>
      <w:pPr>
        <w:pStyle w:val="BodyText"/>
      </w:pPr>
      <w:r>
        <w:t xml:space="preserve">We conducted five complementary sensitivity analyses: deterministic</w:t>
      </w:r>
      <w:r>
        <w:t xml:space="preserve"> </w:t>
      </w:r>
      <w:r>
        <w:t xml:space="preserve">one-way sensitivity analysis, varying ten parameters individually across</w:t>
      </w:r>
      <w:r>
        <w:t xml:space="preserve"> </w:t>
      </w:r>
      <w:r>
        <w:t xml:space="preserve">low/high bounds; probabilistic sensitivity analysis, drawing 1,000 Monte</w:t>
      </w:r>
      <w:r>
        <w:t xml:space="preserve"> </w:t>
      </w:r>
      <w:r>
        <w:t xml:space="preserve">Carlo samples from distributions matched to evidence type (beta for</w:t>
      </w:r>
      <w:r>
        <w:t xml:space="preserve"> </w:t>
      </w:r>
      <w:r>
        <w:t xml:space="preserve">probabilities, gamma for costs, triangular for plausibility ranges);</w:t>
      </w:r>
      <w:r>
        <w:t xml:space="preserve"> </w:t>
      </w:r>
      <w:r>
        <w:t xml:space="preserve">threshold analysis, solving for the parameter value at which combined</w:t>
      </w:r>
      <w:r>
        <w:t xml:space="preserve"> </w:t>
      </w:r>
      <w:r>
        <w:t xml:space="preserve">biopsy’s cost advantage over office biopsy would be lost; scenario</w:t>
      </w:r>
      <w:r>
        <w:t xml:space="preserve"> </w:t>
      </w:r>
      <w:r>
        <w:t xml:space="preserve">analysis, modeling Medicaid/commercial reimbursement using hospital price-transparency payer ratios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</w:t>
      </w:r>
      <w:r>
        <w:t xml:space="preserve"> </w:t>
      </w:r>
      <w:r>
        <w:t xml:space="preserve">alternative combined-arm preoperative-visit assumption; and budget-impact</w:t>
      </w:r>
      <w:r>
        <w:t xml:space="preserve"> </w:t>
      </w:r>
      <w:r>
        <w:t xml:space="preserve">analysis, projecting annualized savings across illustrative cohort</w:t>
      </w:r>
      <w:r>
        <w:t xml:space="preserve"> </w:t>
      </w:r>
      <w:r>
        <w:t xml:space="preserve">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Index, applying the standard RVU-weighted</w:t>
      </w:r>
      <w:r>
        <w:t xml:space="preserve"> </w:t>
      </w:r>
      <w:r>
        <w:t xml:space="preserve">relative-value formula for the relevant procedure code and setting.</w:t>
      </w:r>
      <w:r>
        <w:rPr>
          <w:vertAlign w:val="superscript"/>
        </w:rPr>
        <w:t xml:space="preserve">5</w:t>
      </w:r>
      <w:r>
        <w:t xml:space="preserve"> </w:t>
      </w:r>
      <w:r>
        <w:t xml:space="preserve">The</w:t>
      </w:r>
      <w:r>
        <w:t xml:space="preserve"> </w:t>
      </w:r>
      <w:r>
        <w:t xml:space="preserve">D&amp;C facility fee was adjusted using the real Hospital Outpatient</w:t>
      </w:r>
      <w:r>
        <w:t xml:space="preserve"> </w:t>
      </w:r>
      <w:r>
        <w:t xml:space="preserve">Prospective Payment System wage index for the relevant core-based</w:t>
      </w:r>
      <w:r>
        <w:t xml:space="preserve"> </w:t>
      </w:r>
      <w:r>
        <w:t xml:space="preserve">statistical area,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applying the standard labor-related-share formula</w:t>
      </w:r>
      <w:r>
        <w:t xml:space="preserve"> </w:t>
      </w:r>
      <w:r>
        <w:t xml:space="preserve">with the actual 60% labor-related share finalized for the payment year.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As a separate, deterministic check on the same equivalent-effectiveness</w:t>
      </w:r>
      <w:r>
        <w:t xml:space="preserve"> </w:t>
      </w:r>
      <w:r>
        <w:t xml:space="preserve">assumption, we also computed each strategy’s overall probability of</w:t>
      </w:r>
      <w:r>
        <w:t xml:space="preserve"> </w:t>
      </w:r>
      <w:r>
        <w:t xml:space="preserve">detecting a true cancer or endometrial hyperplasia, combining each arm’s</w:t>
      </w:r>
      <w:r>
        <w:t xml:space="preserve"> </w:t>
      </w:r>
      <w:r>
        <w:t xml:space="preserve">sampling-escalation probabilities with published Pipelle and D&amp;C</w:t>
      </w:r>
      <w:r>
        <w:t xml:space="preserve"> </w:t>
      </w:r>
      <w:r>
        <w:t xml:space="preserve">sensitivities from a general (non-Lynch) diagnostic-accuracy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This calculation is a point estimate only, not</w:t>
      </w:r>
      <w:r>
        <w:t xml:space="preserve"> </w:t>
      </w:r>
      <w:r>
        <w:t xml:space="preserve">integrated into the probabilistic sensitivity analysis; see Discussion for</w:t>
      </w:r>
      <w:r>
        <w:t xml:space="preserve"> </w:t>
      </w:r>
      <w:r>
        <w:t xml:space="preserve">its limitations.</w:t>
      </w:r>
    </w:p>
    <w:p>
      <w:pPr>
        <w:pStyle w:val="BodyText"/>
      </w:pPr>
      <w:r>
        <w:t xml:space="preserve">As a lighter alternative to a full cost-utility analysis, we also</w:t>
      </w:r>
      <w:r>
        <w:t xml:space="preserve"> </w:t>
      </w:r>
      <w:r>
        <w:t xml:space="preserve">computed cost per additional true case detected between adjacent</w:t>
      </w:r>
      <w:r>
        <w:t xml:space="preserve"> </w:t>
      </w:r>
      <w:r>
        <w:t xml:space="preserve">strategies, combining costs with the detection probabilities above and</w:t>
      </w:r>
      <w:r>
        <w:t xml:space="preserve"> </w:t>
      </w:r>
      <w:r>
        <w:t xml:space="preserve">checking for dominance; also a point estimate, not PSA-integrated.</w:t>
      </w:r>
    </w:p>
    <w:p>
      <w:pPr>
        <w:pStyle w:val="BodyText"/>
      </w:pPr>
      <w:r>
        <w:t xml:space="preserve">As a supplementary societal-perspective check, we reintroduced patient</w:t>
      </w:r>
      <w:r>
        <w:t xml:space="preserve"> </w:t>
      </w:r>
      <w:r>
        <w:t xml:space="preserve">time and travel-time opportunity costs the base case excludes: each</w:t>
      </w:r>
      <w:r>
        <w:t xml:space="preserve"> </w:t>
      </w:r>
      <w:r>
        <w:t xml:space="preserve">strategy’s expected number of dedicated patient encounters (office or</w:t>
      </w:r>
      <w:r>
        <w:t xml:space="preserve"> </w:t>
      </w:r>
      <w:r>
        <w:t xml:space="preserve">preoperative visits, repeat visits, and D&amp;C’s own preoperative visit plus</w:t>
      </w:r>
      <w:r>
        <w:t xml:space="preserve"> </w:t>
      </w:r>
      <w:r>
        <w:t xml:space="preserve">procedure day, weighted by the same escalation probabilities) was valued</w:t>
      </w:r>
      <w:r>
        <w:t xml:space="preserve"> </w:t>
      </w:r>
      <w:r>
        <w:t xml:space="preserve">at a published average opportunity cost per ambulatory visit.</w:t>
      </w:r>
      <w:r>
        <w:rPr>
          <w:vertAlign w:val="superscript"/>
        </w:rPr>
        <w:t xml:space="preserve">17</w:t>
      </w:r>
      <w:r>
        <w:t xml:space="preserve"> </w:t>
      </w:r>
      <w:r>
        <w:t xml:space="preserve">This</w:t>
      </w:r>
      <w:r>
        <w:t xml:space="preserve"> </w:t>
      </w:r>
      <w:r>
        <w:t xml:space="preserve">deterministic, non-PSA calculation values every encounter equally and</w:t>
      </w:r>
      <w:r>
        <w:t xml:space="preserve"> </w:t>
      </w:r>
      <w:r>
        <w:t xml:space="preserve">excludes travel expense and caregiver time (see Discussion); we also</w:t>
      </w:r>
      <w:r>
        <w:t xml:space="preserve"> </w:t>
      </w:r>
      <w:r>
        <w:t xml:space="preserve">report it under the existing scenario folding combined biopsy’s</w:t>
      </w:r>
      <w:r>
        <w:t xml:space="preserve"> </w:t>
      </w:r>
      <w:r>
        <w:t xml:space="preserve">preoperative visit into the colonoscopy day.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location),</w:t>
      </w:r>
      <w:r>
        <w:t xml:space="preserve"> </w:t>
      </w:r>
      <w:r>
        <w:t xml:space="preserve">not patient-level heterogeneity: the model does not stratify results by</w:t>
      </w:r>
      <w:r>
        <w:t xml:space="preserve"> </w:t>
      </w:r>
      <w:r>
        <w:t xml:space="preserve">age, genotype, menopausal status, or other individual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clinical workflow (e.g., whether the</w:t>
      </w:r>
      <w:r>
        <w:t xml:space="preserve"> </w:t>
      </w:r>
      <w:r>
        <w:t xml:space="preserve">combined arm requires a separate preoperative office visit) were informed</w:t>
      </w:r>
      <w:r>
        <w:t xml:space="preserve"> </w:t>
      </w:r>
      <w:r>
        <w:t xml:space="preserve">by clinician-investigator practice experience; no formal patient or public</w:t>
      </w:r>
      <w:r>
        <w:t xml:space="preserve"> </w:t>
      </w:r>
      <w:r>
        <w:t xml:space="preserve">engagement process was undertaken.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19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</w:t>
      </w:r>
      <w:r>
        <w:t xml:space="preserve"> </w:t>
      </w:r>
      <w:r>
        <w:t xml:space="preserve"> </w:t>
      </w:r>
      <w:r>
        <w:t xml:space="preserve">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$485 per patient,</w:t>
      </w:r>
      <w:r>
        <w:t xml:space="preserve"> </w:t>
      </w:r>
      <w:r>
        <w:t xml:space="preserve">compared with $727 for standalone office biopsy and $3,823 for</w:t>
      </w:r>
      <w:r>
        <w:t xml:space="preserve"> </w:t>
      </w:r>
      <w:r>
        <w:t xml:space="preserve">operative D&amp;C. Combined biopsy was $242 (33.3%)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-$132 to -$490 across its 10.3%-20.0%</w:t>
      </w:r>
      <w:r>
        <w:t xml:space="preserve"> </w:t>
      </w:r>
      <w:r>
        <w:t xml:space="preserve">bound) and the combined arm’s incremental procedure time (range -$375 to</w:t>
      </w:r>
      <w:r>
        <w:t xml:space="preserve"> </w:t>
      </w:r>
      <w:r>
        <w:t xml:space="preserve">-$10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$10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$519 (SD $115) and office biopsy a mean cost of $733 (SD</w:t>
      </w:r>
      <w:r>
        <w:t xml:space="preserve"> </w:t>
      </w:r>
      <w:r>
        <w:t xml:space="preserve">$119). Combined biopsy was the least expensive strategy in 91.8%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12.3 minutes and as long</w:t>
      </w:r>
      <w:r>
        <w:t xml:space="preserve"> </w:t>
      </w:r>
      <w:r>
        <w:t xml:space="preserve">as the office biopsy failure probability stayed above approximately 6.7%.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$2,424 to $242,363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$195 per patient in</w:t>
      </w:r>
      <w:r>
        <w:t xml:space="preserve"> </w:t>
      </w:r>
      <w:r>
        <w:t xml:space="preserve">the low-cost locality to $257 in the mid-cost locality to $333 per</w:t>
      </w:r>
      <w:r>
        <w:t xml:space="preserve"> </w:t>
      </w:r>
      <w:r>
        <w:t xml:space="preserve">patient in the high-cost locality;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0.36 events per 1,000 patients) than for office</w:t>
      </w:r>
      <w:r>
        <w:t xml:space="preserve"> </w:t>
      </w:r>
      <w:r>
        <w:t xml:space="preserve">biopsy (mean 2.48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19.19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p>
      <w:pPr>
        <w:pStyle w:val="BodyText"/>
      </w:pPr>
      <w:r>
        <w:t xml:space="preserve">The secondary detection-probability check found each strategy’s overall</w:t>
      </w:r>
      <w:r>
        <w:t xml:space="preserve"> </w:t>
      </w:r>
      <w:r>
        <w:t xml:space="preserve">probability of detecting a true cancer was 78.8% for office biopsy, 77.6%</w:t>
      </w:r>
      <w:r>
        <w:t xml:space="preserve"> </w:t>
      </w:r>
      <w:r>
        <w:t xml:space="preserve">for combined biopsy, and 88.0% for D&amp;C; for atypical endometrial</w:t>
      </w:r>
      <w:r>
        <w:t xml:space="preserve"> </w:t>
      </w:r>
      <w:r>
        <w:t xml:space="preserve">hyperplasia, the corresponding probabilities were 74.8%, 74.1%, and 80.0%.</w:t>
      </w:r>
      <w:r>
        <w:t xml:space="preserve"> </w:t>
      </w:r>
      <w:r>
        <w:t xml:space="preserve">D&amp;C’s point estimate was the highest of the three for both conditions, but</w:t>
      </w:r>
      <w:r>
        <w:t xml:space="preserve"> </w:t>
      </w:r>
      <w:r>
        <w:t xml:space="preserve">its underlying sensitivity carries a very wide 95% confidence interval</w:t>
      </w:r>
      <w:r>
        <w:t xml:space="preserve"> </w:t>
      </w:r>
      <w:r>
        <w:t xml:space="preserve">(28.1%-99.3%, from only 5 pooled studies), compared with 56.5%-90.0% for</w:t>
      </w:r>
      <w:r>
        <w:t xml:space="preserve"> </w:t>
      </w:r>
      <w:r>
        <w:t xml:space="preserve">Pipelle; this ordering is therefore far from established (see Discussion).</w:t>
      </w:r>
    </w:p>
    <w:p>
      <w:pPr>
        <w:pStyle w:val="BodyText"/>
      </w:pPr>
      <w:r>
        <w:t xml:space="preserve">This cost-consequence check found no strategy dominated: switching</w:t>
      </w:r>
      <w:r>
        <w:t xml:space="preserve"> </w:t>
      </w:r>
      <w:r>
        <w:t xml:space="preserve">combined to office biopsy cost $20,784 per additional cancer case</w:t>
      </w:r>
      <w:r>
        <w:t xml:space="preserve"> </w:t>
      </w:r>
      <w:r>
        <w:t xml:space="preserve">detected, office to D&amp;C $33,488 (atypical endometrial hyperplasia: $36,718 and $59,162).</w:t>
      </w:r>
    </w:p>
    <w:p>
      <w:pPr>
        <w:pStyle w:val="BodyText"/>
      </w:pPr>
      <w:r>
        <w:t xml:space="preserve">Reintroducing patient time/travel opportunity costs widened combined</w:t>
      </w:r>
      <w:r>
        <w:t xml:space="preserve"> </w:t>
      </w:r>
      <w:r>
        <w:t xml:space="preserve">biopsy’s advantage over office biopsy from $242 to $257 per patient</w:t>
      </w:r>
      <w:r>
        <w:t xml:space="preserve"> </w:t>
      </w:r>
      <w:r>
        <w:t xml:space="preserve">($553 vs $810 total cost); D&amp;C’s total was $3,954. Folding</w:t>
      </w:r>
      <w:r>
        <w:t xml:space="preserve"> </w:t>
      </w:r>
      <w:r>
        <w:t xml:space="preserve">combined biopsy’s preoperative visit into the colonoscopy day widened</w:t>
      </w:r>
      <w:r>
        <w:t xml:space="preserve"> </w:t>
      </w:r>
      <w:r>
        <w:t xml:space="preserve">this advantage further, to $412 ($399 vs $810).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empirical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procedure, and a supplementary societal-perspective analysis</w:t>
      </w:r>
      <w:r>
        <w:t xml:space="preserve"> </w:t>
      </w:r>
      <w:r>
        <w:t xml:space="preserve">found that reintroducing patient time and travel costs the base case</w:t>
      </w:r>
      <w:r>
        <w:t xml:space="preserve"> </w:t>
      </w:r>
      <w:r>
        <w:t xml:space="preserve">excludes widened, rather than narrowed, its cost advantage (see Results).</w:t>
      </w:r>
      <w:r>
        <w:t xml:space="preserve"> </w:t>
      </w:r>
      <w:r>
        <w:t xml:space="preserve">Together, these findings suggest combined biopsy is not simply a</w:t>
      </w:r>
      <w:r>
        <w:t xml:space="preserve"> </w:t>
      </w:r>
      <w:r>
        <w:t xml:space="preserve">lower-cost substitute but a strategy that reduces cost, procedural risk,</w:t>
      </w:r>
      <w:r>
        <w:t xml:space="preserve"> </w:t>
      </w:r>
      <w:r>
        <w:t xml:space="preserve">and patient burden relative to standalone office biopsy, a combination</w:t>
      </w:r>
      <w:r>
        <w:t xml:space="preserve"> </w:t>
      </w:r>
      <w:r>
        <w:t xml:space="preserve">that should make it an attractive default where gastroenterology and</w:t>
      </w:r>
      <w:r>
        <w:t xml:space="preserve"> </w:t>
      </w:r>
      <w:r>
        <w:t xml:space="preserve">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strategies. We</w:t>
      </w:r>
      <w:r>
        <w:t xml:space="preserve"> </w:t>
      </w:r>
      <w:r>
        <w:t xml:space="preserve">tested that assumption two ways, with different results. First, whether a</w:t>
      </w:r>
      <w:r>
        <w:t xml:space="preserve"> </w:t>
      </w:r>
      <w:r>
        <w:t xml:space="preserve">failed sample goes entirely undiagnosed: both arms’ failure-resolution</w:t>
      </w:r>
      <w:r>
        <w:t xml:space="preserve"> </w:t>
      </w:r>
      <w:r>
        <w:t xml:space="preserve">pathways (the office arm’s repeat-attempt-or-D&amp;C structure and the</w:t>
      </w:r>
      <w:r>
        <w:t xml:space="preserve"> </w:t>
      </w:r>
      <w:r>
        <w:t xml:space="preserve">combined arm’s directly observed escalation rate) account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resampled nor escalated to D&amp;C. This is a genuine absence of</w:t>
      </w:r>
      <w:r>
        <w:t xml:space="preserve"> </w:t>
      </w:r>
      <w:r>
        <w:t xml:space="preserve">evidence for a differential risk, not evidence the risks are equal: none of</w:t>
      </w:r>
      <w:r>
        <w:t xml:space="preserve"> </w:t>
      </w:r>
      <w:r>
        <w:t xml:space="preserve">the underlying studies was designed to detect a distinct unresolved-failure</w:t>
      </w:r>
      <w:r>
        <w:t xml:space="preserve"> </w:t>
      </w:r>
      <w:r>
        <w:t xml:space="preserve">outcome, so a real difference could exist without being visible here.</w:t>
      </w:r>
      <w:r>
        <w:t xml:space="preserve"> </w:t>
      </w:r>
      <w:r>
        <w:t xml:space="preserve">Second, each strategy’s overall detection probability for a true cancer or</w:t>
      </w:r>
      <w:r>
        <w:t xml:space="preserve"> </w:t>
      </w:r>
      <w:r>
        <w:t xml:space="preserve">precancer, combining escalation probabilities with published (non-Lynch)</w:t>
      </w:r>
      <w:r>
        <w:t xml:space="preserve"> </w:t>
      </w:r>
      <w:r>
        <w:t xml:space="preserve">Pipelle and D&amp;C sensitivities, suggested D&amp;C’s point estimate exceeds</w:t>
      </w:r>
      <w:r>
        <w:t xml:space="preserve"> </w:t>
      </w:r>
      <w:r>
        <w:t xml:space="preserve">office and combined biopsy’s (see Results), but D&amp;C’s own sensitivity</w:t>
      </w:r>
      <w:r>
        <w:t xml:space="preserve"> </w:t>
      </w:r>
      <w:r>
        <w:t xml:space="preserve">carries a 95% confidence interval spanning 28.1%-99.3%, so this difference</w:t>
      </w:r>
      <w:r>
        <w:t xml:space="preserve"> </w:t>
      </w:r>
      <w:r>
        <w:t xml:space="preserve">is far from established. What would resolve either test is a study that</w:t>
      </w:r>
      <w:r>
        <w:t xml:space="preserve"> </w:t>
      </w:r>
      <w:r>
        <w:t xml:space="preserve">follows sampling failures and their eventual diagnoses forward in a</w:t>
      </w:r>
      <w:r>
        <w:t xml:space="preserve"> </w:t>
      </w:r>
      <w:r>
        <w:t xml:space="preserve">Lynch-specific population, rather than inferring effectiveness from</w:t>
      </w:r>
      <w:r>
        <w:t xml:space="preserve"> </w:t>
      </w:r>
      <w:r>
        <w:t xml:space="preserve">general-population sensitivities or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and the 75% repeat-attempt success probability comes</w:t>
      </w:r>
      <w:r>
        <w:t xml:space="preserve"> </w:t>
      </w:r>
      <w:r>
        <w:t xml:space="preserve">from a 1,120-patient insufficient-endometrial-sample cohort with a</w:t>
      </w:r>
      <w:r>
        <w:t xml:space="preserve"> </w:t>
      </w:r>
      <w:r>
        <w:t xml:space="preserve">reconstructed, not primary-reported, confidence interval. Both parameters’</w:t>
      </w:r>
      <w:r>
        <w:t xml:space="preserve"> </w:t>
      </w:r>
      <w:r>
        <w:t xml:space="preserve">effects were tested in sensitivity analysis rather than treated as fixed,</w:t>
      </w:r>
      <w:r>
        <w:t xml:space="preserve"> </w:t>
      </w:r>
      <w:r>
        <w:t xml:space="preserve">but neither is a direct measurement in a Lynch surveillance population.</w:t>
      </w:r>
      <w:r>
        <w:t xml:space="preserve"> </w:t>
      </w:r>
      <w:r>
        <w:t xml:space="preserve">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data: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(the diagnostic sensitivity values underlying the</w:t>
      </w:r>
      <w:r>
        <w:t xml:space="preserve"> </w:t>
      </w:r>
      <w:r>
        <w:t xml:space="preserve">detection-probability and cost-consequence analyses above, and the D&amp;C</w:t>
      </w:r>
      <w:r>
        <w:t xml:space="preserve"> </w:t>
      </w:r>
      <w:r>
        <w:t xml:space="preserve">and hysteroscopy adverse-event probabilities) are drawn from general,</w:t>
      </w:r>
      <w:r>
        <w:t xml:space="preserve"> </w:t>
      </w:r>
      <w:r>
        <w:t xml:space="preserve">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</w:t>
      </w:r>
      <w:r>
        <w:t xml:space="preserve"> </w:t>
      </w:r>
      <w:r>
        <w:t xml:space="preserve">procedural and patient-time burden, than either alternative for Lynch</w:t>
      </w:r>
      <w:r>
        <w:t xml:space="preserve"> </w:t>
      </w:r>
      <w:r>
        <w:t xml:space="preserve">syndrome surveillance, a conclusion robust to parameter uncertainty and</w:t>
      </w:r>
      <w:r>
        <w:t xml:space="preserve"> </w:t>
      </w:r>
      <w:r>
        <w:t xml:space="preserve">practice location across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it the default surveillance strategy for this 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Strategies for endometrial</w:t>
      </w:r>
      <w:r>
        <w:t xml:space="preserve"> </w:t>
      </w:r>
      <w:r>
        <w:t xml:space="preserve">screening in the Lynch syndrome population: a patient acceptability</w:t>
      </w:r>
      <w:r>
        <w:t xml:space="preserve"> </w:t>
      </w:r>
      <w:r>
        <w:t xml:space="preserve">study.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Feasibility of endometrial</w:t>
      </w:r>
      <w:r>
        <w:t xml:space="preserve"> </w:t>
      </w:r>
      <w:r>
        <w:t xml:space="preserve">sampling by vaginal tampons in women with Lynch syndrome. BMC Womens</w:t>
      </w:r>
      <w:r>
        <w:t xml:space="preserve"> </w:t>
      </w:r>
      <w:r>
        <w:t xml:space="preserve">Health 2020;20:54.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Yi Y, Yi Y, Bryce CL, et al. Cost-effectiveness analysis of biopsy</w:t>
      </w:r>
      <w:r>
        <w:t xml:space="preserve"> </w:t>
      </w:r>
      <w:r>
        <w:t xml:space="preserve">strategies for endometrial cancer diagnosis in women with postmenopausal</w:t>
      </w:r>
      <w:r>
        <w:t xml:space="preserve"> </w:t>
      </w:r>
      <w:r>
        <w:t xml:space="preserve">bleeding: Pipelle sampling curette versus dilatation &amp; curettage. Gynecol</w:t>
      </w:r>
      <w:r>
        <w:t xml:space="preserve"> </w:t>
      </w:r>
      <w:r>
        <w:t xml:space="preserve">Oncol 2018;150:112-118.</w:t>
      </w:r>
    </w:p>
    <w:p>
      <w:pPr>
        <w:pStyle w:val="Compact"/>
        <w:numPr>
          <w:ilvl w:val="0"/>
          <w:numId w:val="1001"/>
        </w:numPr>
      </w:pPr>
      <w:r>
        <w:t xml:space="preserve">Kandil D, Yang X, Stockl T, Liu Y. Clinical outcomes of patients with</w:t>
      </w:r>
      <w:r>
        <w:t xml:space="preserve"> </w:t>
      </w:r>
      <w:r>
        <w:t xml:space="preserve">insufficient sample from endometrial biopsy or curettage. Int J Gynecol</w:t>
      </w:r>
      <w:r>
        <w:t xml:space="preserve"> </w:t>
      </w:r>
      <w:r>
        <w:t xml:space="preserve">Pathol 2014;33(5):500-506.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Trilliant Health. Hospital MRF Data Directory: consolidated hospital price transparency</w:t>
      </w:r>
      <w:r>
        <w:t xml:space="preserve"> </w:t>
      </w:r>
      <w:r>
        <w:t xml:space="preserve">machine-readable file data (snapshot July 21, 2026). Accessed September 12, 2026.</w:t>
      </w:r>
      <w:r>
        <w:t xml:space="preserve"> </w:t>
      </w:r>
      <w:r>
        <w:t xml:space="preserve">https://oria-data.trillianthealth.com/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Sakna NA, Elgendi M, Salama MH, Zeinhom A, Labib S, Nabhan AF.</w:t>
      </w:r>
      <w:r>
        <w:t xml:space="preserve"> </w:t>
      </w:r>
      <w:r>
        <w:t xml:space="preserve">Diagnostic accuracy of endometrial sampling tests for detecting</w:t>
      </w:r>
      <w:r>
        <w:t xml:space="preserve"> </w:t>
      </w:r>
      <w:r>
        <w:t xml:space="preserve">endometrial cancer: a systematic review and meta-analysis. BMJ Open</w:t>
      </w:r>
      <w:r>
        <w:t xml:space="preserve"> </w:t>
      </w:r>
      <w:r>
        <w:t xml:space="preserve">2023;13(6):e072124.</w:t>
      </w:r>
    </w:p>
    <w:p>
      <w:pPr>
        <w:pStyle w:val="Compact"/>
        <w:numPr>
          <w:ilvl w:val="0"/>
          <w:numId w:val="1001"/>
        </w:numPr>
      </w:pPr>
      <w:r>
        <w:t xml:space="preserve">Ray KN, Chari AV, Engberg J, Bertolet M, Mehrotra A. Opportunity</w:t>
      </w:r>
      <w:r>
        <w:t xml:space="preserve"> </w:t>
      </w:r>
      <w:r>
        <w:t xml:space="preserve">costs of ambulatory medical care in the United States. Am J Manag</w:t>
      </w:r>
      <w:r>
        <w:t xml:space="preserve"> </w:t>
      </w:r>
      <w:r>
        <w:t xml:space="preserve">Care 2015;21(8):567-574.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2026-10-02T17:40:10Z</dcterms:created>
  <dcterms:modified xsi:type="dcterms:W3CDTF">2026-10-02T17:40:10Z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