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6.png" ContentType="image/png"/>
  <Override PartName="/word/media/rId43.png" ContentType="image/png"/>
  <Override PartName="/word/media/rId40.png" ContentType="image/png"/>
  <Override PartName="/word/media/rId59.png" ContentType="image/png"/>
  <Override PartName="/word/media/rId5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Validity of National Otolaryngology Physician Listings: A Mystery-Caller Study</w:t>
      </w:r>
    </w:p>
    <w:p>
      <w:pPr>
        <w:pStyle w:val="Author"/>
      </w:pPr>
      <w:r>
        <w:t xml:space="preserve">Grace E. Falk, MD</w:t>
      </w:r>
      <w:r>
        <w:rPr>
          <w:rStyle w:val="FootnoteReference"/>
        </w:rPr>
        <w:footnoteReference w:id="9"/>
      </w:r>
    </w:p>
    <w:p>
      <w:pPr>
        <w:pStyle w:val="Author"/>
      </w:pPr>
      <w:r>
        <w:t xml:space="preserve">Tyler M. Muffly, MD</w:t>
      </w:r>
      <w:r>
        <w:rPr>
          <w:rStyle w:val="FootnoteReference"/>
        </w:rPr>
        <w:footnoteReference w:id="11"/>
      </w:r>
    </w:p>
    <w:p>
      <w:pPr>
        <w:pStyle w:val="Author"/>
      </w:pPr>
      <w:r>
        <w:t xml:space="preserve">Cristina Cabrera-Muffly, MD</w:t>
      </w:r>
      <w:r>
        <w:rPr>
          <w:rStyle w:val="FootnoteReference"/>
        </w:rPr>
        <w:footnoteReference w:id="12"/>
      </w:r>
    </w:p>
    <w:p>
      <w:pPr>
        <w:pStyle w:val="Author"/>
      </w:pPr>
      <w:r>
        <w:t xml:space="preserve">Eric Dobratz, MD</w:t>
      </w:r>
      <w:r>
        <w:rPr>
          <w:rStyle w:val="FootnoteReference"/>
        </w:rPr>
        <w:footnoteReference w:id="13"/>
      </w:r>
    </w:p>
    <w:p>
      <w:pPr>
        <w:pStyle w:val="Author"/>
      </w:pPr>
      <w:r>
        <w:t xml:space="preserve">Cristina Baldassari, MD</w:t>
      </w:r>
      <w:r>
        <w:rPr>
          <w:rStyle w:val="FootnoteReference"/>
        </w:rPr>
        <w:footnoteReference w:id="14"/>
      </w:r>
    </w:p>
    <w:p>
      <w:pPr>
        <w:pStyle w:val="Author"/>
      </w:pPr>
      <w:r>
        <w:t xml:space="preserve">Andrew Tompkins, MD, MBA</w:t>
      </w:r>
      <w:r>
        <w:rPr>
          <w:rStyle w:val="FootnoteReference"/>
        </w:rPr>
        <w:footnoteReference w:id="15"/>
      </w:r>
    </w:p>
    <w:p>
      <w:pPr>
        <w:pStyle w:val="AbstractTitle"/>
      </w:pPr>
      <w:r>
        <w:t xml:space="preserve">Abstract</w:t>
      </w:r>
    </w:p>
    <w:p>
      <w:pPr>
        <w:pStyle w:val="Abstract"/>
      </w:pPr>
      <w:r>
        <w:rPr>
          <w:i/>
          <w:iCs/>
        </w:rPr>
        <w:t xml:space="preserve">Objective.</w:t>
      </w:r>
      <w:r>
        <w:t xml:space="preserve"> </w:t>
      </w:r>
      <w:r>
        <w:t xml:space="preserve">To determine whether corroboration across national physician data sources is associated with confirmation that an otolaryngologist remains in practice at the indexed location.</w:t>
      </w:r>
    </w:p>
    <w:p>
      <w:pPr>
        <w:pStyle w:val="Abstract"/>
      </w:pPr>
      <w:r>
        <w:rPr>
          <w:i/>
          <w:iCs/>
        </w:rPr>
        <w:t xml:space="preserve">Study Design.</w:t>
      </w:r>
      <w:r>
        <w:t xml:space="preserve"> </w:t>
      </w:r>
      <w:r>
        <w:t xml:space="preserve">Stratified mystery-caller telephone audit.</w:t>
      </w:r>
    </w:p>
    <w:p>
      <w:pPr>
        <w:pStyle w:val="Abstract"/>
      </w:pPr>
      <w:r>
        <w:rPr>
          <w:i/>
          <w:iCs/>
        </w:rPr>
        <w:t xml:space="preserve">Setting.</w:t>
      </w:r>
      <w:r>
        <w:t xml:space="preserve"> </w:t>
      </w:r>
      <w:r>
        <w:t xml:space="preserve">National sample of U.S. otolaryngology practices, May to July 2026.</w:t>
      </w:r>
    </w:p>
    <w:p>
      <w:pPr>
        <w:pStyle w:val="Abstract"/>
      </w:pPr>
      <w:r>
        <w:rPr>
          <w:i/>
          <w:iCs/>
        </w:rPr>
        <w:t xml:space="preserve">Methods.</w:t>
      </w:r>
      <w:r>
        <w:t xml:space="preserve"> </w:t>
      </w:r>
      <w:r>
        <w:t xml:space="preserve">Otolaryngology listings in the National Plan and Provider Enumeration System (NPPES) were linked by National Provider Identifier to active board-certification records and the ENTHealth physician directory. Trained callers contacted stratified samples and recorded whether the named physician remained at the contacted practice or continued to practice otolaryngology elsewhere. Supplemental calls to physicians identified only in NPPES are ongoing.</w:t>
      </w:r>
    </w:p>
    <w:p>
      <w:pPr>
        <w:pStyle w:val="Abstract"/>
      </w:pPr>
      <w:r>
        <w:rPr>
          <w:i/>
          <w:iCs/>
        </w:rPr>
        <w:t xml:space="preserve">Results.</w:t>
      </w:r>
      <w:r>
        <w:t xml:space="preserve"> </w:t>
      </w:r>
      <w:r>
        <w:t xml:space="preserve">[TO BE COMPLETED AFTER SUPPLEMENTAL CALLS AND FINAL WEIGHTED ANALYSIS]</w:t>
      </w:r>
    </w:p>
    <w:p>
      <w:pPr>
        <w:pStyle w:val="Abstract"/>
      </w:pPr>
      <w:r>
        <w:rPr>
          <w:i/>
          <w:iCs/>
        </w:rPr>
        <w:t xml:space="preserve">Conclusion.</w:t>
      </w:r>
      <w:r>
        <w:t xml:space="preserve"> </w:t>
      </w:r>
      <w:r>
        <w:t xml:space="preserve">[TO BE COMPLETED]</w:t>
      </w:r>
    </w:p>
    <w:p>
      <w:r>
        <w:br w:type="page"/>
      </w:r>
    </w:p>
    <w:bookmarkStart w:id="16" w:name="introduction"/>
    <w:p>
      <w:pPr>
        <w:pStyle w:val="Heading1"/>
      </w:pPr>
      <w:r>
        <w:t xml:space="preserve">Introduction</w:t>
      </w:r>
    </w:p>
    <w:p>
      <w:pPr>
        <w:pStyle w:val="FirstParagraph"/>
      </w:pPr>
      <w:r>
        <w:t xml:space="preserve">Accurate physician listings are necessary for patients to obtain specialty care and for health systems, insurers, and policymakers to estimate the available workforce. An outdated listing may direct a patient to the wrong telephone number or to a practice where the physician no longer works. At the population level, stale or misclassified records may also distort estimates of specialist availability and geographic access.</w:t>
      </w:r>
    </w:p>
    <w:p>
      <w:pPr>
        <w:pStyle w:val="BodyText"/>
      </w:pPr>
      <w:r>
        <w:t xml:space="preserve">Previous studies have documented substantial inaccuracies in federal, commercial, and Medicaid physician directories.</w:t>
      </w:r>
      <w:r>
        <w:t xml:space="preserve">(1–3)</w:t>
      </w:r>
      <w:r>
        <w:t xml:space="preserve"> </w:t>
      </w:r>
      <w:r>
        <w:t xml:space="preserve">However, most studies have evaluated insurer networks or nonsurgical specialties, and no national study has directly examined otolaryngology listings through telephone confirmation.</w:t>
      </w:r>
    </w:p>
    <w:p>
      <w:pPr>
        <w:pStyle w:val="BodyText"/>
      </w:pPr>
      <w:r>
        <w:t xml:space="preserve">Otolaryngology is particularly suited to this question because several national sources are used to identify the specialty, yet each serves a different purpose. NPPES is an administrative registry, the American Board of Otolaryngology-Head and Neck Surgery (ABOto) identifies physicians with active board certification, and ENTHealth is a voluntary professional directory. We linked the three sources and conducted a stratified mystery-caller audit of otolaryngologists identified in NPPES. The primary outcome was confirmation that the physician currently worked at the contacted practice; the secondary outcome was continued active otolaryngology practice elsewhere. We hypothesized that corroborated listings would be more likely to represent current physicians.</w:t>
      </w:r>
    </w:p>
    <w:p>
      <w:r>
        <w:br w:type="page"/>
      </w:r>
    </w:p>
    <w:bookmarkEnd w:id="16"/>
    <w:bookmarkStart w:id="17" w:name="methods"/>
    <w:p>
      <w:pPr>
        <w:pStyle w:val="Heading1"/>
      </w:pPr>
      <w:r>
        <w:t xml:space="preserve">Methods</w:t>
      </w:r>
    </w:p>
    <w:p>
      <w:pPr>
        <w:pStyle w:val="FirstParagraph"/>
      </w:pPr>
      <w:r>
        <w:rPr>
          <w:i/>
          <w:iCs/>
        </w:rPr>
        <w:t xml:space="preserve">Data Sources and Record Linkage</w:t>
      </w:r>
    </w:p>
    <w:p>
      <w:pPr>
        <w:pStyle w:val="BodyText"/>
      </w:pPr>
      <w:r>
        <w:t xml:space="preserve">We conducted a national cross-sectional telephone audit of physicians identified in NPPES as otolaryngologists. The February 2026 NPPES dissemination file was searched for individual (Type 1) National Provider Identifiers with at least one taxonomy code beginning with 207Y. Records were linked by National Provider Identifier to the May 2026 ABOto active-certification roster and the May 2026 ENTHealth physician directory. Medicare Part B billing indicators for 2022 through 2023 were linked as a secondary measure of recent clinical activity. For physicians with multiple NPPES locations, the location designated as primary was selected; when no primary designation was available, the first listed location was used. The unit of analysis was one physician-location listing. Records with non-U.S., military, or diplomatic addresses were excluded from geographic analyses. The Old Dominion University Institutional Review Board determined that the study was non-human-subjects research (protocol 24-12-NH-0285).</w:t>
      </w:r>
    </w:p>
    <w:p>
      <w:pPr>
        <w:pStyle w:val="BodyText"/>
      </w:pPr>
      <w:r>
        <w:rPr>
          <w:i/>
          <w:iCs/>
        </w:rPr>
        <w:t xml:space="preserve">Sampling</w:t>
      </w:r>
    </w:p>
    <w:p>
      <w:pPr>
        <w:pStyle w:val="BodyText"/>
      </w:pPr>
      <w:r>
        <w:t xml:space="preserve">Registry linkage created four NPPES-based overlap groups: NPPES only, NPPES plus ABOto, NPPES plus ENTHealth, and a triple-match group present in all three sources (Table 1). The original mystery-caller cohort included 498 listings from the NPPES-plus-ABOto group and 462 from the triple-match group. To characterize the NPPES-only group, a supplemental sample is underway. All eligible rural listings are being called, and approximately 325 nonrural listings were selected within AAO-HNS Board of Governors region and credential strata. The NPPES-plus-ENTHealth-only group was described in the source population but was not selected for telephone audit. The supplemental sample size was chosen to estimate a proportion near 50% with an approximate 5-percentage-point margin of error before accounting for stratification. Final population estimates will use inverse-probability weights based on the selection fraction within each sampling stratum.</w:t>
      </w:r>
    </w:p>
    <w:p>
      <w:pPr>
        <w:pStyle w:val="BodyText"/>
      </w:pPr>
      <w:r>
        <w:rPr>
          <w:i/>
          <w:iCs/>
        </w:rPr>
        <w:t xml:space="preserve">Telephone Audit</w:t>
      </w:r>
    </w:p>
    <w:p>
      <w:pPr>
        <w:pStyle w:val="BodyText"/>
      </w:pPr>
      <w:r>
        <w:t xml:space="preserve">Nine trained medical student callers placed calls under principal-investigator supervision. Callers completed standardized training in the scripts, call-attempt procedures, and REDCap data entry and were blinded to the study hypotheses.</w:t>
      </w:r>
      <w:r>
        <w:t xml:space="preserve">(4)</w:t>
      </w:r>
      <w:r>
        <w:t xml:space="preserve"> </w:t>
      </w:r>
      <w:r>
        <w:t xml:space="preserve">Before each call, the caller identified the physician’s current practice website and used the telephone number displayed there rather than the NPPES telephone field, which could contain a personal mobile number. The audit therefore evaluated whether an NPPES-identified physician remained associated with a current practice; it did not directly test the accuracy of the NPPES telephone field. Eight subspecialty-specific scenarios were used, with a general otolaryngology scenario when fellowship training could not be confirmed. Listings without a definitive disposition received at least three attempts on different days and at different times. Voicemail without a returned call was not considered a definitive disposition.</w:t>
      </w:r>
    </w:p>
    <w:p>
      <w:pPr>
        <w:pStyle w:val="BodyText"/>
      </w:pPr>
      <w:r>
        <w:rPr>
          <w:i/>
          <w:iCs/>
        </w:rPr>
        <w:t xml:space="preserve">Outcomes</w:t>
      </w:r>
    </w:p>
    <w:p>
      <w:pPr>
        <w:pStyle w:val="BodyText"/>
      </w:pPr>
      <w:r>
        <w:t xml:space="preserve">The primary outcome was a practice-confirmed listing, defined as confirmation by practice staff that the named physician currently worked at the contacted practice and was actively seeing otolaryngology patients. The secondary outcome was workforce confirmation, defined as evidence that the physician remained in active otolaryngology practice, including at a different location. Each listing was classified as practice-confirmed, confirmed inaccurate, unresolved, or not attempted. Confirmed-inaccurate listings included physicians who had relocated or retired or were no longer practicing. Listings were classified as unresolved when the call protocol was completed without a definitive determination. Acceptance of new patients was analyzed separately as an access outcome and was not used to define listing validity.</w:t>
      </w:r>
    </w:p>
    <w:p>
      <w:pPr>
        <w:pStyle w:val="BodyText"/>
      </w:pPr>
      <w:r>
        <w:rPr>
          <w:i/>
          <w:iCs/>
        </w:rPr>
        <w:t xml:space="preserve">Statistical Analysis</w:t>
      </w:r>
    </w:p>
    <w:p>
      <w:pPr>
        <w:pStyle w:val="BodyText"/>
      </w:pPr>
      <w:r>
        <w:t xml:space="preserve">The current analysis is unweighted and is restricted to the original 960-listing cohort. Proportions are reported with Wilson 95% confidence intervals, and absolute differences between independent proportions are reported with Newcombe confidence intervals. Sensitivity analyses classified all unresolved listings first as practice-confirmed and then as confirmed inaccurate. After completion of the supplemental calls, final estimates will incorporate the stratified sampling design and inverse-probability weights using the</w:t>
      </w:r>
      <w:r>
        <w:t xml:space="preserve"> </w:t>
      </w:r>
      <w:r>
        <w:rPr>
          <w:rStyle w:val="VerbatimChar"/>
        </w:rPr>
        <w:t xml:space="preserve">survey</w:t>
      </w:r>
      <w:r>
        <w:t xml:space="preserve"> </w:t>
      </w:r>
      <w:r>
        <w:t xml:space="preserve">package in R.</w:t>
      </w:r>
      <w:r>
        <w:t xml:space="preserve">(5)</w:t>
      </w:r>
      <w:r>
        <w:t xml:space="preserve"> </w:t>
      </w:r>
      <w:r>
        <w:t xml:space="preserve">The prespecified adjusted model will include registry group, years since NPI enumeration, credential class, rurality, and geographic region. All tests will be two-sided, with P &lt; .05 considered statistically significant. Analyses were performed in R version 4.6.0.</w:t>
      </w:r>
    </w:p>
    <w:p>
      <w:r>
        <w:br w:type="page"/>
      </w:r>
    </w:p>
    <w:bookmarkEnd w:id="17"/>
    <w:bookmarkStart w:id="18" w:name="results"/>
    <w:p>
      <w:pPr>
        <w:pStyle w:val="Heading1"/>
      </w:pPr>
      <w:r>
        <w:t xml:space="preserve">Results</w:t>
      </w:r>
    </w:p>
    <w:p>
      <w:pPr>
        <w:pStyle w:val="FirstParagraph"/>
      </w:pPr>
      <w:r>
        <w:rPr>
          <w:i/>
          <w:iCs/>
        </w:rPr>
        <w:t xml:space="preserve">Study Sample</w:t>
      </w:r>
    </w:p>
    <w:p>
      <w:pPr>
        <w:pStyle w:val="BodyText"/>
      </w:pPr>
      <w:r>
        <w:t xml:space="preserve">The linked registry universe contained 15,048 unique clinician records across seven overlap zones. Of these, 14,788 were included in the four NPPES-based analytic groups: 2,756 NPPES-only listings, 6,748 NPPES-plus-ABOto listings, 711 NPPES-plus-ENTHealth listings, and 4,573 triple-match listings. The current audit included 960 listings from the NPPES-plus-ABOto (n = 498) and triple-match (n = 462) groups. Calls were placed from May 2026 through July 2026 across 48 states. Medicare Part B billing information was available for 959 listings, of which 674 (70.3%) had recent billing activity.</w:t>
      </w:r>
    </w:p>
    <w:p>
      <w:pPr>
        <w:pStyle w:val="BodyText"/>
      </w:pPr>
      <w:r>
        <w:rPr>
          <w:i/>
          <w:iCs/>
        </w:rPr>
        <w:t xml:space="preserve">Practice Confirmation</w:t>
      </w:r>
    </w:p>
    <w:p>
      <w:pPr>
        <w:pStyle w:val="BodyText"/>
      </w:pPr>
      <w:r>
        <w:t xml:space="preserve">Of the 960 sampled listings, 752 received at least one call attempt and 208 had no recorded disposition. Among 724 attempted listings with a recorded office-answer status, callers reached a clinical practice for 577 (79.7%). Overall, 445 of 752 attempted listings were practice-confirmed (59.2%; 95% CI, 55.6%-62.6%). An additional 45 physicians had relocated but remained in active practice, yielding workforce confirmation for 490 of 752 attempted listings (65.2%; 95% CI, 61.7%-68.5%). Among the 583 listings with a definitive valid or invalid determination, 445 (76.3%; 95% CI, 72.7%-79.6%) were practice-confirmed. Of 689 listings with a recorded scheduling disposition, 434 (63.0%) were accepting new patients.</w:t>
      </w:r>
    </w:p>
    <w:p>
      <w:pPr>
        <w:pStyle w:val="BodyText"/>
      </w:pPr>
      <w:r>
        <w:rPr>
          <w:i/>
          <w:iCs/>
        </w:rPr>
        <w:t xml:space="preserve">Reasons for Unconfirmed Listings</w:t>
      </w:r>
    </w:p>
    <w:p>
      <w:pPr>
        <w:pStyle w:val="BodyText"/>
      </w:pPr>
      <w:r>
        <w:t xml:space="preserve">A total of 138 listings were confirmed inaccurate. The physician had retired or was no longer practicing in 93 cases (67.4%) and had relocated to another practice in 45 (32.6%). An additional 169 attempted listings remained unresolved after the call protocol. When all unresolved listings were classified as inaccurate, the practice-confirmation rate among attempted listings was 59.2%; when all unresolved listings were classified as confirmed, the rate was 81.6%.</w:t>
      </w:r>
    </w:p>
    <w:p>
      <w:pPr>
        <w:pStyle w:val="BodyText"/>
      </w:pPr>
      <w:r>
        <w:rPr>
          <w:i/>
          <w:iCs/>
        </w:rPr>
        <w:t xml:space="preserve">Comparison by Registry Group</w:t>
      </w:r>
    </w:p>
    <w:p>
      <w:pPr>
        <w:pStyle w:val="BodyText"/>
      </w:pPr>
      <w:r>
        <w:t xml:space="preserve">Among attempted listings, practice confirmation was 37.4% in the NPPES-plus-ABOto group (128 of 342; 95% CI, 32.5%-42.7%) and 77.3% in the triple-match group (317 of 410; 95% CI, 73.0%-81.1%). The absolute difference was 39.9 percentage points (95% CI, NA-NA percentage points). Supplemental NPPES-only calls are ongoing; nationally weighted estimates and adjusted analyses will be reported after those calls are complete.</w:t>
      </w:r>
    </w:p>
    <w:p>
      <w:r>
        <w:br w:type="page"/>
      </w:r>
    </w:p>
    <w:bookmarkEnd w:id="18"/>
    <w:bookmarkStart w:id="19" w:name="discussion"/>
    <w:p>
      <w:pPr>
        <w:pStyle w:val="Heading1"/>
      </w:pPr>
      <w:r>
        <w:t xml:space="preserve">Discussion</w:t>
      </w:r>
    </w:p>
    <w:p>
      <w:pPr>
        <w:pStyle w:val="FirstParagraph"/>
      </w:pPr>
      <w:r>
        <w:t xml:space="preserve">In the completed portion of this national mystery-caller audit, practice confirmation was approximately 40 percentage points higher for listings found in NPPES, ABOto, and ENTHealth than for listings found in NPPES and ABOto alone. Three findings were most important. First, a substantial proportion of sampled listings remained unconfirmed because the physician had left practice, relocated, or could not be definitively verified. Second, agreement across independent data sources was strongly associated with confirmation at the contacted practice. Third, relocation and retirement represented distinct forms of listing inaccuracy with different implications for workforce measurement.</w:t>
      </w:r>
    </w:p>
    <w:p>
      <w:pPr>
        <w:pStyle w:val="BodyText"/>
      </w:pPr>
      <w:r>
        <w:t xml:space="preserve">These findings extend prior provider-directory research to otolaryngology. Previous mystery-caller studies have often combined several barriers — including incorrect contact information, network participation, and acceptance of new patients — into a single measure of a phantom listing.</w:t>
      </w:r>
      <w:r>
        <w:t xml:space="preserve">(2,6,7)</w:t>
      </w:r>
      <w:r>
        <w:t xml:space="preserve"> </w:t>
      </w:r>
      <w:r>
        <w:t xml:space="preserve">Our primary outcome addressed a narrower question: whether an NPPES-identified physician could be confirmed in active otolaryngology practice at the contacted practice. This distinction matters because a physician who has relocated creates an inaccurate practice listing but may still contribute to the national workforce.</w:t>
      </w:r>
    </w:p>
    <w:p>
      <w:pPr>
        <w:pStyle w:val="BodyText"/>
      </w:pPr>
      <w:r>
        <w:t xml:space="preserve">The association between registry corroboration and practice confirmation should not be interpreted as evidence that any single source is a gold standard. NPPES, ABOto, and ENTHealth were created for different purposes and contain different physician populations. Board certification and professional-directory participation may signal continued engagement with the specialty, but absence from either source does not establish that a physician is inactive. The supplemental NPPES-only audit is therefore essential to determine whether those records represent trainees, active physicians following other certification pathways, stale listings, or taxonomy misclassification.</w:t>
      </w:r>
    </w:p>
    <w:p>
      <w:pPr>
        <w:pStyle w:val="BodyText"/>
      </w:pPr>
      <w:r>
        <w:t xml:space="preserve">This study has several limitations. Callers used telephone numbers from practice websites rather than the NPPES telephone field, so the results do not measure NPPES telephone-number accuracy. At the time of this analysis, 208 sampled listings had no disposition and 169 attempted listings remained unresolved. Sensitivity analyses therefore provide bounds rather than a single definitive estimate. The cross-sectional design cannot determine when a listing became inaccurate or how long it had remained outdated. Callers were not blinded to registry group, although outcomes were recorded with standardized definitions and callers were blinded to the study hypotheses. For referral systems and workforce analyses, agreement across independent sources may offer a practical way to prioritize records for verification. However, corroboration should be used as a signal rather than as an automatic inclusion or exclusion rule. Final weighted analyses incorporating the NPPES-only sample will determine whether multi-source linkage meaningfully improves national estimates of the current otolaryngology workforce.</w:t>
      </w:r>
    </w:p>
    <w:p>
      <w:r>
        <w:br w:type="page"/>
      </w:r>
    </w:p>
    <w:bookmarkEnd w:id="19"/>
    <w:bookmarkStart w:id="20" w:name="conclusions"/>
    <w:p>
      <w:pPr>
        <w:pStyle w:val="Heading1"/>
      </w:pPr>
      <w:r>
        <w:t xml:space="preserve">Conclusions</w:t>
      </w:r>
    </w:p>
    <w:p>
      <w:pPr>
        <w:pStyle w:val="FirstParagraph"/>
      </w:pPr>
      <w:r>
        <w:t xml:space="preserve">Among the two currently audited registry groups, listings corroborated by both ABOto and ENTHealth were substantially more likely to be confirmed at the contacted practice than listings corroborated by ABOto alone. Completion of the NPPES-only audit will determine whether registry corroboration can improve national otolaryngology workforce estimates and referral directories.</w:t>
      </w:r>
    </w:p>
    <w:p>
      <w:r>
        <w:br w:type="page"/>
      </w:r>
    </w:p>
    <w:bookmarkEnd w:id="20"/>
    <w:bookmarkStart w:id="21" w:name="author-contributions"/>
    <w:p>
      <w:pPr>
        <w:pStyle w:val="Heading1"/>
      </w:pPr>
      <w:r>
        <w:t xml:space="preserve">Author Contributions</w:t>
      </w:r>
    </w:p>
    <w:p>
      <w:pPr>
        <w:pStyle w:val="FirstParagraph"/>
      </w:pPr>
      <w:r>
        <w:t xml:space="preserve">Grace E. Falk, conception and design, data acquisition, drafting the article, final approval, accountability; Tyler Muffly, conception and design, statistical analysis, drafting the article, final approval, accountability; Cristina Cabrera-Muffly, conception and design, revision of the article, final approval, accountability; Eric Dobratz, conception and design, revision of the article, final approval, accountability; Cristina Baldassari, conception and design, revision of the article, final approval, accountability; Andrew Tompkins, conception and design, revision of the article, final approval, accountability.</w:t>
      </w:r>
    </w:p>
    <w:bookmarkEnd w:id="21"/>
    <w:bookmarkStart w:id="22" w:name="disclosures"/>
    <w:p>
      <w:pPr>
        <w:pStyle w:val="Heading1"/>
      </w:pPr>
      <w:r>
        <w:t xml:space="preserve">Disclosures</w:t>
      </w:r>
    </w:p>
    <w:p>
      <w:pPr>
        <w:pStyle w:val="FirstParagraph"/>
      </w:pPr>
      <w:r>
        <w:rPr>
          <w:b/>
          <w:bCs/>
        </w:rPr>
        <w:t xml:space="preserve">Competing interests:</w:t>
      </w:r>
      <w:r>
        <w:t xml:space="preserve"> </w:t>
      </w:r>
      <w:r>
        <w:t xml:space="preserve">None.</w:t>
      </w:r>
    </w:p>
    <w:p>
      <w:pPr>
        <w:pStyle w:val="BodyText"/>
      </w:pPr>
      <w:r>
        <w:rPr>
          <w:b/>
          <w:bCs/>
        </w:rPr>
        <w:t xml:space="preserve">Sponsorship:</w:t>
      </w:r>
      <w:r>
        <w:t xml:space="preserve"> </w:t>
      </w:r>
      <w:r>
        <w:t xml:space="preserve">None.</w:t>
      </w:r>
    </w:p>
    <w:p>
      <w:pPr>
        <w:pStyle w:val="BodyText"/>
      </w:pPr>
      <w:r>
        <w:rPr>
          <w:b/>
          <w:bCs/>
        </w:rPr>
        <w:t xml:space="preserve">Funding source:</w:t>
      </w:r>
      <w:r>
        <w:t xml:space="preserve"> </w:t>
      </w:r>
      <w:r>
        <w:t xml:space="preserve">None.</w:t>
      </w:r>
    </w:p>
    <w:p>
      <w:r>
        <w:br w:type="page"/>
      </w:r>
    </w:p>
    <w:bookmarkEnd w:id="22"/>
    <w:bookmarkStart w:id="38" w:name="references"/>
    <w:p>
      <w:pPr>
        <w:pStyle w:val="Heading1"/>
      </w:pPr>
      <w:r>
        <w:t xml:space="preserve">References</w:t>
      </w:r>
    </w:p>
    <w:bookmarkStart w:id="37" w:name="refs"/>
    <w:bookmarkStart w:id="24" w:name="ref-DesRoches2015"/>
    <w:p>
      <w:pPr>
        <w:pStyle w:val="Bibliography"/>
      </w:pPr>
      <w:r>
        <w:t xml:space="preserve">1.</w:t>
      </w:r>
      <w:r>
        <w:t xml:space="preserve"> </w:t>
      </w:r>
      <w:r>
        <w:t xml:space="preserve">	</w:t>
      </w:r>
      <w:r>
        <w:t xml:space="preserve">DesRoches CM, Barrett K, Harvey BE, Wintfeld N, Krol M, Landon BE. Assessing the accuracy of three national physician sampling frames. Journal of General Internal Medicine. 2015;30:S595–S601. doi:</w:t>
      </w:r>
      <w:r>
        <w:t xml:space="preserve"> </w:t>
      </w:r>
      <w:hyperlink r:id="rId23">
        <w:r>
          <w:rPr>
            <w:rStyle w:val="Hyperlink"/>
          </w:rPr>
          <w:t xml:space="preserve">10.1007/s11606-015-3379-5</w:t>
        </w:r>
      </w:hyperlink>
    </w:p>
    <w:bookmarkEnd w:id="24"/>
    <w:bookmarkStart w:id="26" w:name="ref-Haeder2016"/>
    <w:p>
      <w:pPr>
        <w:pStyle w:val="Bibliography"/>
      </w:pPr>
      <w:r>
        <w:t xml:space="preserve">2.</w:t>
      </w:r>
      <w:r>
        <w:t xml:space="preserve"> </w:t>
      </w:r>
      <w:r>
        <w:t xml:space="preserve">	</w:t>
      </w:r>
      <w:r>
        <w:t xml:space="preserve">Haeder SF, Weimer DL, Mukamel DB. Secret shoppers find access to providers and network accuracy lacking for those in marketplace and</w:t>
      </w:r>
      <w:r>
        <w:t xml:space="preserve"> </w:t>
      </w:r>
      <w:r>
        <w:t xml:space="preserve">Medicaid</w:t>
      </w:r>
      <w:r>
        <w:t xml:space="preserve"> </w:t>
      </w:r>
      <w:r>
        <w:t xml:space="preserve">plans. Health Affairs. 2016;35:1160–1166. doi:</w:t>
      </w:r>
      <w:r>
        <w:t xml:space="preserve"> </w:t>
      </w:r>
      <w:hyperlink r:id="rId25">
        <w:r>
          <w:rPr>
            <w:rStyle w:val="Hyperlink"/>
          </w:rPr>
          <w:t xml:space="preserve">10.1377/hlthaff.2015.1554</w:t>
        </w:r>
      </w:hyperlink>
    </w:p>
    <w:bookmarkEnd w:id="26"/>
    <w:bookmarkStart w:id="28" w:name="ref-Butala2024"/>
    <w:p>
      <w:pPr>
        <w:pStyle w:val="Bibliography"/>
      </w:pPr>
      <w:r>
        <w:t xml:space="preserve">3.</w:t>
      </w:r>
      <w:r>
        <w:t xml:space="preserve"> </w:t>
      </w:r>
      <w:r>
        <w:t xml:space="preserve">	</w:t>
      </w:r>
      <w:r>
        <w:t xml:space="preserve">Butala NM, Jiwani K, Bucholz EM. Characterizing physician directory data quality: Variation by specialty, state, and insurer. BMC Health Services Research. 2024;24:808. doi:</w:t>
      </w:r>
      <w:r>
        <w:t xml:space="preserve"> </w:t>
      </w:r>
      <w:hyperlink r:id="rId27">
        <w:r>
          <w:rPr>
            <w:rStyle w:val="Hyperlink"/>
          </w:rPr>
          <w:t xml:space="preserve">10.1186/s12913-024-11269-5</w:t>
        </w:r>
      </w:hyperlink>
    </w:p>
    <w:bookmarkEnd w:id="28"/>
    <w:bookmarkStart w:id="30" w:name="ref-Harris2009REDCap"/>
    <w:p>
      <w:pPr>
        <w:pStyle w:val="Bibliography"/>
      </w:pPr>
      <w:r>
        <w:t xml:space="preserve">4.</w:t>
      </w:r>
      <w:r>
        <w:t xml:space="preserve"> </w:t>
      </w:r>
      <w:r>
        <w:t xml:space="preserve">	</w:t>
      </w:r>
      <w:r>
        <w:t xml:space="preserve">Harris PA, Taylor R, Thielke R, Payne J, Gonzalez N, Conde JG.</w:t>
      </w:r>
      <w:r>
        <w:t xml:space="preserve"> </w:t>
      </w:r>
      <w:r>
        <w:t xml:space="preserve">Research Electronic Data Capture (REDCap)</w:t>
      </w:r>
      <w:r>
        <w:t xml:space="preserve">: A metadata-driven methodology and workflow process for providing translational research informatics support. Journal of Biomedical Informatics. 2009;42:377–381. doi:</w:t>
      </w:r>
      <w:r>
        <w:t xml:space="preserve"> </w:t>
      </w:r>
      <w:hyperlink r:id="rId29">
        <w:r>
          <w:rPr>
            <w:rStyle w:val="Hyperlink"/>
          </w:rPr>
          <w:t xml:space="preserve">10.1016/j.jbi.2008.08.010</w:t>
        </w:r>
      </w:hyperlink>
    </w:p>
    <w:bookmarkEnd w:id="30"/>
    <w:bookmarkStart w:id="32" w:name="ref-Lumley2004survey"/>
    <w:p>
      <w:pPr>
        <w:pStyle w:val="Bibliography"/>
      </w:pPr>
      <w:r>
        <w:t xml:space="preserve">5.</w:t>
      </w:r>
      <w:r>
        <w:t xml:space="preserve"> </w:t>
      </w:r>
      <w:r>
        <w:t xml:space="preserve">	</w:t>
      </w:r>
      <w:r>
        <w:t xml:space="preserve">Lumley T. Analysis of complex survey samples. Journal of Statistical Software. 2004;9:1–19. doi:</w:t>
      </w:r>
      <w:r>
        <w:t xml:space="preserve"> </w:t>
      </w:r>
      <w:hyperlink r:id="rId31">
        <w:r>
          <w:rPr>
            <w:rStyle w:val="Hyperlink"/>
          </w:rPr>
          <w:t xml:space="preserve">10.18637/jss.v009.i08</w:t>
        </w:r>
      </w:hyperlink>
    </w:p>
    <w:bookmarkEnd w:id="32"/>
    <w:bookmarkStart w:id="34" w:name="ref-Zhu2022"/>
    <w:p>
      <w:pPr>
        <w:pStyle w:val="Bibliography"/>
      </w:pPr>
      <w:r>
        <w:t xml:space="preserve">6.</w:t>
      </w:r>
      <w:r>
        <w:t xml:space="preserve"> </w:t>
      </w:r>
      <w:r>
        <w:t xml:space="preserve">	</w:t>
      </w:r>
      <w:r>
        <w:t xml:space="preserve">Zhu JM, Myers R, McConnell KJ, Colla C, Mehrotra A. Tracking</w:t>
      </w:r>
      <w:r>
        <w:t xml:space="preserve"> </w:t>
      </w:r>
      <w:r>
        <w:t xml:space="preserve">Medicaid</w:t>
      </w:r>
      <w:r>
        <w:t xml:space="preserve"> </w:t>
      </w:r>
      <w:r>
        <w:t xml:space="preserve">managed care behavioral health access from 2013 to 2018. Health Affairs. 2022;41:368–376. doi:</w:t>
      </w:r>
      <w:r>
        <w:t xml:space="preserve"> </w:t>
      </w:r>
      <w:hyperlink r:id="rId33">
        <w:r>
          <w:rPr>
            <w:rStyle w:val="Hyperlink"/>
          </w:rPr>
          <w:t xml:space="preserve">10.1377/hlthaff.2021.01284</w:t>
        </w:r>
      </w:hyperlink>
    </w:p>
    <w:bookmarkEnd w:id="34"/>
    <w:bookmarkStart w:id="36" w:name="ref-Burman2022"/>
    <w:p>
      <w:pPr>
        <w:pStyle w:val="Bibliography"/>
      </w:pPr>
      <w:r>
        <w:t xml:space="preserve">7.</w:t>
      </w:r>
      <w:r>
        <w:t xml:space="preserve"> </w:t>
      </w:r>
      <w:r>
        <w:t xml:space="preserve">	</w:t>
      </w:r>
      <w:r>
        <w:t xml:space="preserve">Burman ME, Penfold RB, Horrigan-Maurer M, Kelleher KJ. Phantom providers:</w:t>
      </w:r>
      <w:r>
        <w:t xml:space="preserve"> </w:t>
      </w:r>
      <w:r>
        <w:t xml:space="preserve">Medicaid</w:t>
      </w:r>
      <w:r>
        <w:t xml:space="preserve"> </w:t>
      </w:r>
      <w:r>
        <w:t xml:space="preserve">directories and the reality of behavioral health access. Psychiatric Services. 2022;73:374–380. doi:</w:t>
      </w:r>
      <w:r>
        <w:t xml:space="preserve"> </w:t>
      </w:r>
      <w:hyperlink r:id="rId35">
        <w:r>
          <w:rPr>
            <w:rStyle w:val="Hyperlink"/>
          </w:rPr>
          <w:t xml:space="preserve">10.1176/appi.ps.202100117</w:t>
        </w:r>
      </w:hyperlink>
    </w:p>
    <w:bookmarkEnd w:id="36"/>
    <w:bookmarkEnd w:id="37"/>
    <w:p>
      <w:r>
        <w:br w:type="page"/>
      </w:r>
    </w:p>
    <w:bookmarkEnd w:id="38"/>
    <w:bookmarkStart w:id="39" w:name="tables"/>
    <w:p>
      <w:pPr>
        <w:pStyle w:val="Heading1"/>
      </w:pPr>
      <w:r>
        <w:t xml:space="preserve">Tables</w:t>
      </w:r>
    </w:p>
    <w:p>
      <w:pPr>
        <w:pStyle w:val="TableCaption"/>
      </w:pPr>
      <w:r>
        <w:t xml:space="preserve">Table 1. Source population and telephone-audit sample by registry group.</w:t>
      </w:r>
    </w:p>
    <w:tbl>
      <w:tblPr>
        <w:tblStyle w:val="Table"/>
        <w:tblW w:type="pct" w:w="5000"/>
        <w:tblLayout w:type="fixed"/>
        <w:tblLook w:firstRow="1" w:lastRow="0" w:firstColumn="0" w:lastColumn="0" w:noHBand="0" w:noVBand="0" w:val="0020"/>
        <w:tblCaption w:val="Table 1. Source population and telephone-audit sample by registry group."/>
      </w:tblPr>
      <w:tblGrid>
        <w:gridCol w:w="1440"/>
        <w:gridCol w:w="1680"/>
        <w:gridCol w:w="960"/>
        <w:gridCol w:w="2160"/>
        <w:gridCol w:w="1680"/>
      </w:tblGrid>
      <w:tr>
        <w:trPr>
          <w:tblHeader w:val="on"/>
        </w:trPr>
        <w:tc>
          <w:tcPr/>
          <w:p>
            <w:pPr>
              <w:pStyle w:val="Compact"/>
              <w:jc w:val="left"/>
            </w:pPr>
            <w:r>
              <w:t xml:space="preserve">Registry group</w:t>
            </w:r>
          </w:p>
        </w:tc>
        <w:tc>
          <w:tcPr/>
          <w:p>
            <w:pPr>
              <w:pStyle w:val="Compact"/>
              <w:jc w:val="right"/>
            </w:pPr>
            <w:r>
              <w:t xml:space="preserve">Source population, N</w:t>
            </w:r>
          </w:p>
        </w:tc>
        <w:tc>
          <w:tcPr/>
          <w:p>
            <w:pPr>
              <w:pStyle w:val="Compact"/>
              <w:jc w:val="right"/>
            </w:pPr>
            <w:r>
              <w:t xml:space="preserve">Audited, n</w:t>
            </w:r>
          </w:p>
        </w:tc>
        <w:tc>
          <w:tcPr/>
          <w:p>
            <w:pPr>
              <w:pStyle w:val="Compact"/>
              <w:jc w:val="left"/>
            </w:pPr>
            <w:r>
              <w:t xml:space="preserve">Audit status</w:t>
            </w:r>
          </w:p>
        </w:tc>
        <w:tc>
          <w:tcPr/>
          <w:p>
            <w:pPr>
              <w:pStyle w:val="Compact"/>
              <w:jc w:val="right"/>
            </w:pPr>
            <w:r>
              <w:t xml:space="preserve">Sampling fraction</w:t>
            </w:r>
          </w:p>
        </w:tc>
      </w:tr>
      <w:tr>
        <w:tc>
          <w:tcPr/>
          <w:p>
            <w:pPr>
              <w:pStyle w:val="Compact"/>
              <w:jc w:val="left"/>
            </w:pPr>
            <w:r>
              <w:t xml:space="preserve">NPPES only</w:t>
            </w:r>
          </w:p>
        </w:tc>
        <w:tc>
          <w:tcPr/>
          <w:p>
            <w:pPr>
              <w:pStyle w:val="Compact"/>
              <w:jc w:val="right"/>
            </w:pPr>
            <w:r>
              <w:t xml:space="preserve">2,756</w:t>
            </w:r>
          </w:p>
        </w:tc>
        <w:tc>
          <w:tcPr/>
          <w:p>
            <w:pPr>
              <w:pStyle w:val="Compact"/>
              <w:jc w:val="right"/>
            </w:pPr>
            <w:r>
              <w:t xml:space="preserve">379 planned</w:t>
            </w:r>
          </w:p>
        </w:tc>
        <w:tc>
          <w:tcPr/>
          <w:p>
            <w:pPr>
              <w:pStyle w:val="Compact"/>
              <w:jc w:val="left"/>
            </w:pPr>
            <w:r>
              <w:t xml:space="preserve">Supplemental calls ongoing</w:t>
            </w:r>
          </w:p>
        </w:tc>
        <w:tc>
          <w:tcPr/>
          <w:p>
            <w:pPr>
              <w:pStyle w:val="Compact"/>
              <w:jc w:val="right"/>
            </w:pPr>
            <w:r>
              <w:t xml:space="preserve">Pending final strata</w:t>
            </w:r>
          </w:p>
        </w:tc>
      </w:tr>
      <w:tr>
        <w:tc>
          <w:tcPr/>
          <w:p>
            <w:pPr>
              <w:pStyle w:val="Compact"/>
              <w:jc w:val="left"/>
            </w:pPr>
            <w:r>
              <w:t xml:space="preserve">NPPES + ABOto</w:t>
            </w:r>
          </w:p>
        </w:tc>
        <w:tc>
          <w:tcPr/>
          <w:p>
            <w:pPr>
              <w:pStyle w:val="Compact"/>
              <w:jc w:val="right"/>
            </w:pPr>
            <w:r>
              <w:t xml:space="preserve">6,748</w:t>
            </w:r>
          </w:p>
        </w:tc>
        <w:tc>
          <w:tcPr/>
          <w:p>
            <w:pPr>
              <w:pStyle w:val="Compact"/>
              <w:jc w:val="right"/>
            </w:pPr>
            <w:r>
              <w:t xml:space="preserve">498</w:t>
            </w:r>
          </w:p>
        </w:tc>
        <w:tc>
          <w:tcPr/>
          <w:p>
            <w:pPr>
              <w:pStyle w:val="Compact"/>
              <w:jc w:val="left"/>
            </w:pPr>
            <w:r>
              <w:t xml:space="preserve">Current audit</w:t>
            </w:r>
          </w:p>
        </w:tc>
        <w:tc>
          <w:tcPr/>
          <w:p>
            <w:pPr>
              <w:pStyle w:val="Compact"/>
              <w:jc w:val="right"/>
            </w:pPr>
            <w:r>
              <w:t xml:space="preserve">7.4%</w:t>
            </w:r>
          </w:p>
        </w:tc>
      </w:tr>
      <w:tr>
        <w:tc>
          <w:tcPr/>
          <w:p>
            <w:pPr>
              <w:pStyle w:val="Compact"/>
              <w:jc w:val="left"/>
            </w:pPr>
            <w:r>
              <w:t xml:space="preserve">NPPES + ENTHealth</w:t>
            </w:r>
          </w:p>
        </w:tc>
        <w:tc>
          <w:tcPr/>
          <w:p>
            <w:pPr>
              <w:pStyle w:val="Compact"/>
              <w:jc w:val="right"/>
            </w:pPr>
            <w:r>
              <w:t xml:space="preserve">711</w:t>
            </w:r>
          </w:p>
        </w:tc>
        <w:tc>
          <w:tcPr/>
          <w:p>
            <w:pPr>
              <w:pStyle w:val="Compact"/>
              <w:jc w:val="right"/>
            </w:pPr>
            <w:r>
              <w:t xml:space="preserve">0</w:t>
            </w:r>
          </w:p>
        </w:tc>
        <w:tc>
          <w:tcPr/>
          <w:p>
            <w:pPr>
              <w:pStyle w:val="Compact"/>
              <w:jc w:val="left"/>
            </w:pPr>
            <w:r>
              <w:t xml:space="preserve">Not sampled</w:t>
            </w:r>
          </w:p>
        </w:tc>
        <w:tc>
          <w:tcPr/>
          <w:p>
            <w:pPr>
              <w:pStyle w:val="Compact"/>
              <w:jc w:val="right"/>
            </w:pPr>
            <w:r>
              <w:t xml:space="preserve">0.0%</w:t>
            </w:r>
          </w:p>
        </w:tc>
      </w:tr>
      <w:tr>
        <w:tc>
          <w:tcPr/>
          <w:p>
            <w:pPr>
              <w:pStyle w:val="Compact"/>
              <w:jc w:val="left"/>
            </w:pPr>
            <w:r>
              <w:t xml:space="preserve">Triple match</w:t>
            </w:r>
          </w:p>
        </w:tc>
        <w:tc>
          <w:tcPr/>
          <w:p>
            <w:pPr>
              <w:pStyle w:val="Compact"/>
              <w:jc w:val="right"/>
            </w:pPr>
            <w:r>
              <w:t xml:space="preserve">4,573</w:t>
            </w:r>
          </w:p>
        </w:tc>
        <w:tc>
          <w:tcPr/>
          <w:p>
            <w:pPr>
              <w:pStyle w:val="Compact"/>
              <w:jc w:val="right"/>
            </w:pPr>
            <w:r>
              <w:t xml:space="preserve">462</w:t>
            </w:r>
          </w:p>
        </w:tc>
        <w:tc>
          <w:tcPr/>
          <w:p>
            <w:pPr>
              <w:pStyle w:val="Compact"/>
              <w:jc w:val="left"/>
            </w:pPr>
            <w:r>
              <w:t xml:space="preserve">Current audit</w:t>
            </w:r>
          </w:p>
        </w:tc>
        <w:tc>
          <w:tcPr/>
          <w:p>
            <w:pPr>
              <w:pStyle w:val="Compact"/>
              <w:jc w:val="right"/>
            </w:pPr>
            <w:r>
              <w:t xml:space="preserve">10.1%</w:t>
            </w:r>
          </w:p>
        </w:tc>
      </w:tr>
    </w:tbl>
    <w:p>
      <w:pPr>
        <w:pStyle w:val="BodyText"/>
      </w:pPr>
      <w:r>
        <w:rPr>
          <w:i/>
          <w:iCs/>
        </w:rPr>
        <w:t xml:space="preserve">Abbreviations: ABOto, American Board of Otolaryngology-Head and Neck Surgery; NPPES, National Plan and Provider Enumeration System.</w:t>
      </w:r>
    </w:p>
    <w:p>
      <w:pPr>
        <w:pStyle w:val="TableCaption"/>
      </w:pPr>
      <w:r>
        <w:t xml:space="preserve">Table 2. Interim telephone-audit outcomes among attempted listings.</w:t>
      </w:r>
    </w:p>
    <w:tbl>
      <w:tblPr>
        <w:tblStyle w:val="Table"/>
        <w:tblW w:type="pct" w:w="5000"/>
        <w:tblLayout w:type="fixed"/>
        <w:tblLook w:firstRow="1" w:lastRow="0" w:firstColumn="0" w:lastColumn="0" w:noHBand="0" w:noVBand="0" w:val="0020"/>
        <w:tblCaption w:val="Table 2. Interim telephone-audit outcomes among attempted listings."/>
      </w:tblPr>
      <w:tblGrid>
        <w:gridCol w:w="1188"/>
        <w:gridCol w:w="1029"/>
        <w:gridCol w:w="2059"/>
        <w:gridCol w:w="2217"/>
        <w:gridCol w:w="1425"/>
      </w:tblGrid>
      <w:tr>
        <w:trPr>
          <w:tblHeader w:val="on"/>
        </w:trPr>
        <w:tc>
          <w:tcPr/>
          <w:p>
            <w:pPr>
              <w:pStyle w:val="Compact"/>
              <w:jc w:val="left"/>
            </w:pPr>
            <w:r>
              <w:t xml:space="preserve">Registry group</w:t>
            </w:r>
          </w:p>
        </w:tc>
        <w:tc>
          <w:tcPr/>
          <w:p>
            <w:pPr>
              <w:pStyle w:val="Compact"/>
              <w:jc w:val="right"/>
            </w:pPr>
            <w:r>
              <w:t xml:space="preserve">Attempted, n</w:t>
            </w:r>
          </w:p>
        </w:tc>
        <w:tc>
          <w:tcPr/>
          <w:p>
            <w:pPr>
              <w:pStyle w:val="Compact"/>
              <w:jc w:val="right"/>
            </w:pPr>
            <w:r>
              <w:t xml:space="preserve">Practice-confirmed, n (%)</w:t>
            </w:r>
          </w:p>
        </w:tc>
        <w:tc>
          <w:tcPr/>
          <w:p>
            <w:pPr>
              <w:pStyle w:val="Compact"/>
              <w:jc w:val="right"/>
            </w:pPr>
            <w:r>
              <w:t xml:space="preserve">Confirmed inaccurate, n (%)</w:t>
            </w:r>
          </w:p>
        </w:tc>
        <w:tc>
          <w:tcPr/>
          <w:p>
            <w:pPr>
              <w:pStyle w:val="Compact"/>
              <w:jc w:val="right"/>
            </w:pPr>
            <w:r>
              <w:t xml:space="preserve">Unresolved, n (%)</w:t>
            </w:r>
          </w:p>
        </w:tc>
      </w:tr>
      <w:tr>
        <w:tc>
          <w:tcPr/>
          <w:p>
            <w:pPr>
              <w:pStyle w:val="Compact"/>
              <w:jc w:val="left"/>
            </w:pPr>
            <w:r>
              <w:t xml:space="preserve">NPPES + ABOto</w:t>
            </w:r>
          </w:p>
        </w:tc>
        <w:tc>
          <w:tcPr/>
          <w:p>
            <w:pPr>
              <w:pStyle w:val="Compact"/>
              <w:jc w:val="right"/>
            </w:pPr>
            <w:r>
              <w:t xml:space="preserve">342</w:t>
            </w:r>
          </w:p>
        </w:tc>
        <w:tc>
          <w:tcPr/>
          <w:p>
            <w:pPr>
              <w:pStyle w:val="Compact"/>
              <w:jc w:val="right"/>
            </w:pPr>
            <w:r>
              <w:t xml:space="preserve">128 (37.4%)</w:t>
            </w:r>
          </w:p>
        </w:tc>
        <w:tc>
          <w:tcPr/>
          <w:p>
            <w:pPr>
              <w:pStyle w:val="Compact"/>
              <w:jc w:val="right"/>
            </w:pPr>
            <w:r>
              <w:t xml:space="preserve">103 (30.1%)</w:t>
            </w:r>
          </w:p>
        </w:tc>
        <w:tc>
          <w:tcPr/>
          <w:p>
            <w:pPr>
              <w:pStyle w:val="Compact"/>
              <w:jc w:val="right"/>
            </w:pPr>
            <w:r>
              <w:t xml:space="preserve">111 (32.5%)</w:t>
            </w:r>
          </w:p>
        </w:tc>
      </w:tr>
      <w:tr>
        <w:tc>
          <w:tcPr/>
          <w:p>
            <w:pPr>
              <w:pStyle w:val="Compact"/>
              <w:jc w:val="left"/>
            </w:pPr>
            <w:r>
              <w:t xml:space="preserve">Triple match</w:t>
            </w:r>
          </w:p>
        </w:tc>
        <w:tc>
          <w:tcPr/>
          <w:p>
            <w:pPr>
              <w:pStyle w:val="Compact"/>
              <w:jc w:val="right"/>
            </w:pPr>
            <w:r>
              <w:t xml:space="preserve">410</w:t>
            </w:r>
          </w:p>
        </w:tc>
        <w:tc>
          <w:tcPr/>
          <w:p>
            <w:pPr>
              <w:pStyle w:val="Compact"/>
              <w:jc w:val="right"/>
            </w:pPr>
            <w:r>
              <w:t xml:space="preserve">317 (77.3%)</w:t>
            </w:r>
          </w:p>
        </w:tc>
        <w:tc>
          <w:tcPr/>
          <w:p>
            <w:pPr>
              <w:pStyle w:val="Compact"/>
              <w:jc w:val="right"/>
            </w:pPr>
            <w:r>
              <w:t xml:space="preserve">35 (8.5%)</w:t>
            </w:r>
          </w:p>
        </w:tc>
        <w:tc>
          <w:tcPr/>
          <w:p>
            <w:pPr>
              <w:pStyle w:val="Compact"/>
              <w:jc w:val="right"/>
            </w:pPr>
            <w:r>
              <w:t xml:space="preserve">58 (14.1%)</w:t>
            </w:r>
          </w:p>
        </w:tc>
      </w:tr>
      <w:tr>
        <w:tc>
          <w:tcPr/>
          <w:p>
            <w:pPr>
              <w:pStyle w:val="Compact"/>
              <w:jc w:val="left"/>
            </w:pPr>
            <w:r>
              <w:t xml:space="preserve">Overall</w:t>
            </w:r>
          </w:p>
        </w:tc>
        <w:tc>
          <w:tcPr/>
          <w:p>
            <w:pPr>
              <w:pStyle w:val="Compact"/>
              <w:jc w:val="right"/>
            </w:pPr>
            <w:r>
              <w:t xml:space="preserve">752</w:t>
            </w:r>
          </w:p>
        </w:tc>
        <w:tc>
          <w:tcPr/>
          <w:p>
            <w:pPr>
              <w:pStyle w:val="Compact"/>
              <w:jc w:val="right"/>
            </w:pPr>
            <w:r>
              <w:t xml:space="preserve">445 (59.2%)</w:t>
            </w:r>
          </w:p>
        </w:tc>
        <w:tc>
          <w:tcPr/>
          <w:p>
            <w:pPr>
              <w:pStyle w:val="Compact"/>
              <w:jc w:val="right"/>
            </w:pPr>
            <w:r>
              <w:t xml:space="preserve">138 (18.4%)</w:t>
            </w:r>
          </w:p>
        </w:tc>
        <w:tc>
          <w:tcPr/>
          <w:p>
            <w:pPr>
              <w:pStyle w:val="Compact"/>
              <w:jc w:val="right"/>
            </w:pPr>
            <w:r>
              <w:t xml:space="preserve">169 (22.5%)</w:t>
            </w:r>
          </w:p>
        </w:tc>
      </w:tr>
    </w:tbl>
    <w:p>
      <w:pPr>
        <w:pStyle w:val="BodyText"/>
      </w:pPr>
      <w:r>
        <w:rPr>
          <w:i/>
          <w:iCs/>
        </w:rPr>
        <w:t xml:space="preserve">Percentages use attempted listings within each registry group as the denominator. An additional 208 sampled listings had no recorded disposition.</w:t>
      </w:r>
    </w:p>
    <w:p>
      <w:pPr>
        <w:pStyle w:val="BodyText"/>
      </w:pPr>
      <w:r>
        <w:rPr>
          <w:i/>
          <w:iCs/>
        </w:rPr>
        <w:t xml:space="preserve">Abbreviations: ABOto, American Board of Otolaryngology-Head and Neck Surgery; NPPES, National Plan and Provider Enumeration System.</w:t>
      </w:r>
    </w:p>
    <w:p>
      <w:pPr>
        <w:pStyle w:val="TableCaption"/>
      </w:pPr>
      <w:r>
        <w:t xml:space="preserve">Table 3. Reasons for confirmed-inaccurate listings in the current sample.</w:t>
      </w:r>
    </w:p>
    <w:tbl>
      <w:tblPr>
        <w:tblStyle w:val="Table"/>
        <w:tblW w:type="pct" w:w="5000"/>
        <w:tblLayout w:type="fixed"/>
        <w:tblLook w:firstRow="1" w:lastRow="0" w:firstColumn="0" w:lastColumn="0" w:noHBand="0" w:noVBand="0" w:val="0020"/>
        <w:tblCaption w:val="Table 3. Reasons for confirmed-inaccurate listings in the current sample."/>
      </w:tblPr>
      <w:tblGrid>
        <w:gridCol w:w="2754"/>
        <w:gridCol w:w="344"/>
        <w:gridCol w:w="2238"/>
        <w:gridCol w:w="2582"/>
      </w:tblGrid>
      <w:tr>
        <w:trPr>
          <w:tblHeader w:val="on"/>
        </w:trPr>
        <w:tc>
          <w:tcPr/>
          <w:p>
            <w:pPr>
              <w:pStyle w:val="Compact"/>
              <w:jc w:val="left"/>
            </w:pPr>
            <w:r>
              <w:t xml:space="preserve">Reason</w:t>
            </w:r>
          </w:p>
        </w:tc>
        <w:tc>
          <w:tcPr/>
          <w:p>
            <w:pPr>
              <w:pStyle w:val="Compact"/>
              <w:jc w:val="right"/>
            </w:pPr>
            <w:r>
              <w:t xml:space="preserve">n</w:t>
            </w:r>
          </w:p>
        </w:tc>
        <w:tc>
          <w:tcPr/>
          <w:p>
            <w:pPr>
              <w:pStyle w:val="Compact"/>
              <w:jc w:val="right"/>
            </w:pPr>
            <w:r>
              <w:t xml:space="preserve">% of confirmed inaccurate</w:t>
            </w:r>
          </w:p>
        </w:tc>
        <w:tc>
          <w:tcPr/>
          <w:p>
            <w:pPr>
              <w:pStyle w:val="Compact"/>
              <w:jc w:val="left"/>
            </w:pPr>
            <w:r>
              <w:t xml:space="preserve">Workforce interpretation</w:t>
            </w:r>
          </w:p>
        </w:tc>
      </w:tr>
      <w:tr>
        <w:tc>
          <w:tcPr/>
          <w:p>
            <w:pPr>
              <w:pStyle w:val="Compact"/>
              <w:jc w:val="left"/>
            </w:pPr>
            <w:r>
              <w:t xml:space="preserve">Retired or no longer practicing</w:t>
            </w:r>
          </w:p>
        </w:tc>
        <w:tc>
          <w:tcPr/>
          <w:p>
            <w:pPr>
              <w:pStyle w:val="Compact"/>
              <w:jc w:val="right"/>
            </w:pPr>
            <w:r>
              <w:t xml:space="preserve">93</w:t>
            </w:r>
          </w:p>
        </w:tc>
        <w:tc>
          <w:tcPr/>
          <w:p>
            <w:pPr>
              <w:pStyle w:val="Compact"/>
              <w:jc w:val="right"/>
            </w:pPr>
            <w:r>
              <w:t xml:space="preserve">67.4%</w:t>
            </w:r>
          </w:p>
        </w:tc>
        <w:tc>
          <w:tcPr/>
          <w:p>
            <w:pPr>
              <w:pStyle w:val="Compact"/>
              <w:jc w:val="left"/>
            </w:pPr>
            <w:r>
              <w:t xml:space="preserve">Not workforce-confirmed</w:t>
            </w:r>
          </w:p>
        </w:tc>
      </w:tr>
      <w:tr>
        <w:tc>
          <w:tcPr/>
          <w:p>
            <w:pPr>
              <w:pStyle w:val="Compact"/>
              <w:jc w:val="left"/>
            </w:pPr>
            <w:r>
              <w:t xml:space="preserve">Relocated to another practice</w:t>
            </w:r>
          </w:p>
        </w:tc>
        <w:tc>
          <w:tcPr/>
          <w:p>
            <w:pPr>
              <w:pStyle w:val="Compact"/>
              <w:jc w:val="right"/>
            </w:pPr>
            <w:r>
              <w:t xml:space="preserve">45</w:t>
            </w:r>
          </w:p>
        </w:tc>
        <w:tc>
          <w:tcPr/>
          <w:p>
            <w:pPr>
              <w:pStyle w:val="Compact"/>
              <w:jc w:val="right"/>
            </w:pPr>
            <w:r>
              <w:t xml:space="preserve">32.6%</w:t>
            </w:r>
          </w:p>
        </w:tc>
        <w:tc>
          <w:tcPr/>
          <w:p>
            <w:pPr>
              <w:pStyle w:val="Compact"/>
              <w:jc w:val="left"/>
            </w:pPr>
            <w:r>
              <w:t xml:space="preserve">Workforce-confirmed elsewhere</w:t>
            </w:r>
          </w:p>
        </w:tc>
      </w:tr>
      <w:tr>
        <w:tc>
          <w:tcPr/>
          <w:p>
            <w:pPr>
              <w:pStyle w:val="Compact"/>
              <w:jc w:val="left"/>
            </w:pPr>
            <w:r>
              <w:t xml:space="preserve">Total</w:t>
            </w:r>
          </w:p>
        </w:tc>
        <w:tc>
          <w:tcPr/>
          <w:p>
            <w:pPr>
              <w:pStyle w:val="Compact"/>
              <w:jc w:val="right"/>
            </w:pPr>
            <w:r>
              <w:t xml:space="preserve">138</w:t>
            </w:r>
          </w:p>
        </w:tc>
        <w:tc>
          <w:tcPr/>
          <w:p>
            <w:pPr>
              <w:pStyle w:val="Compact"/>
              <w:jc w:val="right"/>
            </w:pPr>
            <w:r>
              <w:t xml:space="preserve">100.0%</w:t>
            </w:r>
          </w:p>
        </w:tc>
        <w:tc>
          <w:tcPr/>
          <w:p>
            <w:pPr>
              <w:pStyle w:val="Compact"/>
            </w:pPr>
          </w:p>
        </w:tc>
      </w:tr>
    </w:tbl>
    <w:p>
      <w:pPr>
        <w:pStyle w:val="BodyText"/>
      </w:pPr>
      <w:r>
        <w:rPr>
          <w:i/>
          <w:iCs/>
        </w:rPr>
        <w:t xml:space="preserve">Confirmed-inaccurate listings were mutually exclusive. Relocated physicians remained in the workforce but were not confirmed at the contacted practice.</w:t>
      </w:r>
    </w:p>
    <w:p>
      <w:r>
        <w:br w:type="page"/>
      </w:r>
    </w:p>
    <w:bookmarkEnd w:id="39"/>
    <w:bookmarkStart w:id="52" w:name="figures"/>
    <w:p>
      <w:pPr>
        <w:pStyle w:val="Heading1"/>
      </w:pPr>
      <w:r>
        <w:t xml:space="preserve">Figures</w:t>
      </w:r>
    </w:p>
    <w:p>
      <w:pPr>
        <w:pStyle w:val="CaptionedFigure"/>
      </w:pPr>
      <w:r>
        <w:drawing>
          <wp:inline>
            <wp:extent cx="5067300" cy="4292301"/>
            <wp:effectExtent b="0" l="0" r="0" t="0"/>
            <wp:docPr descr="Figure 1. Registry overlap and audited sample. Bar height represents source-population count (N) for each of the four NPPES-containing strata. Audited strata are shaded dark; audit label shows sample size and percentage of attempted listings confirmed at the indexed location. Dot matrix below indicates which registries each stratum includes. NPPES-only calls are pending; NPPES-plus-ENTHealth was not sampled." title="" id="41" name="Picture"/>
            <a:graphic>
              <a:graphicData uri="http://schemas.openxmlformats.org/drawingml/2006/picture">
                <pic:pic>
                  <pic:nvPicPr>
                    <pic:cNvPr descr="database_accuracy_manuscript_files/b8448236b71a6bfdead7dd637a707a60f24be89e.png" id="42" name="Picture"/>
                    <pic:cNvPicPr>
                      <a:picLocks noChangeArrowheads="1" noChangeAspect="1"/>
                    </pic:cNvPicPr>
                  </pic:nvPicPr>
                  <pic:blipFill>
                    <a:blip r:embed="rId40"/>
                    <a:stretch>
                      <a:fillRect/>
                    </a:stretch>
                  </pic:blipFill>
                  <pic:spPr bwMode="auto">
                    <a:xfrm>
                      <a:off x="0" y="0"/>
                      <a:ext cx="5067300" cy="4292301"/>
                    </a:xfrm>
                    <a:prstGeom prst="rect">
                      <a:avLst/>
                    </a:prstGeom>
                    <a:noFill/>
                    <a:ln w="9525">
                      <a:noFill/>
                      <a:headEnd/>
                      <a:tailEnd/>
                    </a:ln>
                  </pic:spPr>
                </pic:pic>
              </a:graphicData>
            </a:graphic>
          </wp:inline>
        </w:drawing>
      </w:r>
    </w:p>
    <w:p>
      <w:pPr>
        <w:pStyle w:val="ImageCaption"/>
      </w:pPr>
      <w:r>
        <w:t xml:space="preserve">Figure 1. Registry overlap and audited sample. Bar height represents source-population count (N) for each of the four NPPES-containing strata. Audited strata are shaded dark; audit label shows sample size and percentage of attempted listings confirmed at the indexed location. Dot matrix below indicates which registries each stratum includes. NPPES-only calls are pending; NPPES-plus-ENTHealth was not sampled.</w:t>
      </w:r>
    </w:p>
    <w:p>
      <w:pPr>
        <w:pStyle w:val="CaptionedFigure"/>
      </w:pPr>
      <w:r>
        <w:drawing>
          <wp:inline>
            <wp:extent cx="5067300" cy="2850356"/>
            <wp:effectExtent b="0" l="0" r="0" t="0"/>
            <wp:docPr descr="Figure 2. Registry credibility ladder. Each row is an audited stratum, ordered from least (top) to most (bottom) corroborated. Filled circles: location-confirmed percentage (physician confirmed at indexed NPPES address); open circles: workforce-confirmed percentage (physician confirmed in active practice at any location). Horizontal bars are Wilson 95% confidence intervals. Percentage labels refer to location-confirmed estimates. NPPES-only stratum pending." title="" id="44" name="Picture"/>
            <a:graphic>
              <a:graphicData uri="http://schemas.openxmlformats.org/drawingml/2006/picture">
                <pic:pic>
                  <pic:nvPicPr>
                    <pic:cNvPr descr="database_accuracy_manuscript_files/5edba10e601a8cef17ebd3826c6b54a1fdb0779e.png" id="45" name="Picture"/>
                    <pic:cNvPicPr>
                      <a:picLocks noChangeArrowheads="1" noChangeAspect="1"/>
                    </pic:cNvPicPr>
                  </pic:nvPicPr>
                  <pic:blipFill>
                    <a:blip r:embed="rId43"/>
                    <a:stretch>
                      <a:fillRect/>
                    </a:stretch>
                  </pic:blipFill>
                  <pic:spPr bwMode="auto">
                    <a:xfrm>
                      <a:off x="0" y="0"/>
                      <a:ext cx="5067300" cy="2850356"/>
                    </a:xfrm>
                    <a:prstGeom prst="rect">
                      <a:avLst/>
                    </a:prstGeom>
                    <a:noFill/>
                    <a:ln w="9525">
                      <a:noFill/>
                      <a:headEnd/>
                      <a:tailEnd/>
                    </a:ln>
                  </pic:spPr>
                </pic:pic>
              </a:graphicData>
            </a:graphic>
          </wp:inline>
        </w:drawing>
      </w:r>
    </w:p>
    <w:p>
      <w:pPr>
        <w:pStyle w:val="ImageCaption"/>
      </w:pPr>
      <w:r>
        <w:t xml:space="preserve">Figure 2. Registry credibility ladder. Each row is an audited stratum, ordered from least (top) to most (bottom) corroborated. Filled circles: location-confirmed percentage (physician confirmed at indexed NPPES address); open circles: workforce-confirmed percentage (physician confirmed in active practice at any location). Horizontal bars are Wilson 95% confidence intervals. Percentage labels refer to location-confirmed estimates. NPPES-only stratum pending.</w:t>
      </w:r>
    </w:p>
    <w:p>
      <w:pPr>
        <w:pStyle w:val="CaptionedFigure"/>
      </w:pPr>
      <w:r>
        <w:drawing>
          <wp:inline>
            <wp:extent cx="5067300" cy="2939034"/>
            <wp:effectExtent b="0" l="0" r="0" t="0"/>
            <wp:docPr descr="Figure 3. Listing validation journey. Each box shows the number of physician listings at each stage of the telephone audit cascade: sampled, attempted, reached, and adjudicated. Flows are split into confirmed-valid (physician present at indexed NPPES location), confirmed-invalid (relocated, retired, or wrong number), and unresolved (protocol completed; status unclear). Numbers in parentheses show the percentage of the prior stage." title="" id="47" name="Picture"/>
            <a:graphic>
              <a:graphicData uri="http://schemas.openxmlformats.org/drawingml/2006/picture">
                <pic:pic>
                  <pic:nvPicPr>
                    <pic:cNvPr descr="database_accuracy_manuscript_files/57509bdb9b07cf03a6e120640cab6e65817412a1.png" id="48" name="Picture"/>
                    <pic:cNvPicPr>
                      <a:picLocks noChangeArrowheads="1" noChangeAspect="1"/>
                    </pic:cNvPicPr>
                  </pic:nvPicPr>
                  <pic:blipFill>
                    <a:blip r:embed="rId46"/>
                    <a:stretch>
                      <a:fillRect/>
                    </a:stretch>
                  </pic:blipFill>
                  <pic:spPr bwMode="auto">
                    <a:xfrm>
                      <a:off x="0" y="0"/>
                      <a:ext cx="5067300" cy="2939034"/>
                    </a:xfrm>
                    <a:prstGeom prst="rect">
                      <a:avLst/>
                    </a:prstGeom>
                    <a:noFill/>
                    <a:ln w="9525">
                      <a:noFill/>
                      <a:headEnd/>
                      <a:tailEnd/>
                    </a:ln>
                  </pic:spPr>
                </pic:pic>
              </a:graphicData>
            </a:graphic>
          </wp:inline>
        </w:drawing>
      </w:r>
    </w:p>
    <w:p>
      <w:pPr>
        <w:pStyle w:val="ImageCaption"/>
      </w:pPr>
      <w:r>
        <w:t xml:space="preserve">Figure 3. Listing validation journey. Each box shows the number of physician listings at each stage of the telephone audit cascade: sampled, attempted, reached, and adjudicated. Flows are split into confirmed-valid (physician present at indexed NPPES location), confirmed-invalid (relocated, retired, or wrong number), and unresolved (protocol completed; status unclear). Numbers in parentheses show the percentage of the prior stage.</w:t>
      </w:r>
    </w:p>
    <w:p>
      <w:pPr>
        <w:pStyle w:val="CaptionedFigure"/>
      </w:pPr>
      <w:r>
        <w:drawing>
          <wp:inline>
            <wp:extent cx="5067300" cy="3167062"/>
            <wp:effectExtent b="0" l="0" r="0" t="0"/>
            <wp:docPr descr="Figure 4. Predicted probability of location-confirmed listing by years since NPPES enumeration. Lines are predicted values from a logistic regression model with an interaction between registry-overlap stratum and years since enumeration. Shaded bands are 95% confidence intervals. Rug marks show observed confirmed listings (top) and not-confirmed listings (bottom). Current analysis includes two audited strata; NPPES-only stratum pending." title="" id="50" name="Picture"/>
            <a:graphic>
              <a:graphicData uri="http://schemas.openxmlformats.org/drawingml/2006/picture">
                <pic:pic>
                  <pic:nvPicPr>
                    <pic:cNvPr descr="database_accuracy_manuscript_files/f0cff9b49efbb8e8a173ef75643b4bf7530fb735.png" id="51" name="Picture"/>
                    <pic:cNvPicPr>
                      <a:picLocks noChangeArrowheads="1" noChangeAspect="1"/>
                    </pic:cNvPicPr>
                  </pic:nvPicPr>
                  <pic:blipFill>
                    <a:blip r:embed="rId49"/>
                    <a:stretch>
                      <a:fillRect/>
                    </a:stretch>
                  </pic:blipFill>
                  <pic:spPr bwMode="auto">
                    <a:xfrm>
                      <a:off x="0" y="0"/>
                      <a:ext cx="5067300" cy="3167062"/>
                    </a:xfrm>
                    <a:prstGeom prst="rect">
                      <a:avLst/>
                    </a:prstGeom>
                    <a:noFill/>
                    <a:ln w="9525">
                      <a:noFill/>
                      <a:headEnd/>
                      <a:tailEnd/>
                    </a:ln>
                  </pic:spPr>
                </pic:pic>
              </a:graphicData>
            </a:graphic>
          </wp:inline>
        </w:drawing>
      </w:r>
    </w:p>
    <w:p>
      <w:pPr>
        <w:pStyle w:val="ImageCaption"/>
      </w:pPr>
      <w:r>
        <w:t xml:space="preserve">Figure 4. Predicted probability of location-confirmed listing by years since NPPES enumeration. Lines are predicted values from a logistic regression model with an interaction between registry-overlap stratum and years since enumeration. Shaded bands are 95% confidence intervals. Rug marks show observed confirmed listings (top) and not-confirmed listings (bottom). Current analysis includes two audited strata; NPPES-only stratum pending.</w:t>
      </w:r>
    </w:p>
    <w:p>
      <w:r>
        <w:br w:type="page"/>
      </w:r>
    </w:p>
    <w:bookmarkEnd w:id="52"/>
    <w:bookmarkStart w:id="62" w:name="supplementary-material"/>
    <w:p>
      <w:pPr>
        <w:pStyle w:val="Heading1"/>
      </w:pPr>
      <w:r>
        <w:t xml:space="preserve">Supplementary Material</w:t>
      </w:r>
    </w:p>
    <w:p>
      <w:pPr>
        <w:pStyle w:val="TableCaption"/>
      </w:pPr>
      <w:r>
        <w:t xml:space="preserve">Supplementary Table S1. Complete registry-overlap population and audit status.</w:t>
      </w:r>
    </w:p>
    <w:tbl>
      <w:tblPr>
        <w:tblStyle w:val="Table"/>
        <w:tblW w:type="pct" w:w="5000"/>
        <w:tblLayout w:type="fixed"/>
        <w:tblLook w:firstRow="1" w:lastRow="0" w:firstColumn="0" w:lastColumn="0" w:noHBand="0" w:noVBand="0" w:val="0020"/>
        <w:tblCaption w:val="Supplementary Table S1. Complete registry-overlap population and audit status."/>
      </w:tblPr>
      <w:tblGrid>
        <w:gridCol w:w="2359"/>
        <w:gridCol w:w="3454"/>
        <w:gridCol w:w="1095"/>
        <w:gridCol w:w="1011"/>
      </w:tblGrid>
      <w:tr>
        <w:trPr>
          <w:tblHeader w:val="on"/>
        </w:trPr>
        <w:tc>
          <w:tcPr/>
          <w:p>
            <w:pPr>
              <w:pStyle w:val="Compact"/>
              <w:jc w:val="left"/>
            </w:pPr>
            <w:r>
              <w:t xml:space="preserve">Euler Zone</w:t>
            </w:r>
          </w:p>
        </w:tc>
        <w:tc>
          <w:tcPr/>
          <w:p>
            <w:pPr>
              <w:pStyle w:val="Compact"/>
              <w:jc w:val="left"/>
            </w:pPr>
            <w:r>
              <w:t xml:space="preserve">Definition</w:t>
            </w:r>
          </w:p>
        </w:tc>
        <w:tc>
          <w:tcPr/>
          <w:p>
            <w:pPr>
              <w:pStyle w:val="Compact"/>
              <w:jc w:val="right"/>
            </w:pPr>
            <w:r>
              <w:t xml:space="preserve">Population N</w:t>
            </w:r>
          </w:p>
        </w:tc>
        <w:tc>
          <w:tcPr/>
          <w:p>
            <w:pPr>
              <w:pStyle w:val="Compact"/>
              <w:jc w:val="right"/>
            </w:pPr>
            <w:r>
              <w:t xml:space="preserve">Audited (n)</w:t>
            </w:r>
          </w:p>
        </w:tc>
      </w:tr>
      <w:tr>
        <w:tc>
          <w:tcPr/>
          <w:p>
            <w:pPr>
              <w:pStyle w:val="Compact"/>
              <w:jc w:val="left"/>
            </w:pPr>
            <w:r>
              <w:t xml:space="preserve">NPPES only</w:t>
            </w:r>
          </w:p>
        </w:tc>
        <w:tc>
          <w:tcPr/>
          <w:p>
            <w:pPr>
              <w:pStyle w:val="Compact"/>
              <w:jc w:val="left"/>
            </w:pPr>
            <w:r>
              <w:t xml:space="preserve">207Y* in NPPES; NOT ABOto; NOT ENTHealth</w:t>
            </w:r>
          </w:p>
        </w:tc>
        <w:tc>
          <w:tcPr/>
          <w:p>
            <w:pPr>
              <w:pStyle w:val="Compact"/>
              <w:jc w:val="right"/>
            </w:pPr>
            <w:r>
              <w:t xml:space="preserve">2,756</w:t>
            </w:r>
          </w:p>
        </w:tc>
        <w:tc>
          <w:tcPr/>
          <w:p>
            <w:pPr>
              <w:pStyle w:val="Compact"/>
              <w:jc w:val="right"/>
            </w:pPr>
            <w:r>
              <w:t xml:space="preserve">379 planned</w:t>
            </w:r>
          </w:p>
        </w:tc>
      </w:tr>
      <w:tr>
        <w:tc>
          <w:tcPr/>
          <w:p>
            <w:pPr>
              <w:pStyle w:val="Compact"/>
              <w:jc w:val="left"/>
            </w:pPr>
            <w:r>
              <w:t xml:space="preserve">NPPES + ABOto</w:t>
            </w:r>
          </w:p>
        </w:tc>
        <w:tc>
          <w:tcPr/>
          <w:p>
            <w:pPr>
              <w:pStyle w:val="Compact"/>
              <w:jc w:val="left"/>
            </w:pPr>
            <w:r>
              <w:t xml:space="preserve">NPPES + ABOto board-cert; NOT ENTHealth</w:t>
            </w:r>
          </w:p>
        </w:tc>
        <w:tc>
          <w:tcPr/>
          <w:p>
            <w:pPr>
              <w:pStyle w:val="Compact"/>
              <w:jc w:val="right"/>
            </w:pPr>
            <w:r>
              <w:t xml:space="preserve">6,748</w:t>
            </w:r>
          </w:p>
        </w:tc>
        <w:tc>
          <w:tcPr/>
          <w:p>
            <w:pPr>
              <w:pStyle w:val="Compact"/>
              <w:jc w:val="right"/>
            </w:pPr>
            <w:r>
              <w:t xml:space="preserve">498</w:t>
            </w:r>
          </w:p>
        </w:tc>
      </w:tr>
      <w:tr>
        <w:tc>
          <w:tcPr/>
          <w:p>
            <w:pPr>
              <w:pStyle w:val="Compact"/>
              <w:jc w:val="left"/>
            </w:pPr>
            <w:r>
              <w:t xml:space="preserve">NPPES + ENTHealth</w:t>
            </w:r>
          </w:p>
        </w:tc>
        <w:tc>
          <w:tcPr/>
          <w:p>
            <w:pPr>
              <w:pStyle w:val="Compact"/>
              <w:jc w:val="left"/>
            </w:pPr>
            <w:r>
              <w:t xml:space="preserve">NPPES + ENTHealth; NOT ABOto</w:t>
            </w:r>
          </w:p>
        </w:tc>
        <w:tc>
          <w:tcPr/>
          <w:p>
            <w:pPr>
              <w:pStyle w:val="Compact"/>
              <w:jc w:val="right"/>
            </w:pPr>
            <w:r>
              <w:t xml:space="preserve">711</w:t>
            </w:r>
          </w:p>
        </w:tc>
        <w:tc>
          <w:tcPr/>
          <w:p>
            <w:pPr>
              <w:pStyle w:val="Compact"/>
              <w:jc w:val="right"/>
            </w:pPr>
            <w:r>
              <w:t xml:space="preserve">Not sampled</w:t>
            </w:r>
          </w:p>
        </w:tc>
      </w:tr>
      <w:tr>
        <w:tc>
          <w:tcPr/>
          <w:p>
            <w:pPr>
              <w:pStyle w:val="Compact"/>
              <w:jc w:val="left"/>
            </w:pPr>
            <w:r>
              <w:t xml:space="preserve">Triple-match (all three)</w:t>
            </w:r>
          </w:p>
        </w:tc>
        <w:tc>
          <w:tcPr/>
          <w:p>
            <w:pPr>
              <w:pStyle w:val="Compact"/>
              <w:jc w:val="left"/>
            </w:pPr>
            <w:r>
              <w:t xml:space="preserve">Present in all three registries</w:t>
            </w:r>
          </w:p>
        </w:tc>
        <w:tc>
          <w:tcPr/>
          <w:p>
            <w:pPr>
              <w:pStyle w:val="Compact"/>
              <w:jc w:val="right"/>
            </w:pPr>
            <w:r>
              <w:t xml:space="preserve">4,573</w:t>
            </w:r>
          </w:p>
        </w:tc>
        <w:tc>
          <w:tcPr/>
          <w:p>
            <w:pPr>
              <w:pStyle w:val="Compact"/>
              <w:jc w:val="right"/>
            </w:pPr>
            <w:r>
              <w:t xml:space="preserve">462</w:t>
            </w:r>
          </w:p>
        </w:tc>
      </w:tr>
      <w:tr>
        <w:tc>
          <w:tcPr/>
          <w:p>
            <w:pPr>
              <w:pStyle w:val="Compact"/>
              <w:jc w:val="left"/>
            </w:pPr>
            <w:r>
              <w:t xml:space="preserve">ABOto only (state conflict)</w:t>
            </w:r>
          </w:p>
        </w:tc>
        <w:tc>
          <w:tcPr/>
          <w:p>
            <w:pPr>
              <w:pStyle w:val="Compact"/>
              <w:jc w:val="left"/>
            </w:pPr>
            <w:r>
              <w:t xml:space="preserve">ABOto only; NPPES non-CONUS</w:t>
            </w:r>
          </w:p>
        </w:tc>
        <w:tc>
          <w:tcPr/>
          <w:p>
            <w:pPr>
              <w:pStyle w:val="Compact"/>
              <w:jc w:val="right"/>
            </w:pPr>
            <w:r>
              <w:t xml:space="preserve">12</w:t>
            </w:r>
          </w:p>
        </w:tc>
        <w:tc>
          <w:tcPr/>
          <w:p>
            <w:pPr>
              <w:pStyle w:val="Compact"/>
              <w:jc w:val="right"/>
            </w:pPr>
            <w:r>
              <w:t xml:space="preserve">Not sampled</w:t>
            </w:r>
          </w:p>
        </w:tc>
      </w:tr>
      <w:tr>
        <w:tc>
          <w:tcPr/>
          <w:p>
            <w:pPr>
              <w:pStyle w:val="Compact"/>
              <w:jc w:val="left"/>
            </w:pPr>
            <w:r>
              <w:t xml:space="preserve">ENTHealth only (with NPI)</w:t>
            </w:r>
          </w:p>
        </w:tc>
        <w:tc>
          <w:tcPr/>
          <w:p>
            <w:pPr>
              <w:pStyle w:val="Compact"/>
              <w:jc w:val="left"/>
            </w:pPr>
            <w:r>
              <w:t xml:space="preserve">ENTHealth; NPI not in NPPES 207Y*</w:t>
            </w:r>
          </w:p>
        </w:tc>
        <w:tc>
          <w:tcPr/>
          <w:p>
            <w:pPr>
              <w:pStyle w:val="Compact"/>
              <w:jc w:val="right"/>
            </w:pPr>
            <w:r>
              <w:t xml:space="preserve">1</w:t>
            </w:r>
          </w:p>
        </w:tc>
        <w:tc>
          <w:tcPr/>
          <w:p>
            <w:pPr>
              <w:pStyle w:val="Compact"/>
              <w:jc w:val="right"/>
            </w:pPr>
            <w:r>
              <w:t xml:space="preserve">Not sampled</w:t>
            </w:r>
          </w:p>
        </w:tc>
      </w:tr>
      <w:tr>
        <w:tc>
          <w:tcPr/>
          <w:p>
            <w:pPr>
              <w:pStyle w:val="Compact"/>
              <w:jc w:val="left"/>
            </w:pPr>
            <w:r>
              <w:t xml:space="preserve">ENTHealth only (no NPI)</w:t>
            </w:r>
          </w:p>
        </w:tc>
        <w:tc>
          <w:tcPr/>
          <w:p>
            <w:pPr>
              <w:pStyle w:val="Compact"/>
              <w:jc w:val="left"/>
            </w:pPr>
            <w:r>
              <w:t xml:space="preserve">ENTHealth; no NPI recorded</w:t>
            </w:r>
          </w:p>
        </w:tc>
        <w:tc>
          <w:tcPr/>
          <w:p>
            <w:pPr>
              <w:pStyle w:val="Compact"/>
              <w:jc w:val="right"/>
            </w:pPr>
            <w:r>
              <w:t xml:space="preserve">247</w:t>
            </w:r>
          </w:p>
        </w:tc>
        <w:tc>
          <w:tcPr/>
          <w:p>
            <w:pPr>
              <w:pStyle w:val="Compact"/>
              <w:jc w:val="right"/>
            </w:pPr>
            <w:r>
              <w:t xml:space="preserve">Not sampled</w:t>
            </w:r>
          </w:p>
        </w:tc>
      </w:tr>
      <w:tr>
        <w:tc>
          <w:tcPr/>
          <w:p>
            <w:pPr>
              <w:pStyle w:val="Compact"/>
              <w:jc w:val="left"/>
            </w:pPr>
            <w:r>
              <w:t xml:space="preserve">Total</w:t>
            </w:r>
          </w:p>
        </w:tc>
        <w:tc>
          <w:tcPr/>
          <w:p>
            <w:pPr>
              <w:pStyle w:val="Compact"/>
            </w:pPr>
          </w:p>
        </w:tc>
        <w:tc>
          <w:tcPr/>
          <w:p>
            <w:pPr>
              <w:pStyle w:val="Compact"/>
              <w:jc w:val="right"/>
            </w:pPr>
            <w:r>
              <w:t xml:space="preserve">15,048</w:t>
            </w:r>
          </w:p>
        </w:tc>
        <w:tc>
          <w:tcPr/>
          <w:p>
            <w:pPr>
              <w:pStyle w:val="Compact"/>
              <w:jc w:val="right"/>
            </w:pPr>
            <w:r>
              <w:t xml:space="preserve">960</w:t>
            </w:r>
          </w:p>
        </w:tc>
      </w:tr>
    </w:tbl>
    <w:p>
      <w:pPr>
        <w:pStyle w:val="BodyText"/>
      </w:pPr>
      <w:r>
        <w:rPr>
          <w:i/>
          <w:iCs/>
        </w:rPr>
        <w:t xml:space="preserve">Abbreviations: ABOto, American Board of Otolaryngology-Head and Neck Surgery; NPI, National Provider Identifier; NPPES, National Plan and Provider Enumeration System.</w:t>
      </w:r>
    </w:p>
    <w:p>
      <w:pPr>
        <w:pStyle w:val="TableCaption"/>
      </w:pPr>
      <w:r>
        <w:t xml:space="preserve">Supplementary Table S2. Sampling design and inverse-probability weights.</w:t>
      </w:r>
    </w:p>
    <w:tbl>
      <w:tblPr>
        <w:tblStyle w:val="Table"/>
        <w:tblW w:type="pct" w:w="5000"/>
        <w:tblLayout w:type="fixed"/>
        <w:tblLook w:firstRow="1" w:lastRow="0" w:firstColumn="0" w:lastColumn="0" w:noHBand="0" w:noVBand="0" w:val="0020"/>
        <w:tblCaption w:val="Supplementary Table S2. Sampling design and inverse-probability weights."/>
      </w:tblPr>
      <w:tblGrid>
        <w:gridCol w:w="2454"/>
        <w:gridCol w:w="1450"/>
        <w:gridCol w:w="1115"/>
        <w:gridCol w:w="2007"/>
        <w:gridCol w:w="892"/>
      </w:tblGrid>
      <w:tr>
        <w:trPr>
          <w:tblHeader w:val="on"/>
        </w:trPr>
        <w:tc>
          <w:tcPr/>
          <w:p>
            <w:pPr>
              <w:pStyle w:val="Compact"/>
              <w:jc w:val="left"/>
            </w:pPr>
            <w:r>
              <w:t xml:space="preserve">Stratum</w:t>
            </w:r>
          </w:p>
        </w:tc>
        <w:tc>
          <w:tcPr/>
          <w:p>
            <w:pPr>
              <w:pStyle w:val="Compact"/>
              <w:jc w:val="left"/>
            </w:pPr>
            <w:r>
              <w:t xml:space="preserve">Population N</w:t>
            </w:r>
          </w:p>
        </w:tc>
        <w:tc>
          <w:tcPr/>
          <w:p>
            <w:pPr>
              <w:pStyle w:val="Compact"/>
              <w:jc w:val="left"/>
            </w:pPr>
            <w:r>
              <w:t xml:space="preserve">Sampled n</w:t>
            </w:r>
          </w:p>
        </w:tc>
        <w:tc>
          <w:tcPr/>
          <w:p>
            <w:pPr>
              <w:pStyle w:val="Compact"/>
              <w:jc w:val="left"/>
            </w:pPr>
            <w:r>
              <w:t xml:space="preserve">Sampling fraction</w:t>
            </w:r>
          </w:p>
        </w:tc>
        <w:tc>
          <w:tcPr/>
          <w:p>
            <w:pPr>
              <w:pStyle w:val="Compact"/>
              <w:jc w:val="left"/>
            </w:pPr>
            <w:r>
              <w:t xml:space="preserve">Weight</w:t>
            </w:r>
          </w:p>
        </w:tc>
      </w:tr>
      <w:tr>
        <w:tc>
          <w:tcPr/>
          <w:p>
            <w:pPr>
              <w:pStyle w:val="Compact"/>
              <w:jc w:val="left"/>
            </w:pPr>
            <w:r>
              <w:t xml:space="preserve">NPPES+ABOto</w:t>
            </w:r>
          </w:p>
        </w:tc>
        <w:tc>
          <w:tcPr/>
          <w:p>
            <w:pPr>
              <w:pStyle w:val="Compact"/>
              <w:jc w:val="left"/>
            </w:pPr>
            <w:r>
              <w:t xml:space="preserve">6,748</w:t>
            </w:r>
          </w:p>
        </w:tc>
        <w:tc>
          <w:tcPr/>
          <w:p>
            <w:pPr>
              <w:pStyle w:val="Compact"/>
              <w:jc w:val="left"/>
            </w:pPr>
            <w:r>
              <w:t xml:space="preserve">498</w:t>
            </w:r>
          </w:p>
        </w:tc>
        <w:tc>
          <w:tcPr/>
          <w:p>
            <w:pPr>
              <w:pStyle w:val="Compact"/>
              <w:jc w:val="left"/>
            </w:pPr>
            <w:r>
              <w:t xml:space="preserve">7.4%</w:t>
            </w:r>
          </w:p>
        </w:tc>
        <w:tc>
          <w:tcPr/>
          <w:p>
            <w:pPr>
              <w:pStyle w:val="Compact"/>
              <w:jc w:val="left"/>
            </w:pPr>
            <w:r>
              <w:t xml:space="preserve">13.55</w:t>
            </w:r>
          </w:p>
        </w:tc>
      </w:tr>
      <w:tr>
        <w:tc>
          <w:tcPr/>
          <w:p>
            <w:pPr>
              <w:pStyle w:val="Compact"/>
              <w:jc w:val="left"/>
            </w:pPr>
            <w:r>
              <w:t xml:space="preserve">NPPES+ABOto+ENTHealth</w:t>
            </w:r>
          </w:p>
        </w:tc>
        <w:tc>
          <w:tcPr/>
          <w:p>
            <w:pPr>
              <w:pStyle w:val="Compact"/>
              <w:jc w:val="left"/>
            </w:pPr>
            <w:r>
              <w:t xml:space="preserve">4,573</w:t>
            </w:r>
          </w:p>
        </w:tc>
        <w:tc>
          <w:tcPr/>
          <w:p>
            <w:pPr>
              <w:pStyle w:val="Compact"/>
              <w:jc w:val="left"/>
            </w:pPr>
            <w:r>
              <w:t xml:space="preserve">462</w:t>
            </w:r>
          </w:p>
        </w:tc>
        <w:tc>
          <w:tcPr/>
          <w:p>
            <w:pPr>
              <w:pStyle w:val="Compact"/>
              <w:jc w:val="left"/>
            </w:pPr>
            <w:r>
              <w:t xml:space="preserve">10.1%</w:t>
            </w:r>
          </w:p>
        </w:tc>
        <w:tc>
          <w:tcPr/>
          <w:p>
            <w:pPr>
              <w:pStyle w:val="Compact"/>
              <w:jc w:val="left"/>
            </w:pPr>
            <w:r>
              <w:t xml:space="preserve">9.90</w:t>
            </w:r>
          </w:p>
        </w:tc>
      </w:tr>
      <w:tr>
        <w:tc>
          <w:tcPr/>
          <w:p>
            <w:pPr>
              <w:pStyle w:val="Compact"/>
              <w:jc w:val="left"/>
            </w:pPr>
            <w:r>
              <w:t xml:space="preserve">NPPES-only (pending)</w:t>
            </w:r>
          </w:p>
        </w:tc>
        <w:tc>
          <w:tcPr/>
          <w:p>
            <w:pPr>
              <w:pStyle w:val="Compact"/>
              <w:jc w:val="left"/>
            </w:pPr>
            <w:r>
              <w:t xml:space="preserve">2,756</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bl>
    <w:p>
      <w:pPr>
        <w:pStyle w:val="BodyText"/>
      </w:pPr>
      <w:r>
        <w:rPr>
          <w:i/>
          <w:iCs/>
        </w:rPr>
        <w:t xml:space="preserve">The rural NPPES-only group is sampled as a census; nonrural sampling weights will vary by region and credential stratum.</w:t>
      </w:r>
    </w:p>
    <w:p>
      <w:pPr>
        <w:pStyle w:val="TableCaption"/>
      </w:pPr>
      <w:r>
        <w:t xml:space="preserve">Supplementary Table S3a. Listing-status distribution (unweighted; NPPES-only calls pending).</w:t>
      </w:r>
    </w:p>
    <w:tbl>
      <w:tblPr>
        <w:tblStyle w:val="Table"/>
        <w:tblW w:type="auto" w:w="0"/>
        <w:tblLook w:firstRow="1" w:lastRow="0" w:firstColumn="0" w:lastColumn="0" w:noHBand="0" w:noVBand="0" w:val="0020"/>
        <w:tblCaption w:val="Supplementary Table S3a. Listing-status distribution (unweighted; NPPES-only calls pending)."/>
      </w:tblPr>
      <w:tblGrid>
        <w:gridCol w:w="2640"/>
        <w:gridCol w:w="2640"/>
        <w:gridCol w:w="2640"/>
      </w:tblGrid>
      <w:tr>
        <w:trPr>
          <w:tblHeader w:val="on"/>
        </w:trPr>
        <w:tc>
          <w:tcPr/>
          <w:p>
            <w:pPr>
              <w:pStyle w:val="Compact"/>
              <w:jc w:val="left"/>
            </w:pPr>
            <w:r>
              <w:t xml:space="preserve">Listing status</w:t>
            </w:r>
          </w:p>
        </w:tc>
        <w:tc>
          <w:tcPr/>
          <w:p>
            <w:pPr>
              <w:pStyle w:val="Compact"/>
              <w:jc w:val="right"/>
            </w:pPr>
            <w:r>
              <w:t xml:space="preserve">n</w:t>
            </w:r>
          </w:p>
        </w:tc>
        <w:tc>
          <w:tcPr/>
          <w:p>
            <w:pPr>
              <w:pStyle w:val="Compact"/>
              <w:jc w:val="left"/>
            </w:pPr>
            <w:r>
              <w:t xml:space="preserve">%</w:t>
            </w:r>
          </w:p>
        </w:tc>
      </w:tr>
      <w:tr>
        <w:tc>
          <w:tcPr/>
          <w:p>
            <w:pPr>
              <w:pStyle w:val="Compact"/>
              <w:jc w:val="left"/>
            </w:pPr>
            <w:r>
              <w:t xml:space="preserve">confirmed_valid</w:t>
            </w:r>
          </w:p>
        </w:tc>
        <w:tc>
          <w:tcPr/>
          <w:p>
            <w:pPr>
              <w:pStyle w:val="Compact"/>
              <w:jc w:val="right"/>
            </w:pPr>
            <w:r>
              <w:t xml:space="preserve">445</w:t>
            </w:r>
          </w:p>
        </w:tc>
        <w:tc>
          <w:tcPr/>
          <w:p>
            <w:pPr>
              <w:pStyle w:val="Compact"/>
              <w:jc w:val="left"/>
            </w:pPr>
            <w:r>
              <w:t xml:space="preserve">46.4</w:t>
            </w:r>
          </w:p>
        </w:tc>
      </w:tr>
      <w:tr>
        <w:tc>
          <w:tcPr/>
          <w:p>
            <w:pPr>
              <w:pStyle w:val="Compact"/>
              <w:jc w:val="left"/>
            </w:pPr>
            <w:r>
              <w:t xml:space="preserve">confirmed_invalid</w:t>
            </w:r>
          </w:p>
        </w:tc>
        <w:tc>
          <w:tcPr/>
          <w:p>
            <w:pPr>
              <w:pStyle w:val="Compact"/>
              <w:jc w:val="right"/>
            </w:pPr>
            <w:r>
              <w:t xml:space="preserve">138</w:t>
            </w:r>
          </w:p>
        </w:tc>
        <w:tc>
          <w:tcPr/>
          <w:p>
            <w:pPr>
              <w:pStyle w:val="Compact"/>
              <w:jc w:val="left"/>
            </w:pPr>
            <w:r>
              <w:t xml:space="preserve">14.4</w:t>
            </w:r>
          </w:p>
        </w:tc>
      </w:tr>
      <w:tr>
        <w:tc>
          <w:tcPr/>
          <w:p>
            <w:pPr>
              <w:pStyle w:val="Compact"/>
              <w:jc w:val="left"/>
            </w:pPr>
            <w:r>
              <w:t xml:space="preserve">unresolved</w:t>
            </w:r>
          </w:p>
        </w:tc>
        <w:tc>
          <w:tcPr/>
          <w:p>
            <w:pPr>
              <w:pStyle w:val="Compact"/>
              <w:jc w:val="right"/>
            </w:pPr>
            <w:r>
              <w:t xml:space="preserve">169</w:t>
            </w:r>
          </w:p>
        </w:tc>
        <w:tc>
          <w:tcPr/>
          <w:p>
            <w:pPr>
              <w:pStyle w:val="Compact"/>
              <w:jc w:val="left"/>
            </w:pPr>
            <w:r>
              <w:t xml:space="preserve">17.6</w:t>
            </w:r>
          </w:p>
        </w:tc>
      </w:tr>
      <w:tr>
        <w:tc>
          <w:tcPr/>
          <w:p>
            <w:pPr>
              <w:pStyle w:val="Compact"/>
              <w:jc w:val="left"/>
            </w:pPr>
            <w:r>
              <w:t xml:space="preserve">not_attempted</w:t>
            </w:r>
          </w:p>
        </w:tc>
        <w:tc>
          <w:tcPr/>
          <w:p>
            <w:pPr>
              <w:pStyle w:val="Compact"/>
              <w:jc w:val="right"/>
            </w:pPr>
            <w:r>
              <w:t xml:space="preserve">208</w:t>
            </w:r>
          </w:p>
        </w:tc>
        <w:tc>
          <w:tcPr/>
          <w:p>
            <w:pPr>
              <w:pStyle w:val="Compact"/>
              <w:jc w:val="left"/>
            </w:pPr>
            <w:r>
              <w:t xml:space="preserve">21.7</w:t>
            </w:r>
          </w:p>
        </w:tc>
      </w:tr>
    </w:tbl>
    <w:p/>
    <w:p>
      <w:pPr>
        <w:pStyle w:val="TableCaption"/>
      </w:pPr>
      <w:r>
        <w:t xml:space="preserve">Supplementary Table S3b. Reasons for confirmed-inaccurate listings.</w:t>
      </w:r>
    </w:p>
    <w:tbl>
      <w:tblPr>
        <w:tblStyle w:val="Table"/>
        <w:tblW w:type="auto" w:w="0"/>
        <w:tblLook w:firstRow="1" w:lastRow="0" w:firstColumn="0" w:lastColumn="0" w:noHBand="0" w:noVBand="0" w:val="0020"/>
        <w:tblCaption w:val="Supplementary Table S3b. Reasons for confirmed-inaccurate listings."/>
      </w:tblPr>
      <w:tblGrid>
        <w:gridCol w:w="2640"/>
        <w:gridCol w:w="2640"/>
        <w:gridCol w:w="2640"/>
      </w:tblGrid>
      <w:tr>
        <w:trPr>
          <w:tblHeader w:val="on"/>
        </w:trPr>
        <w:tc>
          <w:tcPr/>
          <w:p>
            <w:pPr>
              <w:pStyle w:val="Compact"/>
              <w:jc w:val="left"/>
            </w:pPr>
            <w:r>
              <w:t xml:space="preserve">Reason</w:t>
            </w:r>
          </w:p>
        </w:tc>
        <w:tc>
          <w:tcPr/>
          <w:p>
            <w:pPr>
              <w:pStyle w:val="Compact"/>
              <w:jc w:val="right"/>
            </w:pPr>
            <w:r>
              <w:t xml:space="preserve">n</w:t>
            </w:r>
          </w:p>
        </w:tc>
        <w:tc>
          <w:tcPr/>
          <w:p>
            <w:pPr>
              <w:pStyle w:val="Compact"/>
              <w:jc w:val="left"/>
            </w:pPr>
            <w:r>
              <w:t xml:space="preserve">% of invalid</w:t>
            </w:r>
          </w:p>
        </w:tc>
      </w:tr>
      <w:tr>
        <w:tc>
          <w:tcPr/>
          <w:p>
            <w:pPr>
              <w:pStyle w:val="Compact"/>
              <w:jc w:val="left"/>
            </w:pPr>
            <w:r>
              <w:t xml:space="preserve">Retired or no longer practicing medicine</w:t>
            </w:r>
          </w:p>
        </w:tc>
        <w:tc>
          <w:tcPr/>
          <w:p>
            <w:pPr>
              <w:pStyle w:val="Compact"/>
              <w:jc w:val="right"/>
            </w:pPr>
            <w:r>
              <w:t xml:space="preserve">93</w:t>
            </w:r>
          </w:p>
        </w:tc>
        <w:tc>
          <w:tcPr/>
          <w:p>
            <w:pPr>
              <w:pStyle w:val="Compact"/>
              <w:jc w:val="left"/>
            </w:pPr>
            <w:r>
              <w:t xml:space="preserve">67.4</w:t>
            </w:r>
          </w:p>
        </w:tc>
      </w:tr>
      <w:tr>
        <w:tc>
          <w:tcPr/>
          <w:p>
            <w:pPr>
              <w:pStyle w:val="Compact"/>
              <w:jc w:val="left"/>
            </w:pPr>
            <w:r>
              <w:t xml:space="preserve">Changed practices / relocated</w:t>
            </w:r>
          </w:p>
        </w:tc>
        <w:tc>
          <w:tcPr/>
          <w:p>
            <w:pPr>
              <w:pStyle w:val="Compact"/>
              <w:jc w:val="right"/>
            </w:pPr>
            <w:r>
              <w:t xml:space="preserve">45</w:t>
            </w:r>
          </w:p>
        </w:tc>
        <w:tc>
          <w:tcPr/>
          <w:p>
            <w:pPr>
              <w:pStyle w:val="Compact"/>
              <w:jc w:val="left"/>
            </w:pPr>
            <w:r>
              <w:t xml:space="preserve">32.6</w:t>
            </w:r>
          </w:p>
        </w:tc>
      </w:tr>
    </w:tbl>
    <w:p/>
    <w:p>
      <w:pPr>
        <w:pStyle w:val="TableCaption"/>
      </w:pPr>
      <w:r>
        <w:t xml:space="preserve">Supplementary Table S4. Characteristics of NPPES-only ENT physicians (not in ABOto or ENTHealth).</w:t>
      </w:r>
    </w:p>
    <w:tbl>
      <w:tblPr>
        <w:tblStyle w:val="Table"/>
        <w:tblW w:type="auto" w:w="0"/>
        <w:tblLook w:firstRow="1" w:lastRow="0" w:firstColumn="0" w:lastColumn="0" w:noHBand="0" w:noVBand="0" w:val="0020"/>
        <w:tblCaption w:val="Supplementary Table S4. Characteristics of NPPES-only ENT physicians (not in ABOto or ENTHealth)."/>
      </w:tblPr>
      <w:tblGrid>
        <w:gridCol w:w="3960"/>
        <w:gridCol w:w="3960"/>
      </w:tblGrid>
      <w:tr>
        <w:trPr>
          <w:tblHeader w:val="on"/>
        </w:trPr>
        <w:tc>
          <w:tcPr/>
          <w:p>
            <w:pPr>
              <w:pStyle w:val="Compact"/>
              <w:jc w:val="left"/>
            </w:pPr>
            <w:r>
              <w:t xml:space="preserve">Characteristic</w:t>
            </w:r>
          </w:p>
        </w:tc>
        <w:tc>
          <w:tcPr/>
          <w:p>
            <w:pPr>
              <w:pStyle w:val="Compact"/>
              <w:jc w:val="left"/>
            </w:pPr>
            <w:r>
              <w:t xml:space="preserve">n (%)</w:t>
            </w:r>
          </w:p>
        </w:tc>
      </w:tr>
      <w:tr>
        <w:tc>
          <w:tcPr/>
          <w:p>
            <w:pPr>
              <w:pStyle w:val="Compact"/>
              <w:jc w:val="left"/>
            </w:pPr>
            <w:r>
              <w:t xml:space="preserve">Total (US addresses)</w:t>
            </w:r>
          </w:p>
        </w:tc>
        <w:tc>
          <w:tcPr/>
          <w:p>
            <w:pPr>
              <w:pStyle w:val="Compact"/>
              <w:jc w:val="left"/>
            </w:pPr>
            <w:r>
              <w:t xml:space="preserve">2,932</w:t>
            </w:r>
          </w:p>
        </w:tc>
      </w:tr>
      <w:tr>
        <w:tc>
          <w:tcPr/>
          <w:p>
            <w:pPr>
              <w:pStyle w:val="Compact"/>
              <w:jc w:val="left"/>
            </w:pPr>
            <w:r>
              <w:t xml:space="preserve">Rural (RUCA &gt;=7)</w:t>
            </w:r>
          </w:p>
        </w:tc>
        <w:tc>
          <w:tcPr/>
          <w:p>
            <w:pPr>
              <w:pStyle w:val="Compact"/>
              <w:jc w:val="left"/>
            </w:pPr>
            <w:r>
              <w:t xml:space="preserve">56 (1.9%)</w:t>
            </w:r>
          </w:p>
        </w:tc>
      </w:tr>
      <w:tr>
        <w:tc>
          <w:tcPr/>
          <w:p>
            <w:pPr>
              <w:pStyle w:val="Compact"/>
              <w:jc w:val="left"/>
            </w:pPr>
            <w:r>
              <w:t xml:space="preserve">Non-Rural (RUCA 1-6)</w:t>
            </w:r>
          </w:p>
        </w:tc>
        <w:tc>
          <w:tcPr/>
          <w:p>
            <w:pPr>
              <w:pStyle w:val="Compact"/>
              <w:jc w:val="left"/>
            </w:pPr>
            <w:r>
              <w:t xml:space="preserve">2871 (98.1%)</w:t>
            </w:r>
          </w:p>
        </w:tc>
      </w:tr>
      <w:tr>
        <w:tc>
          <w:tcPr/>
          <w:p>
            <w:pPr>
              <w:pStyle w:val="Compact"/>
              <w:jc w:val="left"/>
            </w:pPr>
            <w:r>
              <w:t xml:space="preserve">MD credential</w:t>
            </w:r>
          </w:p>
        </w:tc>
        <w:tc>
          <w:tcPr/>
          <w:p>
            <w:pPr>
              <w:pStyle w:val="Compact"/>
              <w:jc w:val="left"/>
            </w:pPr>
            <w:r>
              <w:t xml:space="preserve">1723 (58.8%)</w:t>
            </w:r>
          </w:p>
        </w:tc>
      </w:tr>
      <w:tr>
        <w:tc>
          <w:tcPr/>
          <w:p>
            <w:pPr>
              <w:pStyle w:val="Compact"/>
              <w:jc w:val="left"/>
            </w:pPr>
            <w:r>
              <w:t xml:space="preserve">DO credential</w:t>
            </w:r>
          </w:p>
        </w:tc>
        <w:tc>
          <w:tcPr/>
          <w:p>
            <w:pPr>
              <w:pStyle w:val="Compact"/>
              <w:jc w:val="left"/>
            </w:pPr>
            <w:r>
              <w:t xml:space="preserve">536 (18.3%)</w:t>
            </w:r>
          </w:p>
        </w:tc>
      </w:tr>
      <w:tr>
        <w:tc>
          <w:tcPr/>
          <w:p>
            <w:pPr>
              <w:pStyle w:val="Compact"/>
              <w:jc w:val="left"/>
            </w:pPr>
            <w:r>
              <w:t xml:space="preserve">Missing credential</w:t>
            </w:r>
          </w:p>
        </w:tc>
        <w:tc>
          <w:tcPr/>
          <w:p>
            <w:pPr>
              <w:pStyle w:val="Compact"/>
              <w:jc w:val="left"/>
            </w:pPr>
            <w:r>
              <w:t xml:space="preserve">298 (10.2%)</w:t>
            </w:r>
          </w:p>
        </w:tc>
      </w:tr>
      <w:tr>
        <w:tc>
          <w:tcPr/>
          <w:p>
            <w:pPr>
              <w:pStyle w:val="Compact"/>
              <w:jc w:val="left"/>
            </w:pPr>
            <w:r>
              <w:t xml:space="preserve">Enumeration &lt;=5 years ago</w:t>
            </w:r>
          </w:p>
        </w:tc>
        <w:tc>
          <w:tcPr/>
          <w:p>
            <w:pPr>
              <w:pStyle w:val="Compact"/>
              <w:jc w:val="left"/>
            </w:pPr>
            <w:r>
              <w:t xml:space="preserve">594 (20.3%)</w:t>
            </w:r>
          </w:p>
        </w:tc>
      </w:tr>
      <w:tr>
        <w:tc>
          <w:tcPr/>
          <w:p>
            <w:pPr>
              <w:pStyle w:val="Compact"/>
              <w:jc w:val="left"/>
            </w:pPr>
            <w:r>
              <w:t xml:space="preserve">Enumeration 6-10 years ago</w:t>
            </w:r>
          </w:p>
        </w:tc>
        <w:tc>
          <w:tcPr/>
          <w:p>
            <w:pPr>
              <w:pStyle w:val="Compact"/>
              <w:jc w:val="left"/>
            </w:pPr>
            <w:r>
              <w:t xml:space="preserve">810 (27.6%)</w:t>
            </w:r>
          </w:p>
        </w:tc>
      </w:tr>
      <w:tr>
        <w:tc>
          <w:tcPr/>
          <w:p>
            <w:pPr>
              <w:pStyle w:val="Compact"/>
              <w:jc w:val="left"/>
            </w:pPr>
            <w:r>
              <w:t xml:space="preserve">Enumeration &gt;10 years ago</w:t>
            </w:r>
          </w:p>
        </w:tc>
        <w:tc>
          <w:tcPr/>
          <w:p>
            <w:pPr>
              <w:pStyle w:val="Compact"/>
              <w:jc w:val="left"/>
            </w:pPr>
            <w:r>
              <w:t xml:space="preserve">1528 (52.1%)</w:t>
            </w:r>
          </w:p>
        </w:tc>
      </w:tr>
      <w:tr>
        <w:tc>
          <w:tcPr/>
          <w:p>
            <w:pPr>
              <w:pStyle w:val="Compact"/>
              <w:jc w:val="left"/>
            </w:pPr>
            <w:r>
              <w:t xml:space="preserve">NPI deactivated</w:t>
            </w:r>
          </w:p>
        </w:tc>
        <w:tc>
          <w:tcPr/>
          <w:p>
            <w:pPr>
              <w:pStyle w:val="Compact"/>
              <w:jc w:val="left"/>
            </w:pPr>
            <w:r>
              <w:t xml:space="preserve">0 (NaN%)</w:t>
            </w:r>
          </w:p>
        </w:tc>
      </w:tr>
    </w:tbl>
    <w:p>
      <w:pPr>
        <w:pStyle w:val="CaptionedFigure"/>
      </w:pPr>
      <w:r>
        <w:drawing>
          <wp:inline>
            <wp:extent cx="5067300" cy="2111375"/>
            <wp:effectExtent b="0" l="0" r="0" t="0"/>
            <wp:docPr descr="Supplementary Figure S1. Study flow of the original 960-listing mystery-caller cohort from sampling through final disposition. Supplemental NPPES-only calls are ongoing and not included." title="" id="54" name="Picture"/>
            <a:graphic>
              <a:graphicData uri="http://schemas.openxmlformats.org/drawingml/2006/picture">
                <pic:pic>
                  <pic:nvPicPr>
                    <pic:cNvPr descr="database_accuracy_manuscript_files/e9b946f62ed88ae1f4fdddbd6ea656327e32617f.png" id="55" name="Picture"/>
                    <pic:cNvPicPr>
                      <a:picLocks noChangeArrowheads="1" noChangeAspect="1"/>
                    </pic:cNvPicPr>
                  </pic:nvPicPr>
                  <pic:blipFill>
                    <a:blip r:embed="rId53"/>
                    <a:stretch>
                      <a:fillRect/>
                    </a:stretch>
                  </pic:blipFill>
                  <pic:spPr bwMode="auto">
                    <a:xfrm>
                      <a:off x="0" y="0"/>
                      <a:ext cx="5067300" cy="2111375"/>
                    </a:xfrm>
                    <a:prstGeom prst="rect">
                      <a:avLst/>
                    </a:prstGeom>
                    <a:noFill/>
                    <a:ln w="9525">
                      <a:noFill/>
                      <a:headEnd/>
                      <a:tailEnd/>
                    </a:ln>
                  </pic:spPr>
                </pic:pic>
              </a:graphicData>
            </a:graphic>
          </wp:inline>
        </w:drawing>
      </w:r>
    </w:p>
    <w:p>
      <w:pPr>
        <w:pStyle w:val="ImageCaption"/>
      </w:pPr>
      <w:r>
        <w:t xml:space="preserve">Supplementary Figure S1. Study flow of the original 960-listing mystery-caller cohort from sampling through final disposition. Supplemental NPPES-only calls are ongoing and not included.</w:t>
      </w:r>
    </w:p>
    <w:p>
      <w:pPr>
        <w:pStyle w:val="CaptionedFigure"/>
      </w:pPr>
      <w:r>
        <w:drawing>
          <wp:inline>
            <wp:extent cx="5067300" cy="2533650"/>
            <wp:effectExtent b="0" l="0" r="0" t="0"/>
            <wp:docPr descr="Supplementary Figure S2. Composition of confirmed-invalid listings by registry-overlap stratum. Bars show the percentage of confirmed-invalid listings attributable to each reason category. Numbers above bars are total confirmed-invalid counts within each stratum." title="" id="57" name="Picture"/>
            <a:graphic>
              <a:graphicData uri="http://schemas.openxmlformats.org/drawingml/2006/picture">
                <pic:pic>
                  <pic:nvPicPr>
                    <pic:cNvPr descr="database_accuracy_manuscript_files/5a74c928d5825cbe7fcac3b8caa6687f2efecfd0.png" id="58" name="Picture"/>
                    <pic:cNvPicPr>
                      <a:picLocks noChangeArrowheads="1" noChangeAspect="1"/>
                    </pic:cNvPicPr>
                  </pic:nvPicPr>
                  <pic:blipFill>
                    <a:blip r:embed="rId56"/>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t xml:space="preserve">Supplementary Figure S2. Composition of confirmed-invalid listings by registry-overlap stratum. Bars show the percentage of confirmed-invalid listings attributable to each reason category. Numbers above bars are total confirmed-invalid counts within each stratum.</w:t>
      </w:r>
    </w:p>
    <w:p>
      <w:pPr>
        <w:pStyle w:val="CaptionedFigure"/>
      </w:pPr>
      <w:r>
        <w:drawing>
          <wp:inline>
            <wp:extent cx="4800600" cy="2743200"/>
            <wp:effectExtent b="0" l="0" r="0" t="0"/>
            <wp:docPr descr="Supplementary Figure S3. Rural versus non-rural listing validity by registry-overlap stratum. Points are location-confirmed percentages among attempted listings; horizontal bars are Wilson 95% confidence intervals; line connects rural and non-rural estimates within each stratum." title="" id="60" name="Picture"/>
            <a:graphic>
              <a:graphicData uri="http://schemas.openxmlformats.org/drawingml/2006/picture">
                <pic:pic>
                  <pic:nvPicPr>
                    <pic:cNvPr descr="database_accuracy_manuscript_files/c75d586545a71cc278f539e3547c2fc76fd2a1e9.png" id="61" name="Picture"/>
                    <pic:cNvPicPr>
                      <a:picLocks noChangeArrowheads="1" noChangeAspect="1"/>
                    </pic:cNvPicPr>
                  </pic:nvPicPr>
                  <pic:blipFill>
                    <a:blip r:embed="rId59"/>
                    <a:stretch>
                      <a:fillRect/>
                    </a:stretch>
                  </pic:blipFill>
                  <pic:spPr bwMode="auto">
                    <a:xfrm>
                      <a:off x="0" y="0"/>
                      <a:ext cx="4800600" cy="2743200"/>
                    </a:xfrm>
                    <a:prstGeom prst="rect">
                      <a:avLst/>
                    </a:prstGeom>
                    <a:noFill/>
                    <a:ln w="9525">
                      <a:noFill/>
                      <a:headEnd/>
                      <a:tailEnd/>
                    </a:ln>
                  </pic:spPr>
                </pic:pic>
              </a:graphicData>
            </a:graphic>
          </wp:inline>
        </w:drawing>
      </w:r>
    </w:p>
    <w:p>
      <w:pPr>
        <w:pStyle w:val="ImageCaption"/>
      </w:pPr>
      <w:r>
        <w:t xml:space="preserve">Supplementary Figure S3. Rural versus non-rural listing validity by registry-overlap stratum. Points are location-confirmed percentages among attempted listings; horizontal bars are Wilson 95% confidence intervals; line connects rural and non-rural estimates within each stratum.</w:t>
      </w:r>
    </w:p>
    <w:p>
      <w:r>
        <w:pict>
          <v:rect style="width:0;height:1.5pt" o:hralign="center" o:hrstd="t" o:hr="t"/>
        </w:pict>
      </w:r>
    </w:p>
    <w:p>
      <w:pPr>
        <w:pStyle w:val="FirstParagraph"/>
      </w:pPr>
      <w:r>
        <w:rPr>
          <w:i/>
          <w:iCs/>
        </w:rPr>
        <w:t xml:space="preserve">Corresponding author:</w:t>
      </w:r>
      <w:r>
        <w:t xml:space="preserve"> </w:t>
      </w:r>
      <w:r>
        <w:t xml:space="preserve">Grace E. Falk, MD, Department of Otolaryngology-Head and Neck Surgery, Eastern Virginia Medical School, Norfolk, VA 23529. Email:</w:t>
      </w:r>
      <w:r>
        <w:t xml:space="preserve"> </w:t>
      </w:r>
      <w:hyperlink r:id="rId10">
        <w:r>
          <w:rPr>
            <w:rStyle w:val="Hyperlink"/>
          </w:rPr>
          <w:t xml:space="preserve">falkge@odu.edu</w:t>
        </w:r>
      </w:hyperlink>
      <w:r>
        <w:t xml:space="preserve">.</w:t>
      </w:r>
    </w:p>
    <w:p>
      <w:pPr>
        <w:pStyle w:val="BodyText"/>
      </w:pPr>
      <w:r>
        <w:rPr>
          <w:i/>
          <w:iCs/>
        </w:rPr>
        <w:t xml:space="preserve">Conflict of interest:</w:t>
      </w:r>
      <w:r>
        <w:t xml:space="preserve"> </w:t>
      </w:r>
      <w:r>
        <w:t xml:space="preserve">None declared.</w:t>
      </w:r>
    </w:p>
    <w:p>
      <w:pPr>
        <w:pStyle w:val="BodyText"/>
      </w:pPr>
      <w:r>
        <w:rPr>
          <w:i/>
          <w:iCs/>
        </w:rPr>
        <w:t xml:space="preserve">Funding:</w:t>
      </w:r>
      <w:r>
        <w:t xml:space="preserve"> </w:t>
      </w:r>
      <w:r>
        <w:t xml:space="preserve">None declared.</w:t>
      </w:r>
    </w:p>
    <w:p>
      <w:pPr>
        <w:pStyle w:val="BodyText"/>
      </w:pPr>
      <w:r>
        <w:rPr>
          <w:i/>
          <w:iCs/>
        </w:rPr>
        <w:t xml:space="preserve">Data availability:</w:t>
      </w:r>
      <w:r>
        <w:t xml:space="preserve"> </w:t>
      </w:r>
      <w:r>
        <w:t xml:space="preserve">Analysis code will be made available at the time of publication.</w:t>
      </w:r>
    </w:p>
    <w:p>
      <w:pPr>
        <w:pStyle w:val="BodyText"/>
      </w:pPr>
      <w:r>
        <w:rPr>
          <w:i/>
          <w:iCs/>
        </w:rPr>
        <w:t xml:space="preserve">Word count:</w:t>
      </w:r>
      <w:r>
        <w:t xml:space="preserve"> </w:t>
      </w:r>
      <w:r>
        <w:t xml:space="preserve">[TO BE UPDATED AFTER FINAL RESULTS]</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Department of Otolaryngology-Head and Neck Surgery, Eastern Virginia Medical School, Norfolk, Virginia, USA.</w:t>
      </w:r>
      <w:r>
        <w:t xml:space="preserve"> </w:t>
      </w:r>
      <w:hyperlink r:id="rId10">
        <w:r>
          <w:rPr>
            <w:rStyle w:val="Hyperlink"/>
          </w:rPr>
          <w:t xml:space="preserve">falkge@odu.edu</w:t>
        </w:r>
      </w:hyperlink>
    </w:p>
  </w:footnote>
  <w:footnote w:id="11">
    <w:p>
      <w:pPr>
        <w:pStyle w:val="FootnoteText"/>
      </w:pPr>
      <w:r>
        <w:rPr>
          <w:rStyle w:val="FootnoteReference"/>
        </w:rPr>
        <w:footnoteRef/>
      </w:r>
      <w:r>
        <w:t xml:space="preserve"> </w:t>
      </w:r>
      <w:r>
        <w:t xml:space="preserve">Department of Obstetrics and Gynecology, Denver Health Medical Center, and University of Colorado School of Medicine, Denver, Colorado, USA</w:t>
      </w:r>
    </w:p>
  </w:footnote>
  <w:footnote w:id="12">
    <w:p>
      <w:pPr>
        <w:pStyle w:val="FootnoteText"/>
      </w:pPr>
      <w:r>
        <w:rPr>
          <w:rStyle w:val="FootnoteReference"/>
        </w:rPr>
        <w:footnoteRef/>
      </w:r>
      <w:r>
        <w:t xml:space="preserve"> </w:t>
      </w:r>
      <w:r>
        <w:t xml:space="preserve">Department of Otolaryngology-Head and Neck Surgery, University of Colorado Anschutz Medical Campus, Aurora, Colorado, USA</w:t>
      </w:r>
    </w:p>
  </w:footnote>
  <w:footnote w:id="13">
    <w:p>
      <w:pPr>
        <w:pStyle w:val="FootnoteText"/>
      </w:pPr>
      <w:r>
        <w:rPr>
          <w:rStyle w:val="FootnoteReference"/>
        </w:rPr>
        <w:footnoteRef/>
      </w:r>
      <w:r>
        <w:t xml:space="preserve"> </w:t>
      </w:r>
      <w:r>
        <w:t xml:space="preserve">Department of Otolaryngology-Head and Neck Surgery, Eastern Virginia Medical School, Norfolk, Virginia, USA</w:t>
      </w:r>
    </w:p>
  </w:footnote>
  <w:footnote w:id="14">
    <w:p>
      <w:pPr>
        <w:pStyle w:val="FootnoteText"/>
      </w:pPr>
      <w:r>
        <w:rPr>
          <w:rStyle w:val="FootnoteReference"/>
        </w:rPr>
        <w:footnoteRef/>
      </w:r>
      <w:r>
        <w:t xml:space="preserve"> </w:t>
      </w:r>
      <w:r>
        <w:t xml:space="preserve">Department of Otolaryngology-Head and Neck Surgery, Eastern Virginia Medical School, Norfolk, Virginia, USA</w:t>
      </w:r>
    </w:p>
  </w:footnote>
  <w:footnote w:id="15">
    <w:p>
      <w:pPr>
        <w:pStyle w:val="FootnoteText"/>
      </w:pPr>
      <w:r>
        <w:rPr>
          <w:rStyle w:val="FootnoteReference"/>
        </w:rPr>
        <w:footnoteRef/>
      </w:r>
      <w:r>
        <w:t xml:space="preserve"> </w:t>
      </w:r>
      <w:r>
        <w:t xml:space="preserve">Ohio ENT &amp; Allergy Physicians, Columbus, Ohio, USA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56" Target="media/rId56.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hyperlink" Id="rId23" Target="https://doi.org/10.1007/s11606-015-3379-5" TargetMode="External" /><Relationship Type="http://schemas.openxmlformats.org/officeDocument/2006/relationships/hyperlink" Id="rId29" Target="https://doi.org/10.1016/j.jbi.2008.08.010" TargetMode="External" /><Relationship Type="http://schemas.openxmlformats.org/officeDocument/2006/relationships/hyperlink" Id="rId35" Target="https://doi.org/10.1176/appi.ps.202100117" TargetMode="External" /><Relationship Type="http://schemas.openxmlformats.org/officeDocument/2006/relationships/hyperlink" Id="rId27" Target="https://doi.org/10.1186/s12913-024-11269-5" TargetMode="External" /><Relationship Type="http://schemas.openxmlformats.org/officeDocument/2006/relationships/hyperlink" Id="rId25" Target="https://doi.org/10.1377/hlthaff.2015.1554" TargetMode="External" /><Relationship Type="http://schemas.openxmlformats.org/officeDocument/2006/relationships/hyperlink" Id="rId33" Target="https://doi.org/10.1377/hlthaff.2021.01284" TargetMode="External" /><Relationship Type="http://schemas.openxmlformats.org/officeDocument/2006/relationships/hyperlink" Id="rId31" Target="https://doi.org/10.18637/jss.v009.i08" TargetMode="External" /><Relationship Type="http://schemas.openxmlformats.org/officeDocument/2006/relationships/hyperlink" Id="rId10" Target="mailto:falkge@odu.edu" TargetMode="External" /></Relationships>
</file>

<file path=word/_rels/footnotes.xml.rels><?xml version="1.0" encoding="UTF-8"?><Relationships xmlns="http://schemas.openxmlformats.org/package/2006/relationships"><Relationship Type="http://schemas.openxmlformats.org/officeDocument/2006/relationships/hyperlink" Id="rId23" Target="https://doi.org/10.1007/s11606-015-3379-5" TargetMode="External" /><Relationship Type="http://schemas.openxmlformats.org/officeDocument/2006/relationships/hyperlink" Id="rId29" Target="https://doi.org/10.1016/j.jbi.2008.08.010" TargetMode="External" /><Relationship Type="http://schemas.openxmlformats.org/officeDocument/2006/relationships/hyperlink" Id="rId35" Target="https://doi.org/10.1176/appi.ps.202100117" TargetMode="External" /><Relationship Type="http://schemas.openxmlformats.org/officeDocument/2006/relationships/hyperlink" Id="rId27" Target="https://doi.org/10.1186/s12913-024-11269-5" TargetMode="External" /><Relationship Type="http://schemas.openxmlformats.org/officeDocument/2006/relationships/hyperlink" Id="rId25" Target="https://doi.org/10.1377/hlthaff.2015.1554" TargetMode="External" /><Relationship Type="http://schemas.openxmlformats.org/officeDocument/2006/relationships/hyperlink" Id="rId33" Target="https://doi.org/10.1377/hlthaff.2021.01284" TargetMode="External" /><Relationship Type="http://schemas.openxmlformats.org/officeDocument/2006/relationships/hyperlink" Id="rId31" Target="https://doi.org/10.18637/jss.v009.i08" TargetMode="External" /><Relationship Type="http://schemas.openxmlformats.org/officeDocument/2006/relationships/hyperlink" Id="rId10" Target="mailto:falkge@odu.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Validity of National Otolaryngology Physician Listings: A Mystery-Caller Study</dc:title>
  <dc:creator>Grace E. Falk, MD; Tyler M. Muffly, MD; Cristina Cabrera-Muffly, MD; Eric Dobratz, MD; Cristina Baldassari, MD; Andrew Tompkins, MD, MBA</dc:creator>
  <cp:keywords/>
  <dcterms:created xsi:type="dcterms:W3CDTF">2026-07-21T18:56:13Z</dcterms:created>
  <dcterms:modified xsi:type="dcterms:W3CDTF">2026-07-21T18:56:13Z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 To determine whether corroboration across national physician data sources is associated with confirmation that an otolaryngologist remains in practice at the indexed location.Study Design. Stratified mystery-caller telephone audit.Setting. National sample of U.S. otolaryngology practices, May to July 2026.Methods. Otolaryngology listings in the National Plan and Provider Enumeration System (NPPES) were linked by National Provider Identifier to active board-certification records and the ENTHealth physician directory. Trained callers contacted stratified samples and recorded whether the named physician remained at the contacted practice or continued to practice otolaryngology elsewhere. Supplemental calls to physicians identified only in NPPES are ongoing.Results. [TO BE COMPLETED AFTER SUPPLEMENTAL CALLS AND FINAL WEIGHTED ANALYSIS]Conclusion. [TO BE COMPLETED]</vt:lpwstr>
  </property>
  <property fmtid="{D5CDD505-2E9C-101B-9397-08002B2CF9AE}" pid="3" name="bibliography">
    <vt:lpwstr>references.bib</vt:lpwstr>
  </property>
  <property fmtid="{D5CDD505-2E9C-101B-9397-08002B2CF9AE}" pid="4" name="csl">
    <vt:lpwstr>vancouver.csl</vt:lpwstr>
  </property>
  <property fmtid="{D5CDD505-2E9C-101B-9397-08002B2CF9AE}" pid="5" name="output">
    <vt:lpwstr/>
  </property>
  <property fmtid="{D5CDD505-2E9C-101B-9397-08002B2CF9AE}" pid="6" name="running-title">
    <vt:lpwstr>Otolaryngology Registry Listing Validity</vt:lpwstr>
  </property>
</Properties>
</file>