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4.png" ContentType="image/png"/>
  <Override PartName="/word/media/rId42.png" ContentType="image/png"/>
  <Override PartName="/word/media/rId45.png" ContentType="image/png"/>
  <Override PartName="/word/media/rId48.png" ContentType="image/png"/>
  <Override PartName="/word/media/rId54.png" ContentType="image/png"/>
  <Override PartName="/word/media/rId51.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[Author list]</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2.27 (95% CI 1.08–4.76; p = 0.031)), and waits were longer for laryngology (IRR 2.25 (95% CI 1.14–4.47; p = 0.020)) and pediatric otolaryngology (IRR 1.63 (95% CI 1.11–2.40; p = 0.013)). No geographic covariate—supply, Medicaid fee generosity, social vulnerability, dual-eligibility, or rurality—was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bookmarkEnd w:id="20"/>
    <w:bookmarkStart w:id="21" w:name="introduction"/>
    <w:p>
      <w:pPr>
        <w:pStyle w:val="Heading2"/>
      </w:pPr>
      <w:r>
        <w:t xml:space="preserve">Introduction</w:t>
      </w:r>
    </w:p>
    <w:p>
      <w:pPr>
        <w:pStyle w:val="FirstParagraph"/>
      </w:pPr>
      <w:r>
        <w:t xml:space="preserve">Otolaryngologic conditions—from chronic rhinosinusitis and otitis media to airway disorders and head-and-neck malignancy—are among the most common reasons patients seek specialty care, and for many of these conditions timely evaluation influences diagnosis and outcome</w:t>
      </w:r>
      <w:hyperlink w:anchor="ref-PLACEHOLDER_access">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—whether a new-patient appointment is offered at all—and</w:t>
      </w:r>
      <w:r>
        <w:t xml:space="preserve"> </w:t>
      </w:r>
      <w:r>
        <w:rPr>
          <w:i/>
          <w:iCs/>
        </w:rPr>
        <w:t xml:space="preserve">timeliness</w:t>
      </w:r>
      <w:r>
        <w:t xml:space="preserve">—how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PLACEHOLDER_access">
        <w:r>
          <w:rPr>
            <w:rStyle w:val="Hyperlink"/>
            <w:vertAlign w:val="superscript"/>
          </w:rPr>
          <w:t xml:space="preserve">1</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request—the requested subspecialty (general otolaryngology versus pediatric otolaryngology, laryngology, head-and-neck oncology, and others)—and the</w:t>
      </w:r>
      <w:r>
        <w:t xml:space="preserve"> </w:t>
      </w:r>
      <w:r>
        <w:rPr>
          <w:i/>
          <w:iCs/>
        </w:rPr>
        <w:t xml:space="preserve">contextual</w:t>
      </w:r>
      <w:r>
        <w:t xml:space="preserve"> </w:t>
      </w:r>
      <w:r>
        <w:t xml:space="preserve">environment of the practice—local physician supply, the generosity of the state Medicaid fee schedule, community social vulnerability, the share of dual-eligible beneficiaries, and rurality</w:t>
      </w:r>
      <w:hyperlink w:anchor="ref-PLACEHOLDER_ent_supply">
        <w:r>
          <w:rPr>
            <w:rStyle w:val="Hyperlink"/>
            <w:vertAlign w:val="superscript"/>
          </w:rPr>
          <w:t xml:space="preserve">2</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 Trained callers telephoned a national sample of practicing, board-certified otolaryngologists and, following a standardized script, requested a new-patient appointment for a subspecialty-matched chief complaint. Each sampled physician was contacted once.</w:t>
      </w:r>
      <w:r>
        <w:t xml:space="preserve"> </w:t>
      </w:r>
      <w:r>
        <w:rPr>
          <w:i/>
          <w:iCs/>
        </w:rPr>
        <w:t xml:space="preserve">[Describe the sampling frame and its size, the number and timing of call attempts before a call was recorded as unreachable, the scripted chief complaints, caller training, and the study period.]</w:t>
      </w:r>
      <w:r>
        <w:t xml:space="preserve"> </w:t>
      </w:r>
      <w:r>
        <w:t xml:space="preserve">The protocol was</w:t>
      </w:r>
      <w:r>
        <w:t xml:space="preserve"> </w:t>
      </w:r>
      <w:r>
        <w:rPr>
          <w:i/>
          <w:iCs/>
        </w:rPr>
        <w:t xml:space="preserve">[reviewed/deemed exempt]</w:t>
      </w:r>
      <w:r>
        <w:t xml:space="preserve"> </w:t>
      </w:r>
      <w:r>
        <w:t xml:space="preserve">by the</w:t>
      </w:r>
      <w:r>
        <w:t xml:space="preserve"> </w:t>
      </w:r>
      <w:r>
        <w:rPr>
          <w:i/>
          <w:iCs/>
        </w:rPr>
        <w:t xml:space="preserve">[institution]</w:t>
      </w:r>
      <w:r>
        <w:t xml:space="preserve"> </w:t>
      </w:r>
      <w:r>
        <w:t xml:space="preserve">Institutional Review Board.</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3</w:t>
        </w:r>
      </w:hyperlink>
      <w:r>
        <w:t xml:space="preserve">; the CDC/ATSDR Social Vulnerability Index (SVI, 2022, tract-level, population-weighted to the practice ZIP)</w:t>
      </w:r>
      <w:hyperlink w:anchor="ref-cdcsvi">
        <w:r>
          <w:rPr>
            <w:rStyle w:val="Hyperlink"/>
            <w:vertAlign w:val="superscript"/>
          </w:rPr>
          <w:t xml:space="preserve">4</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5</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Whether call incompleteness was related to the measured covariates was assessed with chi-square and Wilcoxon rank-sum tests. Analyses used R 4.4.2</w:t>
      </w:r>
      <w:hyperlink w:anchor="ref-rcoreteam">
        <w:r>
          <w:rPr>
            <w:rStyle w:val="Hyperlink"/>
            <w:vertAlign w:val="superscript"/>
          </w:rPr>
          <w:t xml:space="preserve">6</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7</w:t>
        </w:r>
      </w:hyperlink>
      <w:r>
        <w:t xml:space="preserve">,</w:t>
      </w:r>
      <w:r>
        <w:t xml:space="preserve"> </w:t>
      </w:r>
      <w:r>
        <w:rPr>
          <w:rStyle w:val="VerbatimChar"/>
        </w:rPr>
        <w:t xml:space="preserve">emmeans</w:t>
      </w:r>
      <w:hyperlink w:anchor="ref-emmeans">
        <w:r>
          <w:rPr>
            <w:rStyle w:val="Hyperlink"/>
            <w:vertAlign w:val="superscript"/>
          </w:rPr>
          <w:t xml:space="preserve">5</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8</w:t>
        </w:r>
      </w:hyperlink>
      <w:r>
        <w:t xml:space="preserve">.</w:t>
      </w:r>
    </w:p>
    <w:bookmarkEnd w:id="25"/>
    <w:bookmarkStart w:id="26" w:name="sample-size-and-power"/>
    <w:p>
      <w:pPr>
        <w:pStyle w:val="Heading3"/>
      </w:pPr>
      <w:r>
        <w:t xml:space="preserve">Sample size and power</w:t>
      </w:r>
    </w:p>
    <w:p>
      <w:pPr>
        <w:pStyle w:val="FirstParagraph"/>
      </w:pPr>
      <w:r>
        <w:t xml:space="preserve">The sample size was fixed</w:t>
      </w:r>
      <w:r>
        <w:t xml:space="preserve"> </w:t>
      </w:r>
      <w:r>
        <w:rPr>
          <w:i/>
          <w:iCs/>
        </w:rPr>
        <w:t xml:space="preserve">a priori</w:t>
      </w:r>
      <w:r>
        <w:t xml:space="preserve"> </w:t>
      </w:r>
      <w:r>
        <w:t xml:space="preserve">by a call budget of 800, with the rural-versus-urban difference in business-day wait time as the primary contrast. The power analysis was pre-specified before data collection and implemented in a purpose-built simulation application.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9</w:t>
        </w:r>
      </w:hyperlink>
      <w:r>
        <w:rPr>
          <w:vertAlign w:val="superscript"/>
        </w:rPr>
        <w:t xml:space="preserve">,</w:t>
      </w:r>
      <w:hyperlink w:anchor="ref-saeedi2025">
        <w:r>
          <w:rPr>
            <w:rStyle w:val="Hyperlink"/>
            <w:vertAlign w:val="superscript"/>
          </w:rPr>
          <w:t xml:space="preserve">10</w:t>
        </w:r>
      </w:hyperlink>
      <w:r>
        <w:t xml:space="preserve">. Under these assumptions and a two-sided α = 0.05, an 800-call budget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sampling at the natural rural prevalence (~15%) still yielded 83% power. A balanced urban/rural allocation was therefore targeted.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2"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298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33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2.27 (95% CI 1.08–4.76; p = 0.031)), while otology/neurotology trended lower (OR 0.49 (95% CI 0.23–1.07; p = 0.072)). No geographic covariate was associated with access: county ENT supply (OR 0.95 (95% CI 0.81–1.12; p = 0.552) per SD), the Medicaid fee index (OR 0.91 (95% CI 0.77–1.07; p = 0.254)), social vulnerability (OR 0.95 (95% CI 0.80–1.13; p = 0.583)), and dual-eligibility (OR 1.00 (95% CI 0.83–1.19; p = 0.958)) were all null (</w:t>
      </w:r>
      <w:r>
        <w:rPr>
          <w:b/>
          <w:bCs/>
        </w:rPr>
        <w:t xml:space="preserve">Figure 2</w:t>
      </w:r>
      <w:r>
        <w:t xml:space="preserve">).</w:t>
      </w:r>
    </w:p>
    <w:bookmarkEnd w:id="29"/>
    <w:bookmarkStart w:id="30"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1.14–4.47; p = 0.020)) and pediatric otolaryngology (IRR 1.63 (95% CI 1.11–2.40; p = 0.013)).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2.27 (1.08–4.76)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0.254</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 (0.71–1.46)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0.922</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 (0.74–1.53)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1.30 (0.74–2.28)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0.364</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(1.14–4.47)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1.63 (1.11–2.40)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1.57 (0.91–2.71)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0.108</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 (0.65–2.34)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0.530</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0.414</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0.502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(0.90–1.51)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0.242</w:t>
            </w:r>
          </w:p>
        </w:tc>
      </w:tr>
    </w:tbl>
    <w:bookmarkEnd w:id="30"/>
    <w:bookmarkStart w:id="31" w:name="robustness-and-missing-data"/>
    <w:p>
      <w:pPr>
        <w:pStyle w:val="Heading3"/>
      </w:pPr>
      <w:r>
        <w:t xml:space="preserve">Robustness and missing data</w:t>
      </w:r>
    </w:p>
    <w:p>
      <w:pPr>
        <w:pStyle w:val="FirstParagraph"/>
      </w:pPr>
      <w:r>
        <w:t xml:space="preserve">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w:t>
      </w:r>
    </w:p>
    <w:bookmarkEnd w:id="31"/>
    <w:bookmarkEnd w:id="32"/>
    <w:bookmarkStart w:id="33"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factors—county physician supply, Medicaid fee generosity, social vulnerability, dual-eligibility, or rurality—was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substantial—pediatric otolaryngology carried more than twice the odds of an appointment offer—while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practice—scheduling policy, subspecialty scope—rather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care—the travel burden a patient must overcome to arrive at a practice at all—is the subject of a companion geospatial analysis.</w:t>
      </w:r>
    </w:p>
    <w:p>
      <w:pPr>
        <w:pStyle w:val="BodyText"/>
      </w:pPr>
      <w:r>
        <w:t xml:space="preserve">These findings carry practical implications. Subspecialty-specific bottlenecks—prolonged waits for laryngology and pediatric otolaryngology—are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Limitations.</w:t>
      </w:r>
      <w:r>
        <w:t xml:space="preserve"> </w:t>
      </w:r>
      <w:r>
        <w:t xml:space="preserve">The realized sample achieved the pre-specified, near-optimal urban/rural balance (approximately 50/50 under the RUCA 1–3 vs 4–10 dichotomy) and exceeded the planned call budget. One appointment with an implausible date—a wait exceeding two years attributable to a data-entry error in the appointment year—was excluded from the timeliness analysis. Even so, the study was modestly underpowered for its primary rural-versus-urban timeliness contrast: the pre-specified target was a minimum detectable gap of about six business days, whereas the realized sample (429 recorded waits, reflecting an appointment-offer rate near three-fifths) supports detection of roughly a ten-day gap at 90% power and provides about 70% power for the originally anticipated eight-day gap. Reaching the six-day target would require on the order of 130 additional calls (approximately 1,090 total) at 80% power, or 490 additional calls (approximately 1,450 total) at 90% power. The observed rural–urban difference was small (about two business days) and non-significant. Each physician was contacted once, precluding within-physician inference; contextual covariates were linked at the ZIP-code or county level and thus approximate a practice’s true environment; patient insurance was held constant (not varied) in this phase; and appointment availability reflects a single point in time.</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3"/>
    <w:bookmarkStart w:id="40"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35" name="Picture"/>
            <a:graphic>
              <a:graphicData uri="http://schemas.openxmlformats.org/drawingml/2006/picture">
                <pic:pic>
                  <pic:nvPicPr>
                    <pic:cNvPr descr="model_output/strobe_flow_mysterycall.png" id="36" name="Picture"/>
                    <pic:cNvPicPr>
                      <a:picLocks noChangeArrowheads="1" noChangeAspect="1"/>
                    </pic:cNvPicPr>
                  </pic:nvPicPr>
                  <pic:blipFill>
                    <a:blip r:embed="rId34"/>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38" name="Picture"/>
            <a:graphic>
              <a:graphicData uri="http://schemas.openxmlformats.org/drawingml/2006/picture">
                <pic:pic>
                  <pic:nvPicPr>
                    <pic:cNvPr descr="model_output/forest_access_timeliness.png" id="39" name="Picture"/>
                    <pic:cNvPicPr>
                      <a:picLocks noChangeArrowheads="1" noChangeAspect="1"/>
                    </pic:cNvPicPr>
                  </pic:nvPicPr>
                  <pic:blipFill>
                    <a:blip r:embed="rId3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0"/>
    <w:bookmarkStart w:id="61" w:name="supplementary-material"/>
    <w:p>
      <w:pPr>
        <w:pStyle w:val="Heading1"/>
      </w:pPr>
      <w:r>
        <w:t xml:space="preserve">Supplementary Material</w:t>
      </w:r>
    </w:p>
    <w:bookmarkStart w:id="41"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392"/>
        <w:gridCol w:w="742"/>
        <w:gridCol w:w="495"/>
        <w:gridCol w:w="660"/>
        <w:gridCol w:w="660"/>
        <w:gridCol w:w="990"/>
        <w:gridCol w:w="495"/>
        <w:gridCol w:w="742"/>
        <w:gridCol w:w="74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-0.205</w:t>
            </w:r>
          </w:p>
        </w:tc>
        <w:tc>
          <w:tcPr/>
          <w:p>
            <w:pPr>
              <w:pStyle w:val="Compact"/>
              <w:jc w:val="right"/>
            </w:pPr>
            <w:r>
              <w:t xml:space="preserve">0.189</w:t>
            </w:r>
          </w:p>
        </w:tc>
        <w:tc>
          <w:tcPr/>
          <w:p>
            <w:pPr>
              <w:pStyle w:val="Compact"/>
              <w:jc w:val="right"/>
            </w:pPr>
            <w:r>
              <w:t xml:space="preserve">-1.082</w:t>
            </w:r>
          </w:p>
        </w:tc>
        <w:tc>
          <w:tcPr/>
          <w:p>
            <w:pPr>
              <w:pStyle w:val="Compact"/>
              <w:jc w:val="right"/>
            </w:pPr>
            <w:r>
              <w:t xml:space="preserve">0.279</w:t>
            </w:r>
          </w:p>
        </w:tc>
        <w:tc>
          <w:tcPr/>
          <w:p>
            <w:pPr>
              <w:pStyle w:val="Compact"/>
              <w:jc w:val="left"/>
            </w:pPr>
            <w:r>
              <w:t xml:space="preserve">0.279</w:t>
            </w:r>
          </w:p>
        </w:tc>
        <w:tc>
          <w:tcPr/>
          <w:p>
            <w:pPr>
              <w:pStyle w:val="Compact"/>
              <w:jc w:val="right"/>
            </w:pPr>
            <w:r>
              <w:t xml:space="preserve">0.815</w:t>
            </w:r>
          </w:p>
        </w:tc>
        <w:tc>
          <w:tcPr/>
          <w:p>
            <w:pPr>
              <w:pStyle w:val="Compact"/>
              <w:jc w:val="right"/>
            </w:pPr>
            <w:r>
              <w:t xml:space="preserve">0.562</w:t>
            </w:r>
          </w:p>
        </w:tc>
        <w:tc>
          <w:tcPr/>
          <w:p>
            <w:pPr>
              <w:pStyle w:val="Compact"/>
              <w:jc w:val="right"/>
            </w:pPr>
            <w:r>
              <w:t xml:space="preserve">1.181</w:t>
            </w:r>
          </w:p>
        </w:tc>
      </w:tr>
      <w:tr>
        <w:tc>
          <w:tcPr/>
          <w:p>
            <w:pPr>
              <w:pStyle w:val="Compact"/>
              <w:jc w:val="left"/>
            </w:pPr>
            <w:r>
              <w:t xml:space="preserve">ent_typeFacial Plastics</w:t>
            </w:r>
          </w:p>
        </w:tc>
        <w:tc>
          <w:tcPr/>
          <w:p>
            <w:pPr>
              <w:pStyle w:val="Compact"/>
              <w:jc w:val="right"/>
            </w:pPr>
            <w:r>
              <w:t xml:space="preserve">-0.100</w:t>
            </w:r>
          </w:p>
        </w:tc>
        <w:tc>
          <w:tcPr/>
          <w:p>
            <w:pPr>
              <w:pStyle w:val="Compact"/>
              <w:jc w:val="right"/>
            </w:pPr>
            <w:r>
              <w:t xml:space="preserve">0.266</w:t>
            </w:r>
          </w:p>
        </w:tc>
        <w:tc>
          <w:tcPr/>
          <w:p>
            <w:pPr>
              <w:pStyle w:val="Compact"/>
              <w:jc w:val="right"/>
            </w:pPr>
            <w:r>
              <w:t xml:space="preserve">-0.378</w:t>
            </w:r>
          </w:p>
        </w:tc>
        <w:tc>
          <w:tcPr/>
          <w:p>
            <w:pPr>
              <w:pStyle w:val="Compact"/>
              <w:jc w:val="right"/>
            </w:pPr>
            <w:r>
              <w:t xml:space="preserve">0.706</w:t>
            </w:r>
          </w:p>
        </w:tc>
        <w:tc>
          <w:tcPr/>
          <w:p>
            <w:pPr>
              <w:pStyle w:val="Compact"/>
              <w:jc w:val="left"/>
            </w:pPr>
            <w:r>
              <w:t xml:space="preserve">0.706</w:t>
            </w:r>
          </w:p>
        </w:tc>
        <w:tc>
          <w:tcPr/>
          <w:p>
            <w:pPr>
              <w:pStyle w:val="Compact"/>
              <w:jc w:val="right"/>
            </w:pPr>
            <w:r>
              <w:t xml:space="preserve">0.905</w:t>
            </w:r>
          </w:p>
        </w:tc>
        <w:tc>
          <w:tcPr/>
          <w:p>
            <w:pPr>
              <w:pStyle w:val="Compact"/>
              <w:jc w:val="right"/>
            </w:pPr>
            <w:r>
              <w:t xml:space="preserve">0.537</w:t>
            </w:r>
          </w:p>
        </w:tc>
        <w:tc>
          <w:tcPr/>
          <w:p>
            <w:pPr>
              <w:pStyle w:val="Compact"/>
              <w:jc w:val="right"/>
            </w:pPr>
            <w:r>
              <w:t xml:space="preserve">1.522</w:t>
            </w:r>
          </w:p>
        </w:tc>
      </w:tr>
      <w:tr>
        <w:tc>
          <w:tcPr/>
          <w:p>
            <w:pPr>
              <w:pStyle w:val="Compact"/>
              <w:jc w:val="left"/>
            </w:pPr>
            <w:r>
              <w:t xml:space="preserve">ent_typeHead and Neck Cancer</w:t>
            </w:r>
          </w:p>
        </w:tc>
        <w:tc>
          <w:tcPr/>
          <w:p>
            <w:pPr>
              <w:pStyle w:val="Compact"/>
              <w:jc w:val="right"/>
            </w:pPr>
            <w:r>
              <w:t xml:space="preserve">-0.182</w:t>
            </w:r>
          </w:p>
        </w:tc>
        <w:tc>
          <w:tcPr/>
          <w:p>
            <w:pPr>
              <w:pStyle w:val="Compact"/>
              <w:jc w:val="right"/>
            </w:pPr>
            <w:r>
              <w:t xml:space="preserve">0.426</w:t>
            </w:r>
          </w:p>
        </w:tc>
        <w:tc>
          <w:tcPr/>
          <w:p>
            <w:pPr>
              <w:pStyle w:val="Compact"/>
              <w:jc w:val="right"/>
            </w:pPr>
            <w:r>
              <w:t xml:space="preserve">-0.427</w:t>
            </w:r>
          </w:p>
        </w:tc>
        <w:tc>
          <w:tcPr/>
          <w:p>
            <w:pPr>
              <w:pStyle w:val="Compact"/>
              <w:jc w:val="right"/>
            </w:pPr>
            <w:r>
              <w:t xml:space="preserve">0.669</w:t>
            </w:r>
          </w:p>
        </w:tc>
        <w:tc>
          <w:tcPr/>
          <w:p>
            <w:pPr>
              <w:pStyle w:val="Compact"/>
              <w:jc w:val="left"/>
            </w:pPr>
            <w:r>
              <w:t xml:space="preserve">0.669</w:t>
            </w:r>
          </w:p>
        </w:tc>
        <w:tc>
          <w:tcPr/>
          <w:p>
            <w:pPr>
              <w:pStyle w:val="Compact"/>
              <w:jc w:val="right"/>
            </w:pPr>
            <w:r>
              <w:t xml:space="preserve">0.834</w:t>
            </w:r>
          </w:p>
        </w:tc>
        <w:tc>
          <w:tcPr/>
          <w:p>
            <w:pPr>
              <w:pStyle w:val="Compact"/>
              <w:jc w:val="right"/>
            </w:pPr>
            <w:r>
              <w:t xml:space="preserve">0.362</w:t>
            </w:r>
          </w:p>
        </w:tc>
        <w:tc>
          <w:tcPr/>
          <w:p>
            <w:pPr>
              <w:pStyle w:val="Compact"/>
              <w:jc w:val="right"/>
            </w:pPr>
            <w:r>
              <w:t xml:space="preserve">1.920</w:t>
            </w:r>
          </w:p>
        </w:tc>
      </w:tr>
      <w:tr>
        <w:tc>
          <w:tcPr/>
          <w:p>
            <w:pPr>
              <w:pStyle w:val="Compact"/>
              <w:jc w:val="left"/>
            </w:pPr>
            <w:r>
              <w:t xml:space="preserve">ent_typeLaryngology</w:t>
            </w:r>
          </w:p>
        </w:tc>
        <w:tc>
          <w:tcPr/>
          <w:p>
            <w:pPr>
              <w:pStyle w:val="Compact"/>
              <w:jc w:val="right"/>
            </w:pPr>
            <w:r>
              <w:t xml:space="preserve">0.553</w:t>
            </w:r>
          </w:p>
        </w:tc>
        <w:tc>
          <w:tcPr/>
          <w:p>
            <w:pPr>
              <w:pStyle w:val="Compact"/>
              <w:jc w:val="right"/>
            </w:pPr>
            <w:r>
              <w:t xml:space="preserve">0.638</w:t>
            </w:r>
          </w:p>
        </w:tc>
        <w:tc>
          <w:tcPr/>
          <w:p>
            <w:pPr>
              <w:pStyle w:val="Compact"/>
              <w:jc w:val="right"/>
            </w:pPr>
            <w:r>
              <w:t xml:space="preserve">0.866</w:t>
            </w:r>
          </w:p>
        </w:tc>
        <w:tc>
          <w:tcPr/>
          <w:p>
            <w:pPr>
              <w:pStyle w:val="Compact"/>
              <w:jc w:val="right"/>
            </w:pPr>
            <w:r>
              <w:t xml:space="preserve">0.386</w:t>
            </w:r>
          </w:p>
        </w:tc>
        <w:tc>
          <w:tcPr/>
          <w:p>
            <w:pPr>
              <w:pStyle w:val="Compact"/>
              <w:jc w:val="left"/>
            </w:pPr>
            <w:r>
              <w:t xml:space="preserve">0.386</w:t>
            </w:r>
          </w:p>
        </w:tc>
        <w:tc>
          <w:tcPr/>
          <w:p>
            <w:pPr>
              <w:pStyle w:val="Compact"/>
              <w:jc w:val="right"/>
            </w:pPr>
            <w:r>
              <w:t xml:space="preserve">1.738</w:t>
            </w:r>
          </w:p>
        </w:tc>
        <w:tc>
          <w:tcPr/>
          <w:p>
            <w:pPr>
              <w:pStyle w:val="Compact"/>
              <w:jc w:val="right"/>
            </w:pPr>
            <w:r>
              <w:t xml:space="preserve">0.498</w:t>
            </w:r>
          </w:p>
        </w:tc>
        <w:tc>
          <w:tcPr/>
          <w:p>
            <w:pPr>
              <w:pStyle w:val="Compact"/>
              <w:jc w:val="right"/>
            </w:pPr>
            <w:r>
              <w:t xml:space="preserve">6.071</w:t>
            </w:r>
          </w:p>
        </w:tc>
      </w:tr>
      <w:tr>
        <w:tc>
          <w:tcPr/>
          <w:p>
            <w:pPr>
              <w:pStyle w:val="Compact"/>
              <w:jc w:val="left"/>
            </w:pPr>
            <w:r>
              <w:t xml:space="preserve">ent_typeOtology/neurotology</w:t>
            </w:r>
          </w:p>
        </w:tc>
        <w:tc>
          <w:tcPr/>
          <w:p>
            <w:pPr>
              <w:pStyle w:val="Compact"/>
              <w:jc w:val="right"/>
            </w:pPr>
            <w:r>
              <w:t xml:space="preserve">-0.709</w:t>
            </w:r>
          </w:p>
        </w:tc>
        <w:tc>
          <w:tcPr/>
          <w:p>
            <w:pPr>
              <w:pStyle w:val="Compact"/>
              <w:jc w:val="right"/>
            </w:pPr>
            <w:r>
              <w:t xml:space="preserve">0.395</w:t>
            </w:r>
          </w:p>
        </w:tc>
        <w:tc>
          <w:tcPr/>
          <w:p>
            <w:pPr>
              <w:pStyle w:val="Compact"/>
              <w:jc w:val="right"/>
            </w:pPr>
            <w:r>
              <w:t xml:space="preserve">-1.797</w:t>
            </w:r>
          </w:p>
        </w:tc>
        <w:tc>
          <w:tcPr/>
          <w:p>
            <w:pPr>
              <w:pStyle w:val="Compact"/>
              <w:jc w:val="right"/>
            </w:pPr>
            <w:r>
              <w:t xml:space="preserve">0.072</w:t>
            </w:r>
          </w:p>
        </w:tc>
        <w:tc>
          <w:tcPr/>
          <w:p>
            <w:pPr>
              <w:pStyle w:val="Compact"/>
              <w:jc w:val="left"/>
            </w:pPr>
            <w:r>
              <w:t xml:space="preserve">0.072</w:t>
            </w:r>
          </w:p>
        </w:tc>
        <w:tc>
          <w:tcPr/>
          <w:p>
            <w:pPr>
              <w:pStyle w:val="Compact"/>
              <w:jc w:val="right"/>
            </w:pPr>
            <w:r>
              <w:t xml:space="preserve">0.492</w:t>
            </w:r>
          </w:p>
        </w:tc>
        <w:tc>
          <w:tcPr/>
          <w:p>
            <w:pPr>
              <w:pStyle w:val="Compact"/>
              <w:jc w:val="right"/>
            </w:pPr>
            <w:r>
              <w:t xml:space="preserve">0.227</w:t>
            </w:r>
          </w:p>
        </w:tc>
        <w:tc>
          <w:tcPr/>
          <w:p>
            <w:pPr>
              <w:pStyle w:val="Compact"/>
              <w:jc w:val="right"/>
            </w:pPr>
            <w:r>
              <w:t xml:space="preserve">1.066</w:t>
            </w:r>
          </w:p>
        </w:tc>
      </w:tr>
      <w:tr>
        <w:tc>
          <w:tcPr/>
          <w:p>
            <w:pPr>
              <w:pStyle w:val="Compact"/>
              <w:jc w:val="left"/>
            </w:pPr>
            <w:r>
              <w:t xml:space="preserve">ent_typePediatrics</w:t>
            </w:r>
          </w:p>
        </w:tc>
        <w:tc>
          <w:tcPr/>
          <w:p>
            <w:pPr>
              <w:pStyle w:val="Compact"/>
              <w:jc w:val="right"/>
            </w:pPr>
            <w:r>
              <w:t xml:space="preserve">0.818</w:t>
            </w:r>
          </w:p>
        </w:tc>
        <w:tc>
          <w:tcPr/>
          <w:p>
            <w:pPr>
              <w:pStyle w:val="Compact"/>
              <w:jc w:val="right"/>
            </w:pPr>
            <w:r>
              <w:t xml:space="preserve">0.378</w:t>
            </w:r>
          </w:p>
        </w:tc>
        <w:tc>
          <w:tcPr/>
          <w:p>
            <w:pPr>
              <w:pStyle w:val="Compact"/>
              <w:jc w:val="right"/>
            </w:pPr>
            <w:r>
              <w:t xml:space="preserve">2.162</w:t>
            </w:r>
          </w:p>
        </w:tc>
        <w:tc>
          <w:tcPr/>
          <w:p>
            <w:pPr>
              <w:pStyle w:val="Compact"/>
              <w:jc w:val="right"/>
            </w:pPr>
            <w:r>
              <w:t xml:space="preserve">0.031</w:t>
            </w:r>
          </w:p>
        </w:tc>
        <w:tc>
          <w:tcPr/>
          <w:p>
            <w:pPr>
              <w:pStyle w:val="Compact"/>
              <w:jc w:val="left"/>
            </w:pPr>
            <w:r>
              <w:t xml:space="preserve">0.031</w:t>
            </w:r>
          </w:p>
        </w:tc>
        <w:tc>
          <w:tcPr/>
          <w:p>
            <w:pPr>
              <w:pStyle w:val="Compact"/>
              <w:jc w:val="right"/>
            </w:pPr>
            <w:r>
              <w:t xml:space="preserve">2.266</w:t>
            </w:r>
          </w:p>
        </w:tc>
        <w:tc>
          <w:tcPr/>
          <w:p>
            <w:pPr>
              <w:pStyle w:val="Compact"/>
              <w:jc w:val="right"/>
            </w:pPr>
            <w:r>
              <w:t xml:space="preserve">1.079</w:t>
            </w:r>
          </w:p>
        </w:tc>
        <w:tc>
          <w:tcPr/>
          <w:p>
            <w:pPr>
              <w:pStyle w:val="Compact"/>
              <w:jc w:val="right"/>
            </w:pPr>
            <w:r>
              <w:t xml:space="preserve">4.758</w:t>
            </w:r>
          </w:p>
        </w:tc>
      </w:tr>
      <w:tr>
        <w:tc>
          <w:tcPr/>
          <w:p>
            <w:pPr>
              <w:pStyle w:val="Compact"/>
              <w:jc w:val="left"/>
            </w:pPr>
            <w:r>
              <w:t xml:space="preserve">ent_typeRhinology</w:t>
            </w:r>
          </w:p>
        </w:tc>
        <w:tc>
          <w:tcPr/>
          <w:p>
            <w:pPr>
              <w:pStyle w:val="Compact"/>
              <w:jc w:val="right"/>
            </w:pPr>
            <w:r>
              <w:t xml:space="preserve">0.746</w:t>
            </w:r>
          </w:p>
        </w:tc>
        <w:tc>
          <w:tcPr/>
          <w:p>
            <w:pPr>
              <w:pStyle w:val="Compact"/>
              <w:jc w:val="right"/>
            </w:pPr>
            <w:r>
              <w:t xml:space="preserve">0.549</w:t>
            </w:r>
          </w:p>
        </w:tc>
        <w:tc>
          <w:tcPr/>
          <w:p>
            <w:pPr>
              <w:pStyle w:val="Compact"/>
              <w:jc w:val="right"/>
            </w:pPr>
            <w:r>
              <w:t xml:space="preserve">1.360</w:t>
            </w:r>
          </w:p>
        </w:tc>
        <w:tc>
          <w:tcPr/>
          <w:p>
            <w:pPr>
              <w:pStyle w:val="Compact"/>
              <w:jc w:val="right"/>
            </w:pPr>
            <w:r>
              <w:t xml:space="preserve">0.174</w:t>
            </w:r>
          </w:p>
        </w:tc>
        <w:tc>
          <w:tcPr/>
          <w:p>
            <w:pPr>
              <w:pStyle w:val="Compact"/>
              <w:jc w:val="left"/>
            </w:pPr>
            <w:r>
              <w:t xml:space="preserve">0.174</w:t>
            </w:r>
          </w:p>
        </w:tc>
        <w:tc>
          <w:tcPr/>
          <w:p>
            <w:pPr>
              <w:pStyle w:val="Compact"/>
              <w:jc w:val="right"/>
            </w:pPr>
            <w:r>
              <w:t xml:space="preserve">2.109</w:t>
            </w:r>
          </w:p>
        </w:tc>
        <w:tc>
          <w:tcPr/>
          <w:p>
            <w:pPr>
              <w:pStyle w:val="Compact"/>
              <w:jc w:val="right"/>
            </w:pPr>
            <w:r>
              <w:t xml:space="preserve">0.719</w:t>
            </w:r>
          </w:p>
        </w:tc>
        <w:tc>
          <w:tcPr/>
          <w:p>
            <w:pPr>
              <w:pStyle w:val="Compact"/>
              <w:jc w:val="right"/>
            </w:pPr>
            <w:r>
              <w:t xml:space="preserve">6.185</w:t>
            </w:r>
          </w:p>
        </w:tc>
      </w:tr>
      <w:tr>
        <w:tc>
          <w:tcPr/>
          <w:p>
            <w:pPr>
              <w:pStyle w:val="Compact"/>
              <w:jc w:val="left"/>
            </w:pPr>
            <w:r>
              <w:t xml:space="preserve">ent_typeSleep</w:t>
            </w:r>
          </w:p>
        </w:tc>
        <w:tc>
          <w:tcPr/>
          <w:p>
            <w:pPr>
              <w:pStyle w:val="Compact"/>
              <w:jc w:val="right"/>
            </w:pPr>
            <w:r>
              <w:t xml:space="preserve">0.504</w:t>
            </w:r>
          </w:p>
        </w:tc>
        <w:tc>
          <w:tcPr/>
          <w:p>
            <w:pPr>
              <w:pStyle w:val="Compact"/>
              <w:jc w:val="right"/>
            </w:pPr>
            <w:r>
              <w:t xml:space="preserve">0.565</w:t>
            </w:r>
          </w:p>
        </w:tc>
        <w:tc>
          <w:tcPr/>
          <w:p>
            <w:pPr>
              <w:pStyle w:val="Compact"/>
              <w:jc w:val="right"/>
            </w:pPr>
            <w:r>
              <w:t xml:space="preserve">0.892</w:t>
            </w:r>
          </w:p>
        </w:tc>
        <w:tc>
          <w:tcPr/>
          <w:p>
            <w:pPr>
              <w:pStyle w:val="Compact"/>
              <w:jc w:val="right"/>
            </w:pPr>
            <w:r>
              <w:t xml:space="preserve">0.373</w:t>
            </w:r>
          </w:p>
        </w:tc>
        <w:tc>
          <w:tcPr/>
          <w:p>
            <w:pPr>
              <w:pStyle w:val="Compact"/>
              <w:jc w:val="left"/>
            </w:pPr>
            <w:r>
              <w:t xml:space="preserve">0.373</w:t>
            </w:r>
          </w:p>
        </w:tc>
        <w:tc>
          <w:tcPr/>
          <w:p>
            <w:pPr>
              <w:pStyle w:val="Compact"/>
              <w:jc w:val="right"/>
            </w:pPr>
            <w:r>
              <w:t xml:space="preserve">1.656</w:t>
            </w:r>
          </w:p>
        </w:tc>
        <w:tc>
          <w:tcPr/>
          <w:p>
            <w:pPr>
              <w:pStyle w:val="Compact"/>
              <w:jc w:val="right"/>
            </w:pPr>
            <w:r>
              <w:t xml:space="preserve">0.547</w:t>
            </w:r>
          </w:p>
        </w:tc>
        <w:tc>
          <w:tcPr/>
          <w:p>
            <w:pPr>
              <w:pStyle w:val="Compact"/>
              <w:jc w:val="right"/>
            </w:pPr>
            <w:r>
              <w:t xml:space="preserve">5.015</w:t>
            </w:r>
          </w:p>
        </w:tc>
      </w:tr>
      <w:tr>
        <w:tc>
          <w:tcPr/>
          <w:p>
            <w:pPr>
              <w:pStyle w:val="Compact"/>
              <w:jc w:val="left"/>
            </w:pPr>
            <w:r>
              <w:t xml:space="preserve">ent_per_100k_z</w:t>
            </w:r>
          </w:p>
        </w:tc>
        <w:tc>
          <w:tcPr/>
          <w:p>
            <w:pPr>
              <w:pStyle w:val="Compact"/>
              <w:jc w:val="right"/>
            </w:pPr>
            <w:r>
              <w:t xml:space="preserve">-0.049</w:t>
            </w:r>
          </w:p>
        </w:tc>
        <w:tc>
          <w:tcPr/>
          <w:p>
            <w:pPr>
              <w:pStyle w:val="Compact"/>
              <w:jc w:val="right"/>
            </w:pPr>
            <w:r>
              <w:t xml:space="preserve">0.083</w:t>
            </w:r>
          </w:p>
        </w:tc>
        <w:tc>
          <w:tcPr/>
          <w:p>
            <w:pPr>
              <w:pStyle w:val="Compact"/>
              <w:jc w:val="right"/>
            </w:pPr>
            <w:r>
              <w:t xml:space="preserve">-0.594</w:t>
            </w:r>
          </w:p>
        </w:tc>
        <w:tc>
          <w:tcPr/>
          <w:p>
            <w:pPr>
              <w:pStyle w:val="Compact"/>
              <w:jc w:val="right"/>
            </w:pPr>
            <w:r>
              <w:t xml:space="preserve">0.552</w:t>
            </w:r>
          </w:p>
        </w:tc>
        <w:tc>
          <w:tcPr/>
          <w:p>
            <w:pPr>
              <w:pStyle w:val="Compact"/>
              <w:jc w:val="left"/>
            </w:pPr>
            <w:r>
              <w:t xml:space="preserve">0.552</w:t>
            </w:r>
          </w:p>
        </w:tc>
        <w:tc>
          <w:tcPr/>
          <w:p>
            <w:pPr>
              <w:pStyle w:val="Compact"/>
              <w:jc w:val="right"/>
            </w:pPr>
            <w:r>
              <w:t xml:space="preserve">0.952</w:t>
            </w:r>
          </w:p>
        </w:tc>
        <w:tc>
          <w:tcPr/>
          <w:p>
            <w:pPr>
              <w:pStyle w:val="Compact"/>
              <w:jc w:val="right"/>
            </w:pPr>
            <w:r>
              <w:t xml:space="preserve">0.808</w:t>
            </w:r>
          </w:p>
        </w:tc>
        <w:tc>
          <w:tcPr/>
          <w:p>
            <w:pPr>
              <w:pStyle w:val="Compact"/>
              <w:jc w:val="right"/>
            </w:pPr>
            <w:r>
              <w:t xml:space="preserve">1.120</w:t>
            </w:r>
          </w:p>
        </w:tc>
      </w:tr>
      <w:tr>
        <w:tc>
          <w:tcPr/>
          <w:p>
            <w:pPr>
              <w:pStyle w:val="Compact"/>
              <w:jc w:val="left"/>
            </w:pPr>
            <w:r>
              <w:t xml:space="preserve">medicaid_fee_index_z</w:t>
            </w:r>
          </w:p>
        </w:tc>
        <w:tc>
          <w:tcPr/>
          <w:p>
            <w:pPr>
              <w:pStyle w:val="Compact"/>
              <w:jc w:val="right"/>
            </w:pPr>
            <w:r>
              <w:t xml:space="preserve">-0.094</w:t>
            </w:r>
          </w:p>
        </w:tc>
        <w:tc>
          <w:tcPr/>
          <w:p>
            <w:pPr>
              <w:pStyle w:val="Compact"/>
              <w:jc w:val="right"/>
            </w:pPr>
            <w:r>
              <w:t xml:space="preserve">0.082</w:t>
            </w:r>
          </w:p>
        </w:tc>
        <w:tc>
          <w:tcPr/>
          <w:p>
            <w:pPr>
              <w:pStyle w:val="Compact"/>
              <w:jc w:val="right"/>
            </w:pPr>
            <w:r>
              <w:t xml:space="preserve">-1.142</w:t>
            </w:r>
          </w:p>
        </w:tc>
        <w:tc>
          <w:tcPr/>
          <w:p>
            <w:pPr>
              <w:pStyle w:val="Compact"/>
              <w:jc w:val="right"/>
            </w:pPr>
            <w:r>
              <w:t xml:space="preserve">0.254</w:t>
            </w:r>
          </w:p>
        </w:tc>
        <w:tc>
          <w:tcPr/>
          <w:p>
            <w:pPr>
              <w:pStyle w:val="Compact"/>
              <w:jc w:val="left"/>
            </w:pPr>
            <w:r>
              <w:t xml:space="preserve">0.254</w:t>
            </w:r>
          </w:p>
        </w:tc>
        <w:tc>
          <w:tcPr/>
          <w:p>
            <w:pPr>
              <w:pStyle w:val="Compact"/>
              <w:jc w:val="right"/>
            </w:pPr>
            <w:r>
              <w:t xml:space="preserve">0.910</w:t>
            </w:r>
          </w:p>
        </w:tc>
        <w:tc>
          <w:tcPr/>
          <w:p>
            <w:pPr>
              <w:pStyle w:val="Compact"/>
              <w:jc w:val="right"/>
            </w:pPr>
            <w:r>
              <w:t xml:space="preserve">0.774</w:t>
            </w:r>
          </w:p>
        </w:tc>
        <w:tc>
          <w:tcPr/>
          <w:p>
            <w:pPr>
              <w:pStyle w:val="Compact"/>
              <w:jc w:val="right"/>
            </w:pPr>
            <w:r>
              <w:t xml:space="preserve">1.070</w:t>
            </w:r>
          </w:p>
        </w:tc>
      </w:tr>
      <w:tr>
        <w:tc>
          <w:tcPr/>
          <w:p>
            <w:pPr>
              <w:pStyle w:val="Compact"/>
              <w:jc w:val="left"/>
            </w:pPr>
            <w:r>
              <w:t xml:space="preserve">svi_overall_z</w:t>
            </w:r>
          </w:p>
        </w:tc>
        <w:tc>
          <w:tcPr/>
          <w:p>
            <w:pPr>
              <w:pStyle w:val="Compact"/>
              <w:jc w:val="right"/>
            </w:pPr>
            <w:r>
              <w:t xml:space="preserve">-0.049</w:t>
            </w:r>
          </w:p>
        </w:tc>
        <w:tc>
          <w:tcPr/>
          <w:p>
            <w:pPr>
              <w:pStyle w:val="Compact"/>
              <w:jc w:val="right"/>
            </w:pPr>
            <w:r>
              <w:t xml:space="preserve">0.089</w:t>
            </w:r>
          </w:p>
        </w:tc>
        <w:tc>
          <w:tcPr/>
          <w:p>
            <w:pPr>
              <w:pStyle w:val="Compact"/>
              <w:jc w:val="right"/>
            </w:pPr>
            <w:r>
              <w:t xml:space="preserve">-0.549</w:t>
            </w:r>
          </w:p>
        </w:tc>
        <w:tc>
          <w:tcPr/>
          <w:p>
            <w:pPr>
              <w:pStyle w:val="Compact"/>
              <w:jc w:val="right"/>
            </w:pPr>
            <w:r>
              <w:t xml:space="preserve">0.583</w:t>
            </w:r>
          </w:p>
        </w:tc>
        <w:tc>
          <w:tcPr/>
          <w:p>
            <w:pPr>
              <w:pStyle w:val="Compact"/>
              <w:jc w:val="left"/>
            </w:pPr>
            <w:r>
              <w:t xml:space="preserve">0.583</w:t>
            </w:r>
          </w:p>
        </w:tc>
        <w:tc>
          <w:tcPr/>
          <w:p>
            <w:pPr>
              <w:pStyle w:val="Compact"/>
              <w:jc w:val="right"/>
            </w:pPr>
            <w:r>
              <w:t xml:space="preserve">0.952</w:t>
            </w:r>
          </w:p>
        </w:tc>
        <w:tc>
          <w:tcPr/>
          <w:p>
            <w:pPr>
              <w:pStyle w:val="Compact"/>
              <w:jc w:val="right"/>
            </w:pPr>
            <w:r>
              <w:t xml:space="preserve">0.800</w:t>
            </w:r>
          </w:p>
        </w:tc>
        <w:tc>
          <w:tcPr/>
          <w:p>
            <w:pPr>
              <w:pStyle w:val="Compact"/>
              <w:jc w:val="right"/>
            </w:pPr>
            <w:r>
              <w:t xml:space="preserve">1.134</w:t>
            </w:r>
          </w:p>
        </w:tc>
      </w:tr>
      <w:tr>
        <w:tc>
          <w:tcPr/>
          <w:p>
            <w:pPr>
              <w:pStyle w:val="Compact"/>
              <w:jc w:val="left"/>
            </w:pPr>
            <w:r>
              <w:t xml:space="preserve">dual_pct_z</w:t>
            </w:r>
          </w:p>
        </w:tc>
        <w:tc>
          <w:tcPr/>
          <w:p>
            <w:pPr>
              <w:pStyle w:val="Compact"/>
              <w:jc w:val="right"/>
            </w:pPr>
            <w:r>
              <w:t xml:space="preserve">-0.005</w:t>
            </w:r>
          </w:p>
        </w:tc>
        <w:tc>
          <w:tcPr/>
          <w:p>
            <w:pPr>
              <w:pStyle w:val="Compact"/>
              <w:jc w:val="right"/>
            </w:pPr>
            <w:r>
              <w:t xml:space="preserve">0.092</w:t>
            </w:r>
          </w:p>
        </w:tc>
        <w:tc>
          <w:tcPr/>
          <w:p>
            <w:pPr>
              <w:pStyle w:val="Compact"/>
              <w:jc w:val="right"/>
            </w:pPr>
            <w:r>
              <w:t xml:space="preserve">-0.053</w:t>
            </w:r>
          </w:p>
        </w:tc>
        <w:tc>
          <w:tcPr/>
          <w:p>
            <w:pPr>
              <w:pStyle w:val="Compact"/>
              <w:jc w:val="right"/>
            </w:pPr>
            <w:r>
              <w:t xml:space="preserve">0.958</w:t>
            </w:r>
          </w:p>
        </w:tc>
        <w:tc>
          <w:tcPr/>
          <w:p>
            <w:pPr>
              <w:pStyle w:val="Compact"/>
              <w:jc w:val="left"/>
            </w:pPr>
            <w:r>
              <w:t xml:space="preserve">0.958</w:t>
            </w:r>
          </w:p>
        </w:tc>
        <w:tc>
          <w:tcPr/>
          <w:p>
            <w:pPr>
              <w:pStyle w:val="Compact"/>
              <w:jc w:val="right"/>
            </w:pPr>
            <w:r>
              <w:t xml:space="preserve">0.995</w:t>
            </w:r>
          </w:p>
        </w:tc>
        <w:tc>
          <w:tcPr/>
          <w:p>
            <w:pPr>
              <w:pStyle w:val="Compact"/>
              <w:jc w:val="right"/>
            </w:pPr>
            <w:r>
              <w:t xml:space="preserve">0.830</w:t>
            </w:r>
          </w:p>
        </w:tc>
        <w:tc>
          <w:tcPr/>
          <w:p>
            <w:pPr>
              <w:pStyle w:val="Compact"/>
              <w:jc w:val="right"/>
            </w:pPr>
            <w:r>
              <w:t xml:space="preserve">1.192</w:t>
            </w:r>
          </w:p>
        </w:tc>
      </w:tr>
      <w:tr>
        <w:tc>
          <w:tcPr/>
          <w:p>
            <w:pPr>
              <w:pStyle w:val="Compact"/>
              <w:jc w:val="left"/>
            </w:pPr>
            <w:r>
              <w:t xml:space="preserve">ruralRural</w:t>
            </w:r>
          </w:p>
        </w:tc>
        <w:tc>
          <w:tcPr/>
          <w:p>
            <w:pPr>
              <w:pStyle w:val="Compact"/>
              <w:jc w:val="right"/>
            </w:pPr>
            <w:r>
              <w:t xml:space="preserve">0.018</w:t>
            </w:r>
          </w:p>
        </w:tc>
        <w:tc>
          <w:tcPr/>
          <w:p>
            <w:pPr>
              <w:pStyle w:val="Compact"/>
              <w:jc w:val="right"/>
            </w:pPr>
            <w:r>
              <w:t xml:space="preserve">0.182</w:t>
            </w:r>
          </w:p>
        </w:tc>
        <w:tc>
          <w:tcPr/>
          <w:p>
            <w:pPr>
              <w:pStyle w:val="Compact"/>
              <w:jc w:val="right"/>
            </w:pPr>
            <w:r>
              <w:t xml:space="preserve">0.098</w:t>
            </w:r>
          </w:p>
        </w:tc>
        <w:tc>
          <w:tcPr/>
          <w:p>
            <w:pPr>
              <w:pStyle w:val="Compact"/>
              <w:jc w:val="right"/>
            </w:pPr>
            <w:r>
              <w:t xml:space="preserve">0.922</w:t>
            </w:r>
          </w:p>
        </w:tc>
        <w:tc>
          <w:tcPr/>
          <w:p>
            <w:pPr>
              <w:pStyle w:val="Compact"/>
              <w:jc w:val="left"/>
            </w:pPr>
            <w:r>
              <w:t xml:space="preserve">0.922</w:t>
            </w:r>
          </w:p>
        </w:tc>
        <w:tc>
          <w:tcPr/>
          <w:p>
            <w:pPr>
              <w:pStyle w:val="Compact"/>
              <w:jc w:val="right"/>
            </w:pPr>
            <w:r>
              <w:t xml:space="preserve">1.018</w:t>
            </w:r>
          </w:p>
        </w:tc>
        <w:tc>
          <w:tcPr/>
          <w:p>
            <w:pPr>
              <w:pStyle w:val="Compact"/>
              <w:jc w:val="right"/>
            </w:pPr>
            <w:r>
              <w:t xml:space="preserve">0.712</w:t>
            </w:r>
          </w:p>
        </w:tc>
        <w:tc>
          <w:tcPr/>
          <w:p>
            <w:pPr>
              <w:pStyle w:val="Compact"/>
              <w:jc w:val="right"/>
            </w:pPr>
            <w:r>
              <w:t xml:space="preserve">1.455</w:t>
            </w:r>
          </w:p>
        </w:tc>
      </w:tr>
      <w:tr>
        <w:tc>
          <w:tcPr/>
          <w:p>
            <w:pPr>
              <w:pStyle w:val="Compact"/>
              <w:jc w:val="left"/>
            </w:pPr>
            <w:r>
              <w:t xml:space="preserve">caller_fDeol</w:t>
            </w:r>
          </w:p>
        </w:tc>
        <w:tc>
          <w:tcPr/>
          <w:p>
            <w:pPr>
              <w:pStyle w:val="Compact"/>
              <w:jc w:val="right"/>
            </w:pPr>
            <w:r>
              <w:t xml:space="preserve">0.849</w:t>
            </w:r>
          </w:p>
        </w:tc>
        <w:tc>
          <w:tcPr/>
          <w:p>
            <w:pPr>
              <w:pStyle w:val="Compact"/>
              <w:jc w:val="right"/>
            </w:pPr>
            <w:r>
              <w:t xml:space="preserve">0.255</w:t>
            </w:r>
          </w:p>
        </w:tc>
        <w:tc>
          <w:tcPr/>
          <w:p>
            <w:pPr>
              <w:pStyle w:val="Compact"/>
              <w:jc w:val="right"/>
            </w:pPr>
            <w:r>
              <w:t xml:space="preserve">3.335</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2.338</w:t>
            </w:r>
          </w:p>
        </w:tc>
        <w:tc>
          <w:tcPr/>
          <w:p>
            <w:pPr>
              <w:pStyle w:val="Compact"/>
              <w:jc w:val="right"/>
            </w:pPr>
            <w:r>
              <w:t xml:space="preserve">1.419</w:t>
            </w:r>
          </w:p>
        </w:tc>
        <w:tc>
          <w:tcPr/>
          <w:p>
            <w:pPr>
              <w:pStyle w:val="Compact"/>
              <w:jc w:val="right"/>
            </w:pPr>
            <w:r>
              <w:t xml:space="preserve">3.852</w:t>
            </w:r>
          </w:p>
        </w:tc>
      </w:tr>
      <w:tr>
        <w:tc>
          <w:tcPr/>
          <w:p>
            <w:pPr>
              <w:pStyle w:val="Compact"/>
              <w:jc w:val="left"/>
            </w:pPr>
            <w:r>
              <w:t xml:space="preserve">caller_fFalk</w:t>
            </w:r>
          </w:p>
        </w:tc>
        <w:tc>
          <w:tcPr/>
          <w:p>
            <w:pPr>
              <w:pStyle w:val="Compact"/>
              <w:jc w:val="right"/>
            </w:pPr>
            <w:r>
              <w:t xml:space="preserve">0.692</w:t>
            </w:r>
          </w:p>
        </w:tc>
        <w:tc>
          <w:tcPr/>
          <w:p>
            <w:pPr>
              <w:pStyle w:val="Compact"/>
              <w:jc w:val="right"/>
            </w:pPr>
            <w:r>
              <w:t xml:space="preserve">0.289</w:t>
            </w:r>
          </w:p>
        </w:tc>
        <w:tc>
          <w:tcPr/>
          <w:p>
            <w:pPr>
              <w:pStyle w:val="Compact"/>
              <w:jc w:val="right"/>
            </w:pPr>
            <w:r>
              <w:t xml:space="preserve">2.391</w:t>
            </w:r>
          </w:p>
        </w:tc>
        <w:tc>
          <w:tcPr/>
          <w:p>
            <w:pPr>
              <w:pStyle w:val="Compact"/>
              <w:jc w:val="right"/>
            </w:pPr>
            <w:r>
              <w:t xml:space="preserve">0.017</w:t>
            </w:r>
          </w:p>
        </w:tc>
        <w:tc>
          <w:tcPr/>
          <w:p>
            <w:pPr>
              <w:pStyle w:val="Compact"/>
              <w:jc w:val="left"/>
            </w:pPr>
            <w:r>
              <w:t xml:space="preserve">0.017</w:t>
            </w:r>
          </w:p>
        </w:tc>
        <w:tc>
          <w:tcPr/>
          <w:p>
            <w:pPr>
              <w:pStyle w:val="Compact"/>
              <w:jc w:val="right"/>
            </w:pPr>
            <w:r>
              <w:t xml:space="preserve">1.998</w:t>
            </w:r>
          </w:p>
        </w:tc>
        <w:tc>
          <w:tcPr/>
          <w:p>
            <w:pPr>
              <w:pStyle w:val="Compact"/>
              <w:jc w:val="right"/>
            </w:pPr>
            <w:r>
              <w:t xml:space="preserve">1.133</w:t>
            </w:r>
          </w:p>
        </w:tc>
        <w:tc>
          <w:tcPr/>
          <w:p>
            <w:pPr>
              <w:pStyle w:val="Compact"/>
              <w:jc w:val="right"/>
            </w:pPr>
            <w:r>
              <w:t xml:space="preserve">3.523</w:t>
            </w:r>
          </w:p>
        </w:tc>
      </w:tr>
      <w:tr>
        <w:tc>
          <w:tcPr/>
          <w:p>
            <w:pPr>
              <w:pStyle w:val="Compact"/>
              <w:jc w:val="left"/>
            </w:pPr>
            <w:r>
              <w:t xml:space="preserve">caller_fGregg</w:t>
            </w:r>
          </w:p>
        </w:tc>
        <w:tc>
          <w:tcPr/>
          <w:p>
            <w:pPr>
              <w:pStyle w:val="Compact"/>
              <w:jc w:val="right"/>
            </w:pPr>
            <w:r>
              <w:t xml:space="preserve">0.638</w:t>
            </w:r>
          </w:p>
        </w:tc>
        <w:tc>
          <w:tcPr/>
          <w:p>
            <w:pPr>
              <w:pStyle w:val="Compact"/>
              <w:jc w:val="right"/>
            </w:pPr>
            <w:r>
              <w:t xml:space="preserve">0.254</w:t>
            </w:r>
          </w:p>
        </w:tc>
        <w:tc>
          <w:tcPr/>
          <w:p>
            <w:pPr>
              <w:pStyle w:val="Compact"/>
              <w:jc w:val="right"/>
            </w:pPr>
            <w:r>
              <w:t xml:space="preserve">2.508</w:t>
            </w:r>
          </w:p>
        </w:tc>
        <w:tc>
          <w:tcPr/>
          <w:p>
            <w:pPr>
              <w:pStyle w:val="Compact"/>
              <w:jc w:val="right"/>
            </w:pPr>
            <w:r>
              <w:t xml:space="preserve">0.012</w:t>
            </w:r>
          </w:p>
        </w:tc>
        <w:tc>
          <w:tcPr/>
          <w:p>
            <w:pPr>
              <w:pStyle w:val="Compact"/>
              <w:jc w:val="left"/>
            </w:pPr>
            <w:r>
              <w:t xml:space="preserve">0.012</w:t>
            </w:r>
          </w:p>
        </w:tc>
        <w:tc>
          <w:tcPr/>
          <w:p>
            <w:pPr>
              <w:pStyle w:val="Compact"/>
              <w:jc w:val="right"/>
            </w:pPr>
            <w:r>
              <w:t xml:space="preserve">1.892</w:t>
            </w:r>
          </w:p>
        </w:tc>
        <w:tc>
          <w:tcPr/>
          <w:p>
            <w:pPr>
              <w:pStyle w:val="Compact"/>
              <w:jc w:val="right"/>
            </w:pPr>
            <w:r>
              <w:t xml:space="preserve">1.150</w:t>
            </w:r>
          </w:p>
        </w:tc>
        <w:tc>
          <w:tcPr/>
          <w:p>
            <w:pPr>
              <w:pStyle w:val="Compact"/>
              <w:jc w:val="right"/>
            </w:pPr>
            <w:r>
              <w:t xml:space="preserve">3.115</w:t>
            </w:r>
          </w:p>
        </w:tc>
      </w:tr>
      <w:tr>
        <w:tc>
          <w:tcPr/>
          <w:p>
            <w:pPr>
              <w:pStyle w:val="Compact"/>
              <w:jc w:val="left"/>
            </w:pPr>
            <w:r>
              <w:t xml:space="preserve">caller_fKim</w:t>
            </w:r>
          </w:p>
        </w:tc>
        <w:tc>
          <w:tcPr/>
          <w:p>
            <w:pPr>
              <w:pStyle w:val="Compact"/>
              <w:jc w:val="right"/>
            </w:pPr>
            <w:r>
              <w:t xml:space="preserve">0.685</w:t>
            </w:r>
          </w:p>
        </w:tc>
        <w:tc>
          <w:tcPr/>
          <w:p>
            <w:pPr>
              <w:pStyle w:val="Compact"/>
              <w:jc w:val="right"/>
            </w:pPr>
            <w:r>
              <w:t xml:space="preserve">0.255</w:t>
            </w:r>
          </w:p>
        </w:tc>
        <w:tc>
          <w:tcPr/>
          <w:p>
            <w:pPr>
              <w:pStyle w:val="Compact"/>
              <w:jc w:val="right"/>
            </w:pPr>
            <w:r>
              <w:t xml:space="preserve">2.691</w:t>
            </w:r>
          </w:p>
        </w:tc>
        <w:tc>
          <w:tcPr/>
          <w:p>
            <w:pPr>
              <w:pStyle w:val="Compact"/>
              <w:jc w:val="right"/>
            </w:pPr>
            <w:r>
              <w:t xml:space="preserve">0.007</w:t>
            </w:r>
          </w:p>
        </w:tc>
        <w:tc>
          <w:tcPr/>
          <w:p>
            <w:pPr>
              <w:pStyle w:val="Compact"/>
              <w:jc w:val="left"/>
            </w:pPr>
            <w:r>
              <w:t xml:space="preserve">0.007</w:t>
            </w:r>
          </w:p>
        </w:tc>
        <w:tc>
          <w:tcPr/>
          <w:p>
            <w:pPr>
              <w:pStyle w:val="Compact"/>
              <w:jc w:val="right"/>
            </w:pPr>
            <w:r>
              <w:t xml:space="preserve">1.984</w:t>
            </w:r>
          </w:p>
        </w:tc>
        <w:tc>
          <w:tcPr/>
          <w:p>
            <w:pPr>
              <w:pStyle w:val="Compact"/>
              <w:jc w:val="right"/>
            </w:pPr>
            <w:r>
              <w:t xml:space="preserve">1.204</w:t>
            </w:r>
          </w:p>
        </w:tc>
        <w:tc>
          <w:tcPr/>
          <w:p>
            <w:pPr>
              <w:pStyle w:val="Compact"/>
              <w:jc w:val="right"/>
            </w:pPr>
            <w:r>
              <w:t xml:space="preserve">3.266</w:t>
            </w:r>
          </w:p>
        </w:tc>
      </w:tr>
      <w:tr>
        <w:tc>
          <w:tcPr/>
          <w:p>
            <w:pPr>
              <w:pStyle w:val="Compact"/>
              <w:jc w:val="left"/>
            </w:pPr>
            <w:r>
              <w:t xml:space="preserve">caller_fOther</w:t>
            </w:r>
          </w:p>
        </w:tc>
        <w:tc>
          <w:tcPr/>
          <w:p>
            <w:pPr>
              <w:pStyle w:val="Compact"/>
              <w:jc w:val="right"/>
            </w:pPr>
            <w:r>
              <w:t xml:space="preserve">-0.694</w:t>
            </w:r>
          </w:p>
        </w:tc>
        <w:tc>
          <w:tcPr/>
          <w:p>
            <w:pPr>
              <w:pStyle w:val="Compact"/>
              <w:jc w:val="right"/>
            </w:pPr>
            <w:r>
              <w:t xml:space="preserve">0.635</w:t>
            </w:r>
          </w:p>
        </w:tc>
        <w:tc>
          <w:tcPr/>
          <w:p>
            <w:pPr>
              <w:pStyle w:val="Compact"/>
              <w:jc w:val="right"/>
            </w:pPr>
            <w:r>
              <w:t xml:space="preserve">-1.094</w:t>
            </w:r>
          </w:p>
        </w:tc>
        <w:tc>
          <w:tcPr/>
          <w:p>
            <w:pPr>
              <w:pStyle w:val="Compact"/>
              <w:jc w:val="right"/>
            </w:pPr>
            <w:r>
              <w:t xml:space="preserve">0.274</w:t>
            </w:r>
          </w:p>
        </w:tc>
        <w:tc>
          <w:tcPr/>
          <w:p>
            <w:pPr>
              <w:pStyle w:val="Compact"/>
              <w:jc w:val="left"/>
            </w:pPr>
            <w:r>
              <w:t xml:space="preserve">0.274</w:t>
            </w:r>
          </w:p>
        </w:tc>
        <w:tc>
          <w:tcPr/>
          <w:p>
            <w:pPr>
              <w:pStyle w:val="Compact"/>
              <w:jc w:val="right"/>
            </w:pPr>
            <w:r>
              <w:t xml:space="preserve">0.500</w:t>
            </w:r>
          </w:p>
        </w:tc>
        <w:tc>
          <w:tcPr/>
          <w:p>
            <w:pPr>
              <w:pStyle w:val="Compact"/>
              <w:jc w:val="right"/>
            </w:pPr>
            <w:r>
              <w:t xml:space="preserve">0.144</w:t>
            </w:r>
          </w:p>
        </w:tc>
        <w:tc>
          <w:tcPr/>
          <w:p>
            <w:pPr>
              <w:pStyle w:val="Compact"/>
              <w:jc w:val="right"/>
            </w:pPr>
            <w:r>
              <w:t xml:space="preserve">1.733</w:t>
            </w:r>
          </w:p>
        </w:tc>
      </w:tr>
      <w:tr>
        <w:tc>
          <w:tcPr/>
          <w:p>
            <w:pPr>
              <w:pStyle w:val="Compact"/>
              <w:jc w:val="left"/>
            </w:pPr>
            <w:r>
              <w:t xml:space="preserve">caller_fWalsh</w:t>
            </w:r>
          </w:p>
        </w:tc>
        <w:tc>
          <w:tcPr/>
          <w:p>
            <w:pPr>
              <w:pStyle w:val="Compact"/>
              <w:jc w:val="right"/>
            </w:pPr>
            <w:r>
              <w:t xml:space="preserve">0.807</w:t>
            </w:r>
          </w:p>
        </w:tc>
        <w:tc>
          <w:tcPr/>
          <w:p>
            <w:pPr>
              <w:pStyle w:val="Compact"/>
              <w:jc w:val="right"/>
            </w:pPr>
            <w:r>
              <w:t xml:space="preserve">0.250</w:t>
            </w:r>
          </w:p>
        </w:tc>
        <w:tc>
          <w:tcPr/>
          <w:p>
            <w:pPr>
              <w:pStyle w:val="Compact"/>
              <w:jc w:val="right"/>
            </w:pPr>
            <w:r>
              <w:t xml:space="preserve">3.226</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2.240</w:t>
            </w:r>
          </w:p>
        </w:tc>
        <w:tc>
          <w:tcPr/>
          <w:p>
            <w:pPr>
              <w:pStyle w:val="Compact"/>
              <w:jc w:val="right"/>
            </w:pPr>
            <w:r>
              <w:t xml:space="preserve">1.372</w:t>
            </w:r>
          </w:p>
        </w:tc>
        <w:tc>
          <w:tcPr/>
          <w:p>
            <w:pPr>
              <w:pStyle w:val="Compact"/>
              <w:jc w:val="right"/>
            </w:pPr>
            <w:r>
              <w:t xml:space="preserve">3.657</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ent_typeFacial Plastics</w:t>
            </w:r>
          </w:p>
        </w:tc>
        <w:tc>
          <w:tcPr/>
          <w:p>
            <w:pPr>
              <w:pStyle w:val="Compact"/>
              <w:jc w:val="left"/>
            </w:pPr>
            <w:r>
              <w:t xml:space="preserve">1.07 (0.74-1.53)</w:t>
            </w:r>
          </w:p>
        </w:tc>
        <w:tc>
          <w:tcPr/>
          <w:p>
            <w:pPr>
              <w:pStyle w:val="Compact"/>
              <w:jc w:val="right"/>
            </w:pPr>
            <w:r>
              <w:t xml:space="preserve">0.724</w:t>
            </w:r>
          </w:p>
        </w:tc>
      </w:tr>
      <w:tr>
        <w:tc>
          <w:tcPr/>
          <w:p>
            <w:pPr>
              <w:pStyle w:val="Compact"/>
              <w:jc w:val="left"/>
            </w:pPr>
            <w:r>
              <w:t xml:space="preserve">ent_typeHead and Neck Cancer</w:t>
            </w:r>
          </w:p>
        </w:tc>
        <w:tc>
          <w:tcPr/>
          <w:p>
            <w:pPr>
              <w:pStyle w:val="Compact"/>
              <w:jc w:val="left"/>
            </w:pPr>
            <w:r>
              <w:t xml:space="preserve">1.30 (0.74-2.28)</w:t>
            </w:r>
          </w:p>
        </w:tc>
        <w:tc>
          <w:tcPr/>
          <w:p>
            <w:pPr>
              <w:pStyle w:val="Compact"/>
              <w:jc w:val="right"/>
            </w:pPr>
            <w:r>
              <w:t xml:space="preserve">0.364</w:t>
            </w:r>
          </w:p>
        </w:tc>
      </w:tr>
      <w:tr>
        <w:tc>
          <w:tcPr/>
          <w:p>
            <w:pPr>
              <w:pStyle w:val="Compact"/>
              <w:jc w:val="left"/>
            </w:pPr>
            <w:r>
              <w:t xml:space="preserve">ent_typeLaryngology</w:t>
            </w:r>
          </w:p>
        </w:tc>
        <w:tc>
          <w:tcPr/>
          <w:p>
            <w:pPr>
              <w:pStyle w:val="Compact"/>
              <w:jc w:val="left"/>
            </w:pPr>
            <w:r>
              <w:t xml:space="preserve">2.25 (1.14-4.47)</w:t>
            </w:r>
          </w:p>
        </w:tc>
        <w:tc>
          <w:tcPr/>
          <w:p>
            <w:pPr>
              <w:pStyle w:val="Compact"/>
              <w:jc w:val="right"/>
            </w:pPr>
            <w:r>
              <w:t xml:space="preserve">0.020</w:t>
            </w:r>
          </w:p>
        </w:tc>
      </w:tr>
      <w:tr>
        <w:tc>
          <w:tcPr/>
          <w:p>
            <w:pPr>
              <w:pStyle w:val="Compact"/>
              <w:jc w:val="left"/>
            </w:pPr>
            <w:r>
              <w:t xml:space="preserve">ent_typeOtology/neurotology</w:t>
            </w:r>
          </w:p>
        </w:tc>
        <w:tc>
          <w:tcPr/>
          <w:p>
            <w:pPr>
              <w:pStyle w:val="Compact"/>
              <w:jc w:val="left"/>
            </w:pPr>
            <w:r>
              <w:t xml:space="preserve">1.31 (0.71-2.41)</w:t>
            </w:r>
          </w:p>
        </w:tc>
        <w:tc>
          <w:tcPr/>
          <w:p>
            <w:pPr>
              <w:pStyle w:val="Compact"/>
              <w:jc w:val="right"/>
            </w:pPr>
            <w:r>
              <w:t xml:space="preserve">0.386</w:t>
            </w:r>
          </w:p>
        </w:tc>
      </w:tr>
      <w:tr>
        <w:tc>
          <w:tcPr/>
          <w:p>
            <w:pPr>
              <w:pStyle w:val="Compact"/>
              <w:jc w:val="left"/>
            </w:pPr>
            <w:r>
              <w:t xml:space="preserve">ent_typePediatrics</w:t>
            </w:r>
          </w:p>
        </w:tc>
        <w:tc>
          <w:tcPr/>
          <w:p>
            <w:pPr>
              <w:pStyle w:val="Compact"/>
              <w:jc w:val="left"/>
            </w:pPr>
            <w:r>
              <w:t xml:space="preserve">1.63 (1.11-2.40)</w:t>
            </w:r>
          </w:p>
        </w:tc>
        <w:tc>
          <w:tcPr/>
          <w:p>
            <w:pPr>
              <w:pStyle w:val="Compact"/>
              <w:jc w:val="right"/>
            </w:pPr>
            <w:r>
              <w:t xml:space="preserve">0.013</w:t>
            </w:r>
          </w:p>
        </w:tc>
      </w:tr>
      <w:tr>
        <w:tc>
          <w:tcPr/>
          <w:p>
            <w:pPr>
              <w:pStyle w:val="Compact"/>
              <w:jc w:val="left"/>
            </w:pPr>
            <w:r>
              <w:t xml:space="preserve">ent_typeRhinology</w:t>
            </w:r>
          </w:p>
        </w:tc>
        <w:tc>
          <w:tcPr/>
          <w:p>
            <w:pPr>
              <w:pStyle w:val="Compact"/>
              <w:jc w:val="left"/>
            </w:pPr>
            <w:r>
              <w:t xml:space="preserve">1.57 (0.91-2.71)</w:t>
            </w:r>
          </w:p>
        </w:tc>
        <w:tc>
          <w:tcPr/>
          <w:p>
            <w:pPr>
              <w:pStyle w:val="Compact"/>
              <w:jc w:val="right"/>
            </w:pPr>
            <w:r>
              <w:t xml:space="preserve">0.108</w:t>
            </w:r>
          </w:p>
        </w:tc>
      </w:tr>
      <w:tr>
        <w:tc>
          <w:tcPr/>
          <w:p>
            <w:pPr>
              <w:pStyle w:val="Compact"/>
              <w:jc w:val="left"/>
            </w:pPr>
            <w:r>
              <w:t xml:space="preserve">ent_typeSleep</w:t>
            </w:r>
          </w:p>
        </w:tc>
        <w:tc>
          <w:tcPr/>
          <w:p>
            <w:pPr>
              <w:pStyle w:val="Compact"/>
              <w:jc w:val="left"/>
            </w:pPr>
            <w:r>
              <w:t xml:space="preserve">1.23 (0.65-2.34)</w:t>
            </w:r>
          </w:p>
        </w:tc>
        <w:tc>
          <w:tcPr/>
          <w:p>
            <w:pPr>
              <w:pStyle w:val="Compact"/>
              <w:jc w:val="right"/>
            </w:pPr>
            <w:r>
              <w:t xml:space="preserve">0.530</w:t>
            </w:r>
          </w:p>
        </w:tc>
      </w:tr>
      <w:tr>
        <w:tc>
          <w:tcPr/>
          <w:p>
            <w:pPr>
              <w:pStyle w:val="Compact"/>
              <w:jc w:val="left"/>
            </w:pPr>
            <w:r>
              <w:t xml:space="preserve">ent_per_100k_z</w:t>
            </w:r>
          </w:p>
        </w:tc>
        <w:tc>
          <w:tcPr/>
          <w:p>
            <w:pPr>
              <w:pStyle w:val="Compact"/>
              <w:jc w:val="left"/>
            </w:pPr>
            <w:r>
              <w:t xml:space="preserve">0.94 (0.82-1.09)</w:t>
            </w:r>
          </w:p>
        </w:tc>
        <w:tc>
          <w:tcPr/>
          <w:p>
            <w:pPr>
              <w:pStyle w:val="Compact"/>
              <w:jc w:val="right"/>
            </w:pPr>
            <w:r>
              <w:t xml:space="preserve">0.414</w:t>
            </w:r>
          </w:p>
        </w:tc>
      </w:tr>
      <w:tr>
        <w:tc>
          <w:tcPr/>
          <w:p>
            <w:pPr>
              <w:pStyle w:val="Compact"/>
              <w:jc w:val="left"/>
            </w:pPr>
            <w:r>
              <w:t xml:space="preserve">medicaid_fee_index_z</w:t>
            </w:r>
          </w:p>
        </w:tc>
        <w:tc>
          <w:tcPr/>
          <w:p>
            <w:pPr>
              <w:pStyle w:val="Compact"/>
              <w:jc w:val="left"/>
            </w:pPr>
            <w:r>
              <w:t xml:space="preserve">0.94 (0.83-1.07)</w:t>
            </w:r>
          </w:p>
        </w:tc>
        <w:tc>
          <w:tcPr/>
          <w:p>
            <w:pPr>
              <w:pStyle w:val="Compact"/>
              <w:jc w:val="right"/>
            </w:pPr>
            <w:r>
              <w:t xml:space="preserve">0.363</w:t>
            </w:r>
          </w:p>
        </w:tc>
      </w:tr>
      <w:tr>
        <w:tc>
          <w:tcPr/>
          <w:p>
            <w:pPr>
              <w:pStyle w:val="Compact"/>
              <w:jc w:val="left"/>
            </w:pPr>
            <w:r>
              <w:t xml:space="preserve">svi_overall_z</w:t>
            </w:r>
          </w:p>
        </w:tc>
        <w:tc>
          <w:tcPr/>
          <w:p>
            <w:pPr>
              <w:pStyle w:val="Compact"/>
              <w:jc w:val="left"/>
            </w:pPr>
            <w:r>
              <w:t xml:space="preserve">0.96 (0.85-1.08)</w:t>
            </w:r>
          </w:p>
        </w:tc>
        <w:tc>
          <w:tcPr/>
          <w:p>
            <w:pPr>
              <w:pStyle w:val="Compact"/>
              <w:jc w:val="right"/>
            </w:pPr>
            <w:r>
              <w:t xml:space="preserve">0.502</w:t>
            </w:r>
          </w:p>
        </w:tc>
      </w:tr>
      <w:tr>
        <w:tc>
          <w:tcPr/>
          <w:p>
            <w:pPr>
              <w:pStyle w:val="Compact"/>
              <w:jc w:val="left"/>
            </w:pPr>
            <w:r>
              <w:t xml:space="preserve">dual_pct_z</w:t>
            </w:r>
          </w:p>
        </w:tc>
        <w:tc>
          <w:tcPr/>
          <w:p>
            <w:pPr>
              <w:pStyle w:val="Compact"/>
              <w:jc w:val="left"/>
            </w:pPr>
            <w:r>
              <w:t xml:space="preserve">0.98 (0.86-1.11)</w:t>
            </w:r>
          </w:p>
        </w:tc>
        <w:tc>
          <w:tcPr/>
          <w:p>
            <w:pPr>
              <w:pStyle w:val="Compact"/>
              <w:jc w:val="right"/>
            </w:pPr>
            <w:r>
              <w:t xml:space="preserve">0.729</w:t>
            </w:r>
          </w:p>
        </w:tc>
      </w:tr>
      <w:tr>
        <w:tc>
          <w:tcPr/>
          <w:p>
            <w:pPr>
              <w:pStyle w:val="Compact"/>
              <w:jc w:val="left"/>
            </w:pPr>
            <w:r>
              <w:t xml:space="preserve">ruralRural</w:t>
            </w:r>
          </w:p>
        </w:tc>
        <w:tc>
          <w:tcPr/>
          <w:p>
            <w:pPr>
              <w:pStyle w:val="Compact"/>
              <w:jc w:val="left"/>
            </w:pPr>
            <w:r>
              <w:t xml:space="preserve">1.17 (0.90-1.51)</w:t>
            </w:r>
          </w:p>
        </w:tc>
        <w:tc>
          <w:tcPr/>
          <w:p>
            <w:pPr>
              <w:pStyle w:val="Compact"/>
              <w:jc w:val="right"/>
            </w:pPr>
            <w:r>
              <w:t xml:space="preserve">0.242</w:t>
            </w:r>
          </w:p>
        </w:tc>
      </w:tr>
      <w:tr>
        <w:tc>
          <w:tcPr/>
          <w:p>
            <w:pPr>
              <w:pStyle w:val="Compact"/>
              <w:jc w:val="left"/>
            </w:pPr>
            <w:r>
              <w:t xml:space="preserve">caller_fDeol</w:t>
            </w:r>
          </w:p>
        </w:tc>
        <w:tc>
          <w:tcPr/>
          <w:p>
            <w:pPr>
              <w:pStyle w:val="Compact"/>
              <w:jc w:val="left"/>
            </w:pPr>
            <w:r>
              <w:t xml:space="preserve">0.82 (0.59-1.13)</w:t>
            </w:r>
          </w:p>
        </w:tc>
        <w:tc>
          <w:tcPr/>
          <w:p>
            <w:pPr>
              <w:pStyle w:val="Compact"/>
              <w:jc w:val="right"/>
            </w:pPr>
            <w:r>
              <w:t xml:space="preserve">0.225</w:t>
            </w:r>
          </w:p>
        </w:tc>
      </w:tr>
      <w:tr>
        <w:tc>
          <w:tcPr/>
          <w:p>
            <w:pPr>
              <w:pStyle w:val="Compact"/>
              <w:jc w:val="left"/>
            </w:pPr>
            <w:r>
              <w:t xml:space="preserve">caller_fFalk</w:t>
            </w:r>
          </w:p>
        </w:tc>
        <w:tc>
          <w:tcPr/>
          <w:p>
            <w:pPr>
              <w:pStyle w:val="Compact"/>
              <w:jc w:val="left"/>
            </w:pPr>
            <w:r>
              <w:t xml:space="preserve">0.62 (0.42-0.91)</w:t>
            </w:r>
          </w:p>
        </w:tc>
        <w:tc>
          <w:tcPr/>
          <w:p>
            <w:pPr>
              <w:pStyle w:val="Compact"/>
              <w:jc w:val="right"/>
            </w:pPr>
            <w:r>
              <w:t xml:space="preserve">0.014</w:t>
            </w:r>
          </w:p>
        </w:tc>
      </w:tr>
      <w:tr>
        <w:tc>
          <w:tcPr/>
          <w:p>
            <w:pPr>
              <w:pStyle w:val="Compact"/>
              <w:jc w:val="left"/>
            </w:pPr>
            <w:r>
              <w:t xml:space="preserve">caller_fGregg</w:t>
            </w:r>
          </w:p>
        </w:tc>
        <w:tc>
          <w:tcPr/>
          <w:p>
            <w:pPr>
              <w:pStyle w:val="Compact"/>
              <w:jc w:val="left"/>
            </w:pPr>
            <w:r>
              <w:t xml:space="preserve">0.90 (0.64-1.25)</w:t>
            </w:r>
          </w:p>
        </w:tc>
        <w:tc>
          <w:tcPr/>
          <w:p>
            <w:pPr>
              <w:pStyle w:val="Compact"/>
              <w:jc w:val="right"/>
            </w:pPr>
            <w:r>
              <w:t xml:space="preserve">0.528</w:t>
            </w:r>
          </w:p>
        </w:tc>
      </w:tr>
      <w:tr>
        <w:tc>
          <w:tcPr/>
          <w:p>
            <w:pPr>
              <w:pStyle w:val="Compact"/>
              <w:jc w:val="left"/>
            </w:pPr>
            <w:r>
              <w:t xml:space="preserve">caller_fKim</w:t>
            </w:r>
          </w:p>
        </w:tc>
        <w:tc>
          <w:tcPr/>
          <w:p>
            <w:pPr>
              <w:pStyle w:val="Compact"/>
              <w:jc w:val="left"/>
            </w:pPr>
            <w:r>
              <w:t xml:space="preserve">0.98 (0.70-1.38)</w:t>
            </w:r>
          </w:p>
        </w:tc>
        <w:tc>
          <w:tcPr/>
          <w:p>
            <w:pPr>
              <w:pStyle w:val="Compact"/>
              <w:jc w:val="right"/>
            </w:pPr>
            <w:r>
              <w:t xml:space="preserve">0.899</w:t>
            </w:r>
          </w:p>
        </w:tc>
      </w:tr>
      <w:tr>
        <w:tc>
          <w:tcPr/>
          <w:p>
            <w:pPr>
              <w:pStyle w:val="Compact"/>
              <w:jc w:val="left"/>
            </w:pPr>
            <w:r>
              <w:t xml:space="preserve">caller_fOther</w:t>
            </w:r>
          </w:p>
        </w:tc>
        <w:tc>
          <w:tcPr/>
          <w:p>
            <w:pPr>
              <w:pStyle w:val="Compact"/>
              <w:jc w:val="left"/>
            </w:pPr>
            <w:r>
              <w:t xml:space="preserve">0.66 (0.23-1.87)</w:t>
            </w:r>
          </w:p>
        </w:tc>
        <w:tc>
          <w:tcPr/>
          <w:p>
            <w:pPr>
              <w:pStyle w:val="Compact"/>
              <w:jc w:val="right"/>
            </w:pPr>
            <w:r>
              <w:t xml:space="preserve">0.434</w:t>
            </w:r>
          </w:p>
        </w:tc>
      </w:tr>
      <w:tr>
        <w:tc>
          <w:tcPr/>
          <w:p>
            <w:pPr>
              <w:pStyle w:val="Compact"/>
              <w:jc w:val="left"/>
            </w:pPr>
            <w:r>
              <w:t xml:space="preserve">caller_fWalsh</w:t>
            </w:r>
          </w:p>
        </w:tc>
        <w:tc>
          <w:tcPr/>
          <w:p>
            <w:pPr>
              <w:pStyle w:val="Compact"/>
              <w:jc w:val="left"/>
            </w:pPr>
            <w:r>
              <w:t xml:space="preserve">0.88 (0.64-1.22)</w:t>
            </w:r>
          </w:p>
        </w:tc>
        <w:tc>
          <w:tcPr/>
          <w:p>
            <w:pPr>
              <w:pStyle w:val="Compact"/>
              <w:jc w:val="right"/>
            </w:pPr>
            <w:r>
              <w:t xml:space="preserve">0.456</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ent_type</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289</w:t>
            </w:r>
          </w:p>
        </w:tc>
      </w:tr>
      <w:tr>
        <w:tc>
          <w:tcPr/>
          <w:p>
            <w:pPr>
              <w:pStyle w:val="Compact"/>
              <w:jc w:val="left"/>
            </w:pPr>
            <w:r>
              <w:t xml:space="preserve">Facial Plastics</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Cancer</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Pediatrics</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28</w:t>
            </w:r>
          </w:p>
        </w:tc>
        <w:tc>
          <w:tcPr/>
          <w:p>
            <w:pPr>
              <w:pStyle w:val="Compact"/>
              <w:jc w:val="right"/>
            </w:pPr>
            <w:r>
              <w:t xml:space="preserve">212</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97</w:t>
            </w:r>
          </w:p>
        </w:tc>
      </w:tr>
      <w:tr>
        <w:tc>
          <w:tcPr/>
          <w:p>
            <w:pPr>
              <w:pStyle w:val="Compact"/>
              <w:jc w:val="left"/>
            </w:pPr>
            <w:r>
              <w:t xml:space="preserve">Mountain/Southwest</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w:t>
            </w:r>
          </w:p>
        </w:tc>
        <w:tc>
          <w:tcPr/>
          <w:p>
            <w:pPr>
              <w:pStyle w:val="Compact"/>
              <w:jc w:val="right"/>
            </w:pPr>
            <w:r>
              <w:t xml:space="preserve">12</w:t>
            </w:r>
          </w:p>
        </w:tc>
        <w:tc>
          <w:tcPr/>
          <w:p>
            <w:pPr>
              <w:pStyle w:val="Compact"/>
              <w:jc w:val="right"/>
            </w:pPr>
            <w:r>
              <w:t xml:space="preserve">50</w:t>
            </w:r>
          </w:p>
        </w:tc>
        <w:tc>
          <w:tcPr/>
          <w:p>
            <w:pPr>
              <w:pStyle w:val="Compact"/>
              <w:jc w:val="right"/>
            </w:pPr>
            <w:r>
              <w:t xml:space="preserve">27</w:t>
            </w:r>
          </w:p>
        </w:tc>
      </w:tr>
      <w:tr>
        <w:tc>
          <w:tcPr/>
          <w:p>
            <w:pPr>
              <w:pStyle w:val="Compact"/>
              <w:jc w:val="left"/>
            </w:pPr>
            <w:r>
              <w:t xml:space="preserve">Pacific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28</w:t>
            </w:r>
          </w:p>
        </w:tc>
        <w:tc>
          <w:tcPr/>
          <w:p>
            <w:pPr>
              <w:pStyle w:val="Compact"/>
              <w:jc w:val="right"/>
            </w:pPr>
            <w:r>
              <w:t xml:space="preserve">49</w:t>
            </w:r>
          </w:p>
        </w:tc>
      </w:tr>
      <w:tr>
        <w:tc>
          <w:tcPr/>
          <w:p>
            <w:pPr>
              <w:pStyle w:val="Compact"/>
              <w:jc w:val="left"/>
            </w:pPr>
            <w:r>
              <w:t xml:space="preserve">Southeast</w:t>
            </w:r>
          </w:p>
        </w:tc>
        <w:tc>
          <w:tcPr/>
          <w:p>
            <w:pPr>
              <w:pStyle w:val="Compact"/>
              <w:jc w:val="right"/>
            </w:pPr>
            <w:r>
              <w:t xml:space="preserve">9</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27</w:t>
            </w:r>
          </w:p>
        </w:tc>
        <w:tc>
          <w:tcPr/>
          <w:p>
            <w:pPr>
              <w:pStyle w:val="Compact"/>
              <w:jc w:val="right"/>
            </w:pPr>
            <w:r>
              <w:t xml:space="preserve">0.562</w:t>
            </w:r>
          </w:p>
        </w:tc>
        <w:tc>
          <w:tcPr/>
          <w:p>
            <w:pPr>
              <w:pStyle w:val="Compact"/>
              <w:jc w:val="right"/>
            </w:pPr>
            <w:r>
              <w:t xml:space="preserve">0.423</w:t>
            </w:r>
          </w:p>
        </w:tc>
        <w:tc>
          <w:tcPr/>
          <w:p>
            <w:pPr>
              <w:pStyle w:val="Compact"/>
              <w:jc w:val="right"/>
            </w:pPr>
            <w:r>
              <w:t xml:space="preserve">0.693</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11.640</w:t>
            </w:r>
          </w:p>
        </w:tc>
        <w:tc>
          <w:tcPr/>
          <w:p>
            <w:pPr>
              <w:pStyle w:val="Compact"/>
              <w:jc w:val="right"/>
            </w:pPr>
            <w:r>
              <w:t xml:space="preserve">1.207</w:t>
            </w:r>
          </w:p>
        </w:tc>
        <w:tc>
          <w:tcPr/>
          <w:p>
            <w:pPr>
              <w:pStyle w:val="Compact"/>
              <w:jc w:val="right"/>
            </w:pPr>
            <w:r>
              <w:t xml:space="preserve">0.911</w:t>
            </w:r>
          </w:p>
        </w:tc>
        <w:tc>
          <w:tcPr/>
          <w:p>
            <w:pPr>
              <w:pStyle w:val="Compact"/>
              <w:jc w:val="right"/>
            </w:pPr>
            <w:r>
              <w:t xml:space="preserve">1.598</w:t>
            </w:r>
          </w:p>
        </w:tc>
        <w:tc>
          <w:tcPr/>
          <w:p>
            <w:pPr>
              <w:pStyle w:val="Compact"/>
              <w:jc w:val="right"/>
            </w:pPr>
            <w:r>
              <w:t xml:space="preserve">0.161</w:t>
            </w:r>
          </w:p>
        </w:tc>
        <w:tc>
          <w:tcPr/>
          <w:p>
            <w:pPr>
              <w:pStyle w:val="Compact"/>
              <w:jc w:val="left"/>
            </w:pPr>
            <w:r>
              <w:t xml:space="preserve">p = 0.161</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98</w:t>
            </w:r>
          </w:p>
        </w:tc>
        <w:tc>
          <w:tcPr/>
          <w:p>
            <w:pPr>
              <w:pStyle w:val="Compact"/>
              <w:jc w:val="right"/>
            </w:pPr>
            <w:r>
              <w:t xml:space="preserve">0.636</w:t>
            </w:r>
          </w:p>
        </w:tc>
        <w:tc>
          <w:tcPr/>
          <w:p>
            <w:pPr>
              <w:pStyle w:val="Compact"/>
              <w:jc w:val="right"/>
            </w:pPr>
            <w:r>
              <w:t xml:space="preserve">0.558</w:t>
            </w:r>
          </w:p>
        </w:tc>
        <w:tc>
          <w:tcPr/>
          <w:p>
            <w:pPr>
              <w:pStyle w:val="Compact"/>
              <w:jc w:val="right"/>
            </w:pPr>
            <w:r>
              <w:t xml:space="preserve">0.708</w:t>
            </w:r>
          </w:p>
        </w:tc>
        <w:tc>
          <w:tcPr/>
          <w:p>
            <w:pPr>
              <w:pStyle w:val="Compact"/>
              <w:jc w:val="right"/>
            </w:pPr>
            <w:r>
              <w:t xml:space="preserve">7.386</w:t>
            </w:r>
          </w:p>
        </w:tc>
        <w:tc>
          <w:tcPr/>
          <w:p>
            <w:pPr>
              <w:pStyle w:val="Compact"/>
              <w:jc w:val="right"/>
            </w:pPr>
            <w:r>
              <w:t xml:space="preserve">1.131</w:t>
            </w:r>
          </w:p>
        </w:tc>
        <w:tc>
          <w:tcPr/>
          <w:p>
            <w:pPr>
              <w:pStyle w:val="Compact"/>
              <w:jc w:val="right"/>
            </w:pPr>
            <w:r>
              <w:t xml:space="preserve">0.858</w:t>
            </w:r>
          </w:p>
        </w:tc>
        <w:tc>
          <w:tcPr/>
          <w:p>
            <w:pPr>
              <w:pStyle w:val="Compact"/>
              <w:jc w:val="right"/>
            </w:pPr>
            <w:r>
              <w:t xml:space="preserve">1.492</w:t>
            </w:r>
          </w:p>
        </w:tc>
        <w:tc>
          <w:tcPr/>
          <w:p>
            <w:pPr>
              <w:pStyle w:val="Compact"/>
              <w:jc w:val="right"/>
            </w:pPr>
            <w:r>
              <w:t xml:space="preserve">0.358</w:t>
            </w:r>
          </w:p>
        </w:tc>
        <w:tc>
          <w:tcPr/>
          <w:p>
            <w:pPr>
              <w:pStyle w:val="Compact"/>
              <w:jc w:val="left"/>
            </w:pPr>
            <w:r>
              <w:t xml:space="preserve">p = 0.358</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6.541</w:t>
            </w:r>
          </w:p>
        </w:tc>
        <w:tc>
          <w:tcPr/>
          <w:p>
            <w:pPr>
              <w:pStyle w:val="Compact"/>
              <w:jc w:val="right"/>
            </w:pPr>
            <w:r>
              <w:t xml:space="preserve">1.116</w:t>
            </w:r>
          </w:p>
        </w:tc>
        <w:tc>
          <w:tcPr/>
          <w:p>
            <w:pPr>
              <w:pStyle w:val="Compact"/>
              <w:jc w:val="right"/>
            </w:pPr>
            <w:r>
              <w:t xml:space="preserve">0.841</w:t>
            </w:r>
          </w:p>
        </w:tc>
        <w:tc>
          <w:tcPr/>
          <w:p>
            <w:pPr>
              <w:pStyle w:val="Compact"/>
              <w:jc w:val="right"/>
            </w:pPr>
            <w:r>
              <w:t xml:space="preserve">1.481</w:t>
            </w:r>
          </w:p>
        </w:tc>
        <w:tc>
          <w:tcPr/>
          <w:p>
            <w:pPr>
              <w:pStyle w:val="Compact"/>
              <w:jc w:val="right"/>
            </w:pPr>
            <w:r>
              <w:t xml:space="preserve">0.428</w:t>
            </w:r>
          </w:p>
        </w:tc>
        <w:tc>
          <w:tcPr/>
          <w:p>
            <w:pPr>
              <w:pStyle w:val="Compact"/>
              <w:jc w:val="left"/>
            </w:pPr>
            <w:r>
              <w:t xml:space="preserve">p = 0.428</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0.568</w:t>
            </w:r>
          </w:p>
        </w:tc>
        <w:tc>
          <w:tcPr/>
          <w:p>
            <w:pPr>
              <w:pStyle w:val="Compact"/>
              <w:jc w:val="right"/>
            </w:pPr>
            <w:r>
              <w:t xml:space="preserve">1.010</w:t>
            </w:r>
          </w:p>
        </w:tc>
        <w:tc>
          <w:tcPr/>
          <w:p>
            <w:pPr>
              <w:pStyle w:val="Compact"/>
              <w:jc w:val="right"/>
            </w:pPr>
            <w:r>
              <w:t xml:space="preserve">0.742</w:t>
            </w:r>
          </w:p>
        </w:tc>
        <w:tc>
          <w:tcPr/>
          <w:p>
            <w:pPr>
              <w:pStyle w:val="Compact"/>
              <w:jc w:val="right"/>
            </w:pPr>
            <w:r>
              <w:t xml:space="preserve">1.376</w:t>
            </w:r>
          </w:p>
        </w:tc>
        <w:tc>
          <w:tcPr/>
          <w:p>
            <w:pPr>
              <w:pStyle w:val="Compact"/>
              <w:jc w:val="right"/>
            </w:pPr>
            <w:r>
              <w:t xml:space="preserve">0.949</w:t>
            </w:r>
          </w:p>
        </w:tc>
        <w:tc>
          <w:tcPr/>
          <w:p>
            <w:pPr>
              <w:pStyle w:val="Compact"/>
              <w:jc w:val="left"/>
            </w:pPr>
            <w:r>
              <w:t xml:space="preserve">p = 0.949</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38</w:t>
            </w:r>
          </w:p>
        </w:tc>
        <w:tc>
          <w:tcPr/>
          <w:p>
            <w:pPr>
              <w:pStyle w:val="Compact"/>
              <w:jc w:val="right"/>
            </w:pPr>
            <w:r>
              <w:t xml:space="preserve">0.567</w:t>
            </w:r>
          </w:p>
        </w:tc>
        <w:tc>
          <w:tcPr/>
          <w:p>
            <w:pPr>
              <w:pStyle w:val="Compact"/>
              <w:jc w:val="right"/>
            </w:pPr>
            <w:r>
              <w:t xml:space="preserve">0.448</w:t>
            </w:r>
          </w:p>
        </w:tc>
        <w:tc>
          <w:tcPr/>
          <w:p>
            <w:pPr>
              <w:pStyle w:val="Compact"/>
              <w:jc w:val="right"/>
            </w:pPr>
            <w:r>
              <w:t xml:space="preserve">0.679</w:t>
            </w:r>
          </w:p>
        </w:tc>
        <w:tc>
          <w:tcPr/>
          <w:p>
            <w:pPr>
              <w:pStyle w:val="Compact"/>
              <w:jc w:val="right"/>
            </w:pPr>
            <w:r>
              <w:t xml:space="preserve">0.466</w:t>
            </w:r>
          </w:p>
        </w:tc>
        <w:tc>
          <w:tcPr/>
          <w:p>
            <w:pPr>
              <w:pStyle w:val="Compact"/>
              <w:jc w:val="right"/>
            </w:pPr>
            <w:r>
              <w:t xml:space="preserve">1.008</w:t>
            </w:r>
          </w:p>
        </w:tc>
        <w:tc>
          <w:tcPr/>
          <w:p>
            <w:pPr>
              <w:pStyle w:val="Compact"/>
              <w:jc w:val="right"/>
            </w:pPr>
            <w:r>
              <w:t xml:space="preserve">0.728</w:t>
            </w:r>
          </w:p>
        </w:tc>
        <w:tc>
          <w:tcPr/>
          <w:p>
            <w:pPr>
              <w:pStyle w:val="Compact"/>
              <w:jc w:val="right"/>
            </w:pPr>
            <w:r>
              <w:t xml:space="preserve">1.396</w:t>
            </w:r>
          </w:p>
        </w:tc>
        <w:tc>
          <w:tcPr/>
          <w:p>
            <w:pPr>
              <w:pStyle w:val="Compact"/>
              <w:jc w:val="right"/>
            </w:pPr>
            <w:r>
              <w:t xml:space="preserve">0.960</w:t>
            </w:r>
          </w:p>
        </w:tc>
        <w:tc>
          <w:tcPr/>
          <w:p>
            <w:pPr>
              <w:pStyle w:val="Compact"/>
              <w:jc w:val="left"/>
            </w:pPr>
            <w:r>
              <w:t xml:space="preserve">p = 0.960</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44</w:t>
            </w:r>
          </w:p>
        </w:tc>
        <w:tc>
          <w:tcPr/>
          <w:p>
            <w:pPr>
              <w:pStyle w:val="Compact"/>
              <w:jc w:val="right"/>
            </w:pPr>
            <w:r>
              <w:t xml:space="preserve">0.484</w:t>
            </w:r>
          </w:p>
        </w:tc>
        <w:tc>
          <w:tcPr/>
          <w:p>
            <w:pPr>
              <w:pStyle w:val="Compact"/>
              <w:jc w:val="right"/>
            </w:pPr>
            <w:r>
              <w:t xml:space="preserve">0.384</w:t>
            </w:r>
          </w:p>
        </w:tc>
        <w:tc>
          <w:tcPr/>
          <w:p>
            <w:pPr>
              <w:pStyle w:val="Compact"/>
              <w:jc w:val="right"/>
            </w:pPr>
            <w:r>
              <w:t xml:space="preserve">0.585</w:t>
            </w:r>
          </w:p>
        </w:tc>
        <w:tc>
          <w:tcPr/>
          <w:p>
            <w:pPr>
              <w:pStyle w:val="Compact"/>
              <w:jc w:val="right"/>
            </w:pPr>
            <w:r>
              <w:t xml:space="preserve">-7.898</w:t>
            </w:r>
          </w:p>
        </w:tc>
        <w:tc>
          <w:tcPr/>
          <w:p>
            <w:pPr>
              <w:pStyle w:val="Compact"/>
              <w:jc w:val="right"/>
            </w:pPr>
            <w:r>
              <w:t xml:space="preserve">0.860</w:t>
            </w:r>
          </w:p>
        </w:tc>
        <w:tc>
          <w:tcPr/>
          <w:p>
            <w:pPr>
              <w:pStyle w:val="Compact"/>
              <w:jc w:val="right"/>
            </w:pPr>
            <w:r>
              <w:t xml:space="preserve">0.619</w:t>
            </w:r>
          </w:p>
        </w:tc>
        <w:tc>
          <w:tcPr/>
          <w:p>
            <w:pPr>
              <w:pStyle w:val="Compact"/>
              <w:jc w:val="right"/>
            </w:pPr>
            <w:r>
              <w:t xml:space="preserve">1.193</w:t>
            </w:r>
          </w:p>
        </w:tc>
        <w:tc>
          <w:tcPr/>
          <w:p>
            <w:pPr>
              <w:pStyle w:val="Compact"/>
              <w:jc w:val="right"/>
            </w:pPr>
            <w:r>
              <w:t xml:space="preserve">0.376</w:t>
            </w:r>
          </w:p>
        </w:tc>
        <w:tc>
          <w:tcPr/>
          <w:p>
            <w:pPr>
              <w:pStyle w:val="Compact"/>
              <w:jc w:val="left"/>
            </w:pPr>
            <w:r>
              <w:t xml:space="preserve">p = 0.376</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-9.583</w:t>
            </w:r>
          </w:p>
        </w:tc>
        <w:tc>
          <w:tcPr/>
          <w:p>
            <w:pPr>
              <w:pStyle w:val="Compact"/>
              <w:jc w:val="right"/>
            </w:pPr>
            <w:r>
              <w:t xml:space="preserve">0.830</w:t>
            </w:r>
          </w:p>
        </w:tc>
        <w:tc>
          <w:tcPr/>
          <w:p>
            <w:pPr>
              <w:pStyle w:val="Compact"/>
              <w:jc w:val="right"/>
            </w:pPr>
            <w:r>
              <w:t xml:space="preserve">0.556</w:t>
            </w:r>
          </w:p>
        </w:tc>
        <w:tc>
          <w:tcPr/>
          <w:p>
            <w:pPr>
              <w:pStyle w:val="Compact"/>
              <w:jc w:val="right"/>
            </w:pPr>
            <w:r>
              <w:t xml:space="preserve">1.237</w:t>
            </w:r>
          </w:p>
        </w:tc>
        <w:tc>
          <w:tcPr/>
          <w:p>
            <w:pPr>
              <w:pStyle w:val="Compact"/>
              <w:jc w:val="right"/>
            </w:pPr>
            <w:r>
              <w:t xml:space="preserve">0.355</w:t>
            </w:r>
          </w:p>
        </w:tc>
        <w:tc>
          <w:tcPr/>
          <w:p>
            <w:pPr>
              <w:pStyle w:val="Compact"/>
              <w:jc w:val="left"/>
            </w:pPr>
            <w:r>
              <w:t xml:space="preserve">p = 0.355</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2907"/>
        <w:gridCol w:w="2606"/>
        <w:gridCol w:w="2406"/>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ent_typeGeneral</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ent_typeFacial Plastics</w:t>
            </w:r>
          </w:p>
        </w:tc>
        <w:tc>
          <w:tcPr/>
          <w:p>
            <w:pPr>
              <w:pStyle w:val="Compact"/>
              <w:jc w:val="left"/>
            </w:pPr>
            <w:r>
              <w:t xml:space="preserve">0.90 (0.54-1.52)</w:t>
            </w:r>
          </w:p>
        </w:tc>
        <w:tc>
          <w:tcPr/>
          <w:p>
            <w:pPr>
              <w:pStyle w:val="Compact"/>
            </w:pPr>
          </w:p>
        </w:tc>
      </w:tr>
      <w:tr>
        <w:tc>
          <w:tcPr/>
          <w:p>
            <w:pPr>
              <w:pStyle w:val="Compact"/>
              <w:jc w:val="left"/>
            </w:pPr>
            <w:r>
              <w:t xml:space="preserve">p=0.706</w:t>
            </w:r>
          </w:p>
        </w:tc>
        <w:tc>
          <w:tcPr/>
          <w:p>
            <w:pPr>
              <w:pStyle w:val="Compact"/>
              <w:jc w:val="left"/>
            </w:pPr>
            <w:r>
              <w:t xml:space="preserve">1.07 (0.74-1.53)</w:t>
            </w:r>
          </w:p>
        </w:tc>
        <w:tc>
          <w:tcPr/>
          <w:p>
            <w:pPr>
              <w:pStyle w:val="Compact"/>
            </w:pPr>
          </w:p>
        </w:tc>
      </w:tr>
      <w:tr>
        <w:tc>
          <w:tcPr/>
          <w:p>
            <w:pPr>
              <w:pStyle w:val="Compact"/>
              <w:jc w:val="left"/>
            </w:pPr>
            <w:r>
              <w:t xml:space="preserve">p=0.724</w:t>
            </w:r>
          </w:p>
        </w:tc>
        <w:tc>
          <w:tcPr/>
          <w:p>
            <w:pPr>
              <w:pStyle w:val="Compact"/>
            </w:pPr>
          </w:p>
        </w:tc>
        <w:tc>
          <w:tcPr/>
          <w:p>
            <w:pPr>
              <w:pStyle w:val="Compact"/>
            </w:pPr>
          </w:p>
        </w:tc>
      </w:tr>
      <w:tr>
        <w:tc>
          <w:tcPr/>
          <w:p>
            <w:pPr>
              <w:pStyle w:val="Compact"/>
              <w:jc w:val="left"/>
            </w:pPr>
            <w:r>
              <w:t xml:space="preserve">ent_typeHead and Neck Cancer</w:t>
            </w:r>
          </w:p>
        </w:tc>
        <w:tc>
          <w:tcPr/>
          <w:p>
            <w:pPr>
              <w:pStyle w:val="Compact"/>
              <w:jc w:val="left"/>
            </w:pPr>
            <w:r>
              <w:t xml:space="preserve">0.83 (0.36-1.92)</w:t>
            </w:r>
          </w:p>
        </w:tc>
        <w:tc>
          <w:tcPr/>
          <w:p>
            <w:pPr>
              <w:pStyle w:val="Compact"/>
            </w:pPr>
          </w:p>
        </w:tc>
      </w:tr>
      <w:tr>
        <w:tc>
          <w:tcPr/>
          <w:p>
            <w:pPr>
              <w:pStyle w:val="Compact"/>
              <w:jc w:val="left"/>
            </w:pPr>
            <w:r>
              <w:t xml:space="preserve">p=0.669</w:t>
            </w:r>
          </w:p>
        </w:tc>
        <w:tc>
          <w:tcPr/>
          <w:p>
            <w:pPr>
              <w:pStyle w:val="Compact"/>
              <w:jc w:val="left"/>
            </w:pPr>
            <w:r>
              <w:t xml:space="preserve">1.30 (0.74-2.28)</w:t>
            </w:r>
          </w:p>
        </w:tc>
        <w:tc>
          <w:tcPr/>
          <w:p>
            <w:pPr>
              <w:pStyle w:val="Compact"/>
            </w:pPr>
          </w:p>
        </w:tc>
      </w:tr>
      <w:tr>
        <w:tc>
          <w:tcPr/>
          <w:p>
            <w:pPr>
              <w:pStyle w:val="Compact"/>
              <w:jc w:val="left"/>
            </w:pPr>
            <w:r>
              <w:t xml:space="preserve">p=0.364</w:t>
            </w:r>
          </w:p>
        </w:tc>
        <w:tc>
          <w:tcPr/>
          <w:p>
            <w:pPr>
              <w:pStyle w:val="Compact"/>
            </w:pPr>
          </w:p>
        </w:tc>
        <w:tc>
          <w:tcPr/>
          <w:p>
            <w:pPr>
              <w:pStyle w:val="Compact"/>
            </w:pPr>
          </w:p>
        </w:tc>
      </w:tr>
      <w:tr>
        <w:tc>
          <w:tcPr/>
          <w:p>
            <w:pPr>
              <w:pStyle w:val="Compact"/>
              <w:jc w:val="left"/>
            </w:pPr>
            <w:r>
              <w:t xml:space="preserve">ent_typeLaryngology</w:t>
            </w:r>
          </w:p>
        </w:tc>
        <w:tc>
          <w:tcPr/>
          <w:p>
            <w:pPr>
              <w:pStyle w:val="Compact"/>
              <w:jc w:val="left"/>
            </w:pPr>
            <w:r>
              <w:t xml:space="preserve">1.74 (0.50-6.07)</w:t>
            </w:r>
          </w:p>
        </w:tc>
        <w:tc>
          <w:tcPr/>
          <w:p>
            <w:pPr>
              <w:pStyle w:val="Compact"/>
            </w:pPr>
          </w:p>
        </w:tc>
      </w:tr>
      <w:tr>
        <w:tc>
          <w:tcPr/>
          <w:p>
            <w:pPr>
              <w:pStyle w:val="Compact"/>
              <w:jc w:val="left"/>
            </w:pPr>
            <w:r>
              <w:t xml:space="preserve">p=0.386</w:t>
            </w:r>
          </w:p>
        </w:tc>
        <w:tc>
          <w:tcPr/>
          <w:p>
            <w:pPr>
              <w:pStyle w:val="Compact"/>
              <w:jc w:val="left"/>
            </w:pPr>
            <w:r>
              <w:t xml:space="preserve">2.25 (1.14-4.47)</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ent_typeOtology/neurotology</w:t>
            </w:r>
          </w:p>
        </w:tc>
        <w:tc>
          <w:tcPr/>
          <w:p>
            <w:pPr>
              <w:pStyle w:val="Compact"/>
              <w:jc w:val="left"/>
            </w:pPr>
            <w:r>
              <w:t xml:space="preserve">0.49 (0.23-1.07)</w:t>
            </w:r>
          </w:p>
        </w:tc>
        <w:tc>
          <w:tcPr/>
          <w:p>
            <w:pPr>
              <w:pStyle w:val="Compact"/>
            </w:pPr>
          </w:p>
        </w:tc>
      </w:tr>
      <w:tr>
        <w:tc>
          <w:tcPr/>
          <w:p>
            <w:pPr>
              <w:pStyle w:val="Compact"/>
              <w:jc w:val="left"/>
            </w:pPr>
            <w:r>
              <w:t xml:space="preserve">p=0.072</w:t>
            </w:r>
          </w:p>
        </w:tc>
        <w:tc>
          <w:tcPr/>
          <w:p>
            <w:pPr>
              <w:pStyle w:val="Compact"/>
              <w:jc w:val="left"/>
            </w:pPr>
            <w:r>
              <w:t xml:space="preserve">1.31 (0.71-2.41)</w:t>
            </w:r>
          </w:p>
        </w:tc>
        <w:tc>
          <w:tcPr/>
          <w:p>
            <w:pPr>
              <w:pStyle w:val="Compact"/>
            </w:pPr>
          </w:p>
        </w:tc>
      </w:tr>
      <w:tr>
        <w:tc>
          <w:tcPr/>
          <w:p>
            <w:pPr>
              <w:pStyle w:val="Compact"/>
              <w:jc w:val="left"/>
            </w:pPr>
            <w:r>
              <w:t xml:space="preserve">p=0.386</w:t>
            </w:r>
          </w:p>
        </w:tc>
        <w:tc>
          <w:tcPr/>
          <w:p>
            <w:pPr>
              <w:pStyle w:val="Compact"/>
            </w:pPr>
          </w:p>
        </w:tc>
        <w:tc>
          <w:tcPr/>
          <w:p>
            <w:pPr>
              <w:pStyle w:val="Compact"/>
            </w:pPr>
          </w:p>
        </w:tc>
      </w:tr>
      <w:tr>
        <w:tc>
          <w:tcPr/>
          <w:p>
            <w:pPr>
              <w:pStyle w:val="Compact"/>
              <w:jc w:val="left"/>
            </w:pPr>
            <w:r>
              <w:t xml:space="preserve">ent_typePediatrics</w:t>
            </w:r>
          </w:p>
        </w:tc>
        <w:tc>
          <w:tcPr/>
          <w:p>
            <w:pPr>
              <w:pStyle w:val="Compact"/>
              <w:jc w:val="left"/>
            </w:pPr>
            <w:r>
              <w:t xml:space="preserve">2.27 (1.08-4.76)</w:t>
            </w:r>
          </w:p>
        </w:tc>
        <w:tc>
          <w:tcPr/>
          <w:p>
            <w:pPr>
              <w:pStyle w:val="Compact"/>
            </w:pPr>
          </w:p>
        </w:tc>
      </w:tr>
      <w:tr>
        <w:tc>
          <w:tcPr/>
          <w:p>
            <w:pPr>
              <w:pStyle w:val="Compact"/>
              <w:jc w:val="left"/>
            </w:pPr>
            <w:r>
              <w:t xml:space="preserve">p=0.031</w:t>
            </w:r>
          </w:p>
        </w:tc>
        <w:tc>
          <w:tcPr/>
          <w:p>
            <w:pPr>
              <w:pStyle w:val="Compact"/>
              <w:jc w:val="left"/>
            </w:pPr>
            <w:r>
              <w:t xml:space="preserve">1.63 (1.11-2.40)</w:t>
            </w:r>
          </w:p>
        </w:tc>
        <w:tc>
          <w:tcPr/>
          <w:p>
            <w:pPr>
              <w:pStyle w:val="Compact"/>
            </w:pPr>
          </w:p>
        </w:tc>
      </w:tr>
      <w:tr>
        <w:tc>
          <w:tcPr/>
          <w:p>
            <w:pPr>
              <w:pStyle w:val="Compact"/>
              <w:jc w:val="left"/>
            </w:pPr>
            <w:r>
              <w:t xml:space="preserve">p=0.013</w:t>
            </w:r>
          </w:p>
        </w:tc>
        <w:tc>
          <w:tcPr/>
          <w:p>
            <w:pPr>
              <w:pStyle w:val="Compact"/>
            </w:pPr>
          </w:p>
        </w:tc>
        <w:tc>
          <w:tcPr/>
          <w:p>
            <w:pPr>
              <w:pStyle w:val="Compact"/>
            </w:pPr>
          </w:p>
        </w:tc>
      </w:tr>
      <w:tr>
        <w:tc>
          <w:tcPr/>
          <w:p>
            <w:pPr>
              <w:pStyle w:val="Compact"/>
              <w:jc w:val="left"/>
            </w:pPr>
            <w:r>
              <w:t xml:space="preserve">ent_typeRhinology</w:t>
            </w:r>
          </w:p>
        </w:tc>
        <w:tc>
          <w:tcPr/>
          <w:p>
            <w:pPr>
              <w:pStyle w:val="Compact"/>
              <w:jc w:val="left"/>
            </w:pPr>
            <w:r>
              <w:t xml:space="preserve">2.11 (0.72-6.18)</w:t>
            </w:r>
          </w:p>
        </w:tc>
        <w:tc>
          <w:tcPr/>
          <w:p>
            <w:pPr>
              <w:pStyle w:val="Compact"/>
            </w:pPr>
          </w:p>
        </w:tc>
      </w:tr>
      <w:tr>
        <w:tc>
          <w:tcPr/>
          <w:p>
            <w:pPr>
              <w:pStyle w:val="Compact"/>
              <w:jc w:val="left"/>
            </w:pPr>
            <w:r>
              <w:t xml:space="preserve">p=0.174</w:t>
            </w:r>
          </w:p>
        </w:tc>
        <w:tc>
          <w:tcPr/>
          <w:p>
            <w:pPr>
              <w:pStyle w:val="Compact"/>
              <w:jc w:val="left"/>
            </w:pPr>
            <w:r>
              <w:t xml:space="preserve">1.57 (0.91-2.71)</w:t>
            </w:r>
          </w:p>
        </w:tc>
        <w:tc>
          <w:tcPr/>
          <w:p>
            <w:pPr>
              <w:pStyle w:val="Compact"/>
            </w:pPr>
          </w:p>
        </w:tc>
      </w:tr>
      <w:tr>
        <w:tc>
          <w:tcPr/>
          <w:p>
            <w:pPr>
              <w:pStyle w:val="Compact"/>
              <w:jc w:val="left"/>
            </w:pPr>
            <w:r>
              <w:t xml:space="preserve">p=0.108</w:t>
            </w:r>
          </w:p>
        </w:tc>
        <w:tc>
          <w:tcPr/>
          <w:p>
            <w:pPr>
              <w:pStyle w:val="Compact"/>
            </w:pPr>
          </w:p>
        </w:tc>
        <w:tc>
          <w:tcPr/>
          <w:p>
            <w:pPr>
              <w:pStyle w:val="Compact"/>
            </w:pPr>
          </w:p>
        </w:tc>
      </w:tr>
      <w:tr>
        <w:tc>
          <w:tcPr/>
          <w:p>
            <w:pPr>
              <w:pStyle w:val="Compact"/>
              <w:jc w:val="left"/>
            </w:pPr>
            <w:r>
              <w:t xml:space="preserve">ent_typeSleep</w:t>
            </w:r>
          </w:p>
        </w:tc>
        <w:tc>
          <w:tcPr/>
          <w:p>
            <w:pPr>
              <w:pStyle w:val="Compact"/>
              <w:jc w:val="left"/>
            </w:pPr>
            <w:r>
              <w:t xml:space="preserve">1.66 (0.55-5.01)</w:t>
            </w:r>
          </w:p>
        </w:tc>
        <w:tc>
          <w:tcPr/>
          <w:p>
            <w:pPr>
              <w:pStyle w:val="Compact"/>
            </w:pPr>
          </w:p>
        </w:tc>
      </w:tr>
      <w:tr>
        <w:tc>
          <w:tcPr/>
          <w:p>
            <w:pPr>
              <w:pStyle w:val="Compact"/>
              <w:jc w:val="left"/>
            </w:pPr>
            <w:r>
              <w:t xml:space="preserve">p=0.373</w:t>
            </w:r>
          </w:p>
        </w:tc>
        <w:tc>
          <w:tcPr/>
          <w:p>
            <w:pPr>
              <w:pStyle w:val="Compact"/>
              <w:jc w:val="left"/>
            </w:pPr>
            <w:r>
              <w:t xml:space="preserve">1.23 (0.65-2.34)</w:t>
            </w:r>
          </w:p>
        </w:tc>
        <w:tc>
          <w:tcPr/>
          <w:p>
            <w:pPr>
              <w:pStyle w:val="Compact"/>
            </w:pPr>
          </w:p>
        </w:tc>
      </w:tr>
      <w:tr>
        <w:tc>
          <w:tcPr/>
          <w:p>
            <w:pPr>
              <w:pStyle w:val="Compact"/>
              <w:jc w:val="left"/>
            </w:pPr>
            <w:r>
              <w:t xml:space="preserve">p=0.530</w:t>
            </w:r>
          </w:p>
        </w:tc>
        <w:tc>
          <w:tcPr/>
          <w:p>
            <w:pPr>
              <w:pStyle w:val="Compact"/>
            </w:pPr>
          </w:p>
        </w:tc>
        <w:tc>
          <w:tcPr/>
          <w:p>
            <w:pPr>
              <w:pStyle w:val="Compact"/>
            </w:pPr>
          </w:p>
        </w:tc>
      </w:tr>
      <w:tr>
        <w:tc>
          <w:tcPr/>
          <w:p>
            <w:pPr>
              <w:pStyle w:val="Compact"/>
              <w:jc w:val="left"/>
            </w:pPr>
            <w:r>
              <w:t xml:space="preserve">ent_per_100k_z</w:t>
            </w:r>
          </w:p>
        </w:tc>
        <w:tc>
          <w:tcPr/>
          <w:p>
            <w:pPr>
              <w:pStyle w:val="Compact"/>
              <w:jc w:val="left"/>
            </w:pPr>
            <w:r>
              <w:t xml:space="preserve">0.95 (0.81-1.12)</w:t>
            </w:r>
          </w:p>
        </w:tc>
        <w:tc>
          <w:tcPr/>
          <w:p>
            <w:pPr>
              <w:pStyle w:val="Compact"/>
            </w:pPr>
          </w:p>
        </w:tc>
      </w:tr>
      <w:tr>
        <w:tc>
          <w:tcPr/>
          <w:p>
            <w:pPr>
              <w:pStyle w:val="Compact"/>
              <w:jc w:val="left"/>
            </w:pPr>
            <w:r>
              <w:t xml:space="preserve">p=0.552</w:t>
            </w:r>
          </w:p>
        </w:tc>
        <w:tc>
          <w:tcPr/>
          <w:p>
            <w:pPr>
              <w:pStyle w:val="Compact"/>
              <w:jc w:val="left"/>
            </w:pPr>
            <w:r>
              <w:t xml:space="preserve">0.94 (0.82-1.09)</w:t>
            </w:r>
          </w:p>
        </w:tc>
        <w:tc>
          <w:tcPr/>
          <w:p>
            <w:pPr>
              <w:pStyle w:val="Compact"/>
            </w:pPr>
          </w:p>
        </w:tc>
      </w:tr>
      <w:tr>
        <w:tc>
          <w:tcPr/>
          <w:p>
            <w:pPr>
              <w:pStyle w:val="Compact"/>
              <w:jc w:val="left"/>
            </w:pPr>
            <w:r>
              <w:t xml:space="preserve">p=0.414</w:t>
            </w:r>
          </w:p>
        </w:tc>
        <w:tc>
          <w:tcPr/>
          <w:p>
            <w:pPr>
              <w:pStyle w:val="Compact"/>
            </w:pPr>
          </w:p>
        </w:tc>
        <w:tc>
          <w:tcPr/>
          <w:p>
            <w:pPr>
              <w:pStyle w:val="Compact"/>
            </w:pPr>
          </w:p>
        </w:tc>
      </w:tr>
      <w:tr>
        <w:tc>
          <w:tcPr/>
          <w:p>
            <w:pPr>
              <w:pStyle w:val="Compact"/>
              <w:jc w:val="left"/>
            </w:pPr>
            <w:r>
              <w:t xml:space="preserve">medicaid_fee_index_z</w:t>
            </w:r>
          </w:p>
        </w:tc>
        <w:tc>
          <w:tcPr/>
          <w:p>
            <w:pPr>
              <w:pStyle w:val="Compact"/>
              <w:jc w:val="left"/>
            </w:pPr>
            <w:r>
              <w:t xml:space="preserve">0.91 (0.77-1.07)</w:t>
            </w:r>
          </w:p>
        </w:tc>
        <w:tc>
          <w:tcPr/>
          <w:p>
            <w:pPr>
              <w:pStyle w:val="Compact"/>
            </w:pPr>
          </w:p>
        </w:tc>
      </w:tr>
      <w:tr>
        <w:tc>
          <w:tcPr/>
          <w:p>
            <w:pPr>
              <w:pStyle w:val="Compact"/>
              <w:jc w:val="left"/>
            </w:pPr>
            <w:r>
              <w:t xml:space="preserve">p=0.254</w:t>
            </w:r>
          </w:p>
        </w:tc>
        <w:tc>
          <w:tcPr/>
          <w:p>
            <w:pPr>
              <w:pStyle w:val="Compact"/>
              <w:jc w:val="left"/>
            </w:pPr>
            <w:r>
              <w:t xml:space="preserve">0.94 (0.83-1.07)</w:t>
            </w:r>
          </w:p>
        </w:tc>
        <w:tc>
          <w:tcPr/>
          <w:p>
            <w:pPr>
              <w:pStyle w:val="Compact"/>
            </w:pPr>
          </w:p>
        </w:tc>
      </w:tr>
      <w:tr>
        <w:tc>
          <w:tcPr/>
          <w:p>
            <w:pPr>
              <w:pStyle w:val="Compact"/>
              <w:jc w:val="left"/>
            </w:pPr>
            <w:r>
              <w:t xml:space="preserve">p=0.363</w:t>
            </w:r>
          </w:p>
        </w:tc>
        <w:tc>
          <w:tcPr/>
          <w:p>
            <w:pPr>
              <w:pStyle w:val="Compact"/>
            </w:pPr>
          </w:p>
        </w:tc>
        <w:tc>
          <w:tcPr/>
          <w:p>
            <w:pPr>
              <w:pStyle w:val="Compact"/>
            </w:pPr>
          </w:p>
        </w:tc>
      </w:tr>
      <w:tr>
        <w:tc>
          <w:tcPr/>
          <w:p>
            <w:pPr>
              <w:pStyle w:val="Compact"/>
              <w:jc w:val="left"/>
            </w:pPr>
            <w:r>
              <w:t xml:space="preserve">svi_overall_z</w:t>
            </w:r>
          </w:p>
        </w:tc>
        <w:tc>
          <w:tcPr/>
          <w:p>
            <w:pPr>
              <w:pStyle w:val="Compact"/>
              <w:jc w:val="left"/>
            </w:pPr>
            <w:r>
              <w:t xml:space="preserve">0.95 (0.80-1.13)</w:t>
            </w:r>
          </w:p>
        </w:tc>
        <w:tc>
          <w:tcPr/>
          <w:p>
            <w:pPr>
              <w:pStyle w:val="Compact"/>
            </w:pPr>
          </w:p>
        </w:tc>
      </w:tr>
      <w:tr>
        <w:tc>
          <w:tcPr/>
          <w:p>
            <w:pPr>
              <w:pStyle w:val="Compact"/>
              <w:jc w:val="left"/>
            </w:pPr>
            <w:r>
              <w:t xml:space="preserve">p=0.583</w:t>
            </w:r>
          </w:p>
        </w:tc>
        <w:tc>
          <w:tcPr/>
          <w:p>
            <w:pPr>
              <w:pStyle w:val="Compact"/>
              <w:jc w:val="left"/>
            </w:pPr>
            <w:r>
              <w:t xml:space="preserve">0.96 (0.85-1.08)</w:t>
            </w:r>
          </w:p>
        </w:tc>
        <w:tc>
          <w:tcPr/>
          <w:p>
            <w:pPr>
              <w:pStyle w:val="Compact"/>
            </w:pPr>
          </w:p>
        </w:tc>
      </w:tr>
      <w:tr>
        <w:tc>
          <w:tcPr/>
          <w:p>
            <w:pPr>
              <w:pStyle w:val="Compact"/>
              <w:jc w:val="left"/>
            </w:pPr>
            <w:r>
              <w:t xml:space="preserve">p=0.502</w:t>
            </w:r>
          </w:p>
        </w:tc>
        <w:tc>
          <w:tcPr/>
          <w:p>
            <w:pPr>
              <w:pStyle w:val="Compact"/>
            </w:pPr>
          </w:p>
        </w:tc>
        <w:tc>
          <w:tcPr/>
          <w:p>
            <w:pPr>
              <w:pStyle w:val="Compact"/>
            </w:pPr>
          </w:p>
        </w:tc>
      </w:tr>
      <w:tr>
        <w:tc>
          <w:tcPr/>
          <w:p>
            <w:pPr>
              <w:pStyle w:val="Compact"/>
              <w:jc w:val="left"/>
            </w:pPr>
            <w:r>
              <w:t xml:space="preserve">dual_pct_z</w:t>
            </w:r>
          </w:p>
        </w:tc>
        <w:tc>
          <w:tcPr/>
          <w:p>
            <w:pPr>
              <w:pStyle w:val="Compact"/>
              <w:jc w:val="left"/>
            </w:pPr>
            <w:r>
              <w:t xml:space="preserve">1.00 (0.83-1.19)</w:t>
            </w:r>
          </w:p>
        </w:tc>
        <w:tc>
          <w:tcPr/>
          <w:p>
            <w:pPr>
              <w:pStyle w:val="Compact"/>
            </w:pPr>
          </w:p>
        </w:tc>
      </w:tr>
      <w:tr>
        <w:tc>
          <w:tcPr/>
          <w:p>
            <w:pPr>
              <w:pStyle w:val="Compact"/>
              <w:jc w:val="left"/>
            </w:pPr>
            <w:r>
              <w:t xml:space="preserve">p=0.958</w:t>
            </w:r>
          </w:p>
        </w:tc>
        <w:tc>
          <w:tcPr/>
          <w:p>
            <w:pPr>
              <w:pStyle w:val="Compact"/>
              <w:jc w:val="left"/>
            </w:pPr>
            <w:r>
              <w:t xml:space="preserve">0.98 (0.86-1.11)</w:t>
            </w:r>
          </w:p>
        </w:tc>
        <w:tc>
          <w:tcPr/>
          <w:p>
            <w:pPr>
              <w:pStyle w:val="Compact"/>
            </w:pPr>
          </w:p>
        </w:tc>
      </w:tr>
      <w:tr>
        <w:tc>
          <w:tcPr/>
          <w:p>
            <w:pPr>
              <w:pStyle w:val="Compact"/>
              <w:jc w:val="left"/>
            </w:pPr>
            <w:r>
              <w:t xml:space="preserve">p=0.729</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ruralRural</w:t>
            </w:r>
          </w:p>
        </w:tc>
        <w:tc>
          <w:tcPr/>
          <w:p>
            <w:pPr>
              <w:pStyle w:val="Compact"/>
              <w:jc w:val="left"/>
            </w:pPr>
            <w:r>
              <w:t xml:space="preserve">1.02 (0.71-1.46)</w:t>
            </w:r>
          </w:p>
        </w:tc>
        <w:tc>
          <w:tcPr/>
          <w:p>
            <w:pPr>
              <w:pStyle w:val="Compact"/>
            </w:pPr>
          </w:p>
        </w:tc>
      </w:tr>
      <w:tr>
        <w:tc>
          <w:tcPr/>
          <w:p>
            <w:pPr>
              <w:pStyle w:val="Compact"/>
              <w:jc w:val="left"/>
            </w:pPr>
            <w:r>
              <w:t xml:space="preserve">p=0.922</w:t>
            </w:r>
          </w:p>
        </w:tc>
        <w:tc>
          <w:tcPr/>
          <w:p>
            <w:pPr>
              <w:pStyle w:val="Compact"/>
              <w:jc w:val="left"/>
            </w:pPr>
            <w:r>
              <w:t xml:space="preserve">1.17 (0.90-1.51)</w:t>
            </w:r>
          </w:p>
        </w:tc>
        <w:tc>
          <w:tcPr/>
          <w:p>
            <w:pPr>
              <w:pStyle w:val="Compact"/>
            </w:pPr>
          </w:p>
        </w:tc>
      </w:tr>
      <w:tr>
        <w:tc>
          <w:tcPr/>
          <w:p>
            <w:pPr>
              <w:pStyle w:val="Compact"/>
              <w:jc w:val="left"/>
            </w:pPr>
            <w:r>
              <w:t xml:space="preserve">p=0.242</w:t>
            </w:r>
          </w:p>
        </w:tc>
        <w:tc>
          <w:tcPr/>
          <w:p>
            <w:pPr>
              <w:pStyle w:val="Compact"/>
            </w:pPr>
          </w:p>
        </w:tc>
        <w:tc>
          <w:tcPr/>
          <w:p>
            <w:pPr>
              <w:pStyle w:val="Compact"/>
            </w:pPr>
          </w:p>
        </w:tc>
      </w:tr>
      <w:tr>
        <w:tc>
          <w:tcPr/>
          <w:p>
            <w:pPr>
              <w:pStyle w:val="Compact"/>
              <w:jc w:val="left"/>
            </w:pPr>
            <w:r>
              <w:t xml:space="preserve">caller_fRoesch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caller_fDeol</w:t>
            </w:r>
          </w:p>
        </w:tc>
        <w:tc>
          <w:tcPr/>
          <w:p>
            <w:pPr>
              <w:pStyle w:val="Compact"/>
              <w:jc w:val="left"/>
            </w:pPr>
            <w:r>
              <w:t xml:space="preserve">2.34 (1.42-3.85)</w:t>
            </w:r>
          </w:p>
        </w:tc>
        <w:tc>
          <w:tcPr/>
          <w:p>
            <w:pPr>
              <w:pStyle w:val="Compact"/>
            </w:pPr>
          </w:p>
        </w:tc>
      </w:tr>
      <w:tr>
        <w:tc>
          <w:tcPr/>
          <w:p>
            <w:pPr>
              <w:pStyle w:val="Compact"/>
              <w:jc w:val="left"/>
            </w:pPr>
            <w:r>
              <w:t xml:space="preserve">p=&lt; 0.001</w:t>
            </w:r>
          </w:p>
        </w:tc>
        <w:tc>
          <w:tcPr/>
          <w:p>
            <w:pPr>
              <w:pStyle w:val="Compact"/>
              <w:jc w:val="left"/>
            </w:pPr>
            <w:r>
              <w:t xml:space="preserve">0.82 (0.59-1.13)</w:t>
            </w:r>
          </w:p>
        </w:tc>
        <w:tc>
          <w:tcPr/>
          <w:p>
            <w:pPr>
              <w:pStyle w:val="Compact"/>
            </w:pPr>
          </w:p>
        </w:tc>
      </w:tr>
      <w:tr>
        <w:tc>
          <w:tcPr/>
          <w:p>
            <w:pPr>
              <w:pStyle w:val="Compact"/>
              <w:jc w:val="left"/>
            </w:pPr>
            <w:r>
              <w:t xml:space="preserve">p=0.225</w:t>
            </w:r>
          </w:p>
        </w:tc>
        <w:tc>
          <w:tcPr/>
          <w:p>
            <w:pPr>
              <w:pStyle w:val="Compact"/>
            </w:pPr>
          </w:p>
        </w:tc>
        <w:tc>
          <w:tcPr/>
          <w:p>
            <w:pPr>
              <w:pStyle w:val="Compact"/>
            </w:pPr>
          </w:p>
        </w:tc>
      </w:tr>
      <w:tr>
        <w:tc>
          <w:tcPr/>
          <w:p>
            <w:pPr>
              <w:pStyle w:val="Compact"/>
              <w:jc w:val="left"/>
            </w:pPr>
            <w:r>
              <w:t xml:space="preserve">caller_fFalk</w:t>
            </w:r>
          </w:p>
        </w:tc>
        <w:tc>
          <w:tcPr/>
          <w:p>
            <w:pPr>
              <w:pStyle w:val="Compact"/>
              <w:jc w:val="left"/>
            </w:pPr>
            <w:r>
              <w:t xml:space="preserve">2.00 (1.13-3.52)</w:t>
            </w:r>
          </w:p>
        </w:tc>
        <w:tc>
          <w:tcPr/>
          <w:p>
            <w:pPr>
              <w:pStyle w:val="Compact"/>
            </w:pPr>
          </w:p>
        </w:tc>
      </w:tr>
      <w:tr>
        <w:tc>
          <w:tcPr/>
          <w:p>
            <w:pPr>
              <w:pStyle w:val="Compact"/>
              <w:jc w:val="left"/>
            </w:pPr>
            <w:r>
              <w:t xml:space="preserve">p=0.017</w:t>
            </w:r>
          </w:p>
        </w:tc>
        <w:tc>
          <w:tcPr/>
          <w:p>
            <w:pPr>
              <w:pStyle w:val="Compact"/>
              <w:jc w:val="left"/>
            </w:pPr>
            <w:r>
              <w:t xml:space="preserve">0.62 (0.42-0.91)</w:t>
            </w:r>
          </w:p>
        </w:tc>
        <w:tc>
          <w:tcPr/>
          <w:p>
            <w:pPr>
              <w:pStyle w:val="Compact"/>
            </w:pPr>
          </w:p>
        </w:tc>
      </w:tr>
      <w:tr>
        <w:tc>
          <w:tcPr/>
          <w:p>
            <w:pPr>
              <w:pStyle w:val="Compact"/>
              <w:jc w:val="left"/>
            </w:pPr>
            <w:r>
              <w:t xml:space="preserve">p=0.014</w:t>
            </w:r>
          </w:p>
        </w:tc>
        <w:tc>
          <w:tcPr/>
          <w:p>
            <w:pPr>
              <w:pStyle w:val="Compact"/>
            </w:pPr>
          </w:p>
        </w:tc>
        <w:tc>
          <w:tcPr/>
          <w:p>
            <w:pPr>
              <w:pStyle w:val="Compact"/>
            </w:pPr>
          </w:p>
        </w:tc>
      </w:tr>
      <w:tr>
        <w:tc>
          <w:tcPr/>
          <w:p>
            <w:pPr>
              <w:pStyle w:val="Compact"/>
              <w:jc w:val="left"/>
            </w:pPr>
            <w:r>
              <w:t xml:space="preserve">caller_fGregg</w:t>
            </w:r>
          </w:p>
        </w:tc>
        <w:tc>
          <w:tcPr/>
          <w:p>
            <w:pPr>
              <w:pStyle w:val="Compact"/>
              <w:jc w:val="left"/>
            </w:pPr>
            <w:r>
              <w:t xml:space="preserve">1.89 (1.15-3.12)</w:t>
            </w:r>
          </w:p>
        </w:tc>
        <w:tc>
          <w:tcPr/>
          <w:p>
            <w:pPr>
              <w:pStyle w:val="Compact"/>
            </w:pPr>
          </w:p>
        </w:tc>
      </w:tr>
      <w:tr>
        <w:tc>
          <w:tcPr/>
          <w:p>
            <w:pPr>
              <w:pStyle w:val="Compact"/>
              <w:jc w:val="left"/>
            </w:pPr>
            <w:r>
              <w:t xml:space="preserve">p=0.012</w:t>
            </w:r>
          </w:p>
        </w:tc>
        <w:tc>
          <w:tcPr/>
          <w:p>
            <w:pPr>
              <w:pStyle w:val="Compact"/>
              <w:jc w:val="left"/>
            </w:pPr>
            <w:r>
              <w:t xml:space="preserve">0.90 (0.64-1.25)</w:t>
            </w:r>
          </w:p>
        </w:tc>
        <w:tc>
          <w:tcPr/>
          <w:p>
            <w:pPr>
              <w:pStyle w:val="Compact"/>
            </w:pPr>
          </w:p>
        </w:tc>
      </w:tr>
      <w:tr>
        <w:tc>
          <w:tcPr/>
          <w:p>
            <w:pPr>
              <w:pStyle w:val="Compact"/>
              <w:jc w:val="left"/>
            </w:pPr>
            <w:r>
              <w:t xml:space="preserve">p=0.528</w:t>
            </w:r>
          </w:p>
        </w:tc>
        <w:tc>
          <w:tcPr/>
          <w:p>
            <w:pPr>
              <w:pStyle w:val="Compact"/>
            </w:pPr>
          </w:p>
        </w:tc>
        <w:tc>
          <w:tcPr/>
          <w:p>
            <w:pPr>
              <w:pStyle w:val="Compact"/>
            </w:pPr>
          </w:p>
        </w:tc>
      </w:tr>
      <w:tr>
        <w:tc>
          <w:tcPr/>
          <w:p>
            <w:pPr>
              <w:pStyle w:val="Compact"/>
              <w:jc w:val="left"/>
            </w:pPr>
            <w:r>
              <w:t xml:space="preserve">caller_fKim</w:t>
            </w:r>
          </w:p>
        </w:tc>
        <w:tc>
          <w:tcPr/>
          <w:p>
            <w:pPr>
              <w:pStyle w:val="Compact"/>
              <w:jc w:val="left"/>
            </w:pPr>
            <w:r>
              <w:t xml:space="preserve">1.98 (1.20-3.27)</w:t>
            </w:r>
          </w:p>
        </w:tc>
        <w:tc>
          <w:tcPr/>
          <w:p>
            <w:pPr>
              <w:pStyle w:val="Compact"/>
            </w:pPr>
          </w:p>
        </w:tc>
      </w:tr>
      <w:tr>
        <w:tc>
          <w:tcPr/>
          <w:p>
            <w:pPr>
              <w:pStyle w:val="Compact"/>
              <w:jc w:val="left"/>
            </w:pPr>
            <w:r>
              <w:t xml:space="preserve">p=0.007</w:t>
            </w:r>
          </w:p>
        </w:tc>
        <w:tc>
          <w:tcPr/>
          <w:p>
            <w:pPr>
              <w:pStyle w:val="Compact"/>
              <w:jc w:val="left"/>
            </w:pPr>
            <w:r>
              <w:t xml:space="preserve">0.98 (0.70-1.38)</w:t>
            </w:r>
          </w:p>
        </w:tc>
        <w:tc>
          <w:tcPr/>
          <w:p>
            <w:pPr>
              <w:pStyle w:val="Compact"/>
            </w:pPr>
          </w:p>
        </w:tc>
      </w:tr>
      <w:tr>
        <w:tc>
          <w:tcPr/>
          <w:p>
            <w:pPr>
              <w:pStyle w:val="Compact"/>
              <w:jc w:val="left"/>
            </w:pPr>
            <w:r>
              <w:t xml:space="preserve">p=0.899</w:t>
            </w:r>
          </w:p>
        </w:tc>
        <w:tc>
          <w:tcPr/>
          <w:p>
            <w:pPr>
              <w:pStyle w:val="Compact"/>
            </w:pPr>
          </w:p>
        </w:tc>
        <w:tc>
          <w:tcPr/>
          <w:p>
            <w:pPr>
              <w:pStyle w:val="Compact"/>
            </w:pPr>
          </w:p>
        </w:tc>
      </w:tr>
      <w:tr>
        <w:tc>
          <w:tcPr/>
          <w:p>
            <w:pPr>
              <w:pStyle w:val="Compact"/>
              <w:jc w:val="left"/>
            </w:pPr>
            <w:r>
              <w:t xml:space="preserve">caller_fOther</w:t>
            </w:r>
          </w:p>
        </w:tc>
        <w:tc>
          <w:tcPr/>
          <w:p>
            <w:pPr>
              <w:pStyle w:val="Compact"/>
              <w:jc w:val="left"/>
            </w:pPr>
            <w:r>
              <w:t xml:space="preserve">0.50 (0.14-1.73)</w:t>
            </w:r>
          </w:p>
        </w:tc>
        <w:tc>
          <w:tcPr/>
          <w:p>
            <w:pPr>
              <w:pStyle w:val="Compact"/>
            </w:pPr>
          </w:p>
        </w:tc>
      </w:tr>
      <w:tr>
        <w:tc>
          <w:tcPr/>
          <w:p>
            <w:pPr>
              <w:pStyle w:val="Compact"/>
              <w:jc w:val="left"/>
            </w:pPr>
            <w:r>
              <w:t xml:space="preserve">p=0.274</w:t>
            </w:r>
          </w:p>
        </w:tc>
        <w:tc>
          <w:tcPr/>
          <w:p>
            <w:pPr>
              <w:pStyle w:val="Compact"/>
              <w:jc w:val="left"/>
            </w:pPr>
            <w:r>
              <w:t xml:space="preserve">0.66 (0.23-1.87)</w:t>
            </w:r>
          </w:p>
        </w:tc>
        <w:tc>
          <w:tcPr/>
          <w:p>
            <w:pPr>
              <w:pStyle w:val="Compact"/>
            </w:pPr>
          </w:p>
        </w:tc>
      </w:tr>
      <w:tr>
        <w:tc>
          <w:tcPr/>
          <w:p>
            <w:pPr>
              <w:pStyle w:val="Compact"/>
              <w:jc w:val="left"/>
            </w:pPr>
            <w:r>
              <w:t xml:space="preserve">p=0.434</w:t>
            </w:r>
          </w:p>
        </w:tc>
        <w:tc>
          <w:tcPr/>
          <w:p>
            <w:pPr>
              <w:pStyle w:val="Compact"/>
            </w:pPr>
          </w:p>
        </w:tc>
        <w:tc>
          <w:tcPr/>
          <w:p>
            <w:pPr>
              <w:pStyle w:val="Compact"/>
            </w:pPr>
          </w:p>
        </w:tc>
      </w:tr>
      <w:tr>
        <w:tc>
          <w:tcPr/>
          <w:p>
            <w:pPr>
              <w:pStyle w:val="Compact"/>
              <w:jc w:val="left"/>
            </w:pPr>
            <w:r>
              <w:t xml:space="preserve">caller_fWalsh</w:t>
            </w:r>
          </w:p>
        </w:tc>
        <w:tc>
          <w:tcPr/>
          <w:p>
            <w:pPr>
              <w:pStyle w:val="Compact"/>
              <w:jc w:val="left"/>
            </w:pPr>
            <w:r>
              <w:t xml:space="preserve">2.24 (1.37-3.66)</w:t>
            </w:r>
          </w:p>
        </w:tc>
        <w:tc>
          <w:tcPr/>
          <w:p>
            <w:pPr>
              <w:pStyle w:val="Compact"/>
            </w:pPr>
          </w:p>
        </w:tc>
      </w:tr>
      <w:tr>
        <w:tc>
          <w:tcPr/>
          <w:p>
            <w:pPr>
              <w:pStyle w:val="Compact"/>
              <w:jc w:val="left"/>
            </w:pPr>
            <w:r>
              <w:t xml:space="preserve">p=0.001</w:t>
            </w:r>
          </w:p>
        </w:tc>
        <w:tc>
          <w:tcPr/>
          <w:p>
            <w:pPr>
              <w:pStyle w:val="Compact"/>
              <w:jc w:val="left"/>
            </w:pPr>
            <w:r>
              <w:t xml:space="preserve">0.88 (0.64-1.22)</w:t>
            </w:r>
          </w:p>
        </w:tc>
        <w:tc>
          <w:tcPr/>
          <w:p>
            <w:pPr>
              <w:pStyle w:val="Compact"/>
            </w:pPr>
          </w:p>
        </w:tc>
      </w:tr>
      <w:tr>
        <w:tc>
          <w:tcPr/>
          <w:p>
            <w:pPr>
              <w:pStyle w:val="Compact"/>
              <w:jc w:val="left"/>
            </w:pPr>
            <w:r>
              <w:t xml:space="preserve">p=0.456</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429</w:t>
            </w:r>
          </w:p>
        </w:tc>
      </w:tr>
      <w:tr>
        <w:tc>
          <w:tcPr/>
          <w:p>
            <w:pPr>
              <w:pStyle w:val="Compact"/>
              <w:jc w:val="left"/>
            </w:pPr>
            <w:r>
              <w:t xml:space="preserve">AIC</w:t>
            </w:r>
          </w:p>
        </w:tc>
        <w:tc>
          <w:tcPr/>
          <w:p>
            <w:pPr>
              <w:pStyle w:val="Compact"/>
              <w:jc w:val="left"/>
            </w:pPr>
            <w:r>
              <w:t xml:space="preserve">989.3</w:t>
            </w:r>
          </w:p>
        </w:tc>
        <w:tc>
          <w:tcPr/>
          <w:p>
            <w:pPr>
              <w:pStyle w:val="Compact"/>
              <w:jc w:val="left"/>
            </w:pPr>
            <w:r>
              <w:t xml:space="preserve">3534.7</w:t>
            </w:r>
          </w:p>
        </w:tc>
      </w:tr>
    </w:tbl>
    <w:bookmarkEnd w:id="41"/>
    <w:bookmarkStart w:id="60"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148666"/>
            <wp:effectExtent b="0" l="0" r="0" t="0"/>
            <wp:docPr descr="" title="" id="43" name="Picture"/>
            <a:graphic>
              <a:graphicData uri="http://schemas.openxmlformats.org/drawingml/2006/picture">
                <pic:pic>
                  <pic:nvPicPr>
                    <pic:cNvPr descr="model_output/supp/figS1_km_time_to_appointment.png" id="44" name="Picture"/>
                    <pic:cNvPicPr>
                      <a:picLocks noChangeArrowheads="1" noChangeAspect="1"/>
                    </pic:cNvPicPr>
                  </pic:nvPicPr>
                  <pic:blipFill>
                    <a:blip r:embed="rId42"/>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46" name="Picture"/>
            <a:graphic>
              <a:graphicData uri="http://schemas.openxmlformats.org/drawingml/2006/picture">
                <pic:pic>
                  <pic:nvPicPr>
                    <pic:cNvPr descr="model_output/supp/figS2_wait_distribution.png" id="47" name="Picture"/>
                    <pic:cNvPicPr>
                      <a:picLocks noChangeArrowheads="1" noChangeAspect="1"/>
                    </pic:cNvPicPr>
                  </pic:nvPicPr>
                  <pic:blipFill>
                    <a:blip r:embed="rId4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49" name="Picture"/>
            <a:graphic>
              <a:graphicData uri="http://schemas.openxmlformats.org/drawingml/2006/picture">
                <pic:pic>
                  <pic:nvPicPr>
                    <pic:cNvPr descr="model_output/supp/figS3_nb_diagnostics.png" id="50" name="Picture"/>
                    <pic:cNvPicPr>
                      <a:picLocks noChangeArrowheads="1" noChangeAspect="1"/>
                    </pic:cNvPicPr>
                  </pic:nvPicPr>
                  <pic:blipFill>
                    <a:blip r:embed="rId4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2" name="Picture"/>
            <a:graphic>
              <a:graphicData uri="http://schemas.openxmlformats.org/drawingml/2006/picture">
                <pic:pic>
                  <pic:nvPicPr>
                    <pic:cNvPr descr="model_output/supp/figS4_choropleth_offer_rate.png" id="53" name="Picture"/>
                    <pic:cNvPicPr>
                      <a:picLocks noChangeArrowheads="1" noChangeAspect="1"/>
                    </pic:cNvPicPr>
                  </pic:nvPicPr>
                  <pic:blipFill>
                    <a:blip r:embed="rId5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55" name="Picture"/>
            <a:graphic>
              <a:graphicData uri="http://schemas.openxmlformats.org/drawingml/2006/picture">
                <pic:pic>
                  <pic:nvPicPr>
                    <pic:cNvPr descr="model_output/supp/figS4_choropleth_median_wait.png" id="56" name="Picture"/>
                    <pic:cNvPicPr>
                      <a:picLocks noChangeArrowheads="1" noChangeAspect="1"/>
                    </pic:cNvPicPr>
                  </pic:nvPicPr>
                  <pic:blipFill>
                    <a:blip r:embed="rId5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58" name="Picture"/>
            <a:graphic>
              <a:graphicData uri="http://schemas.openxmlformats.org/drawingml/2006/picture">
                <pic:pic>
                  <pic:nvPicPr>
                    <pic:cNvPr descr="model_output/supp/figS4b_offer_rate_by_state.png" id="59" name="Picture"/>
                    <pic:cNvPicPr>
                      <a:picLocks noChangeArrowheads="1" noChangeAspect="1"/>
                    </pic:cNvPicPr>
                  </pic:nvPicPr>
                  <pic:blipFill>
                    <a:blip r:embed="rId57"/>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w:t>
      </w:r>
    </w:p>
    <w:p>
      <w:r>
        <w:br w:type="page"/>
      </w:r>
    </w:p>
    <w:bookmarkEnd w:id="60"/>
    <w:bookmarkEnd w:id="61"/>
    <w:bookmarkStart w:id="79" w:name="references"/>
    <w:p>
      <w:pPr>
        <w:pStyle w:val="Heading1"/>
      </w:pPr>
      <w:r>
        <w:t xml:space="preserve">References</w:t>
      </w:r>
    </w:p>
    <w:bookmarkStart w:id="78" w:name="refs"/>
    <w:bookmarkStart w:id="62" w:name="ref-PLACEHOLDER_access"/>
    <w:p>
      <w:pPr>
        <w:pStyle w:val="Bibliography"/>
      </w:pPr>
      <w:r>
        <w:t xml:space="preserve">1.</w:t>
      </w:r>
      <w:r>
        <w:t xml:space="preserve"> </w:t>
      </w:r>
      <w:r>
        <w:t xml:space="preserve">	</w:t>
      </w:r>
      <w:r>
        <w:t xml:space="preserve">A. Author, B. Author. [PLACEHOLDER] prior mystery-caller study of specialty access.</w:t>
      </w:r>
      <w:r>
        <w:t xml:space="preserve"> </w:t>
      </w:r>
      <w:r>
        <w:rPr>
          <w:i/>
          <w:iCs/>
        </w:rPr>
        <w:t xml:space="preserve">[Journal]</w:t>
      </w:r>
      <w:r>
        <w:t xml:space="preserve">. Published online 2020.</w:t>
      </w:r>
    </w:p>
    <w:bookmarkEnd w:id="62"/>
    <w:bookmarkStart w:id="63" w:name="ref-PLACEHOLDER_ent_supply"/>
    <w:p>
      <w:pPr>
        <w:pStyle w:val="Bibliography"/>
      </w:pPr>
      <w:r>
        <w:t xml:space="preserve">2.</w:t>
      </w:r>
      <w:r>
        <w:t xml:space="preserve"> </w:t>
      </w:r>
      <w:r>
        <w:t xml:space="preserve">	</w:t>
      </w:r>
      <w:r>
        <w:t xml:space="preserve">C. Author. [PLACEHOLDER] geographic distribution of the otolaryngology workforce.</w:t>
      </w:r>
      <w:r>
        <w:t xml:space="preserve"> </w:t>
      </w:r>
      <w:r>
        <w:rPr>
          <w:i/>
          <w:iCs/>
        </w:rPr>
        <w:t xml:space="preserve">[Journal]</w:t>
      </w:r>
      <w:r>
        <w:t xml:space="preserve">. Published online 2021.</w:t>
      </w:r>
    </w:p>
    <w:bookmarkEnd w:id="63"/>
    <w:bookmarkStart w:id="64" w:name="ref-kfffee"/>
    <w:p>
      <w:pPr>
        <w:pStyle w:val="Bibliography"/>
      </w:pPr>
      <w:r>
        <w:t xml:space="preserve">3.</w:t>
      </w:r>
      <w:r>
        <w:t xml:space="preserve"> </w:t>
      </w:r>
      <w:r>
        <w:t xml:space="preserve">	</w:t>
      </w:r>
      <w:r>
        <w:t xml:space="preserve">Kaiser Family Foundation. Medicaid-to-medicare fee index. Published online 2024.</w:t>
      </w:r>
    </w:p>
    <w:bookmarkEnd w:id="64"/>
    <w:bookmarkStart w:id="65" w:name="ref-cdcsvi"/>
    <w:p>
      <w:pPr>
        <w:pStyle w:val="Bibliography"/>
      </w:pPr>
      <w:r>
        <w:t xml:space="preserve">4.</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65"/>
    <w:bookmarkStart w:id="67" w:name="ref-emmeans"/>
    <w:p>
      <w:pPr>
        <w:pStyle w:val="Bibliography"/>
      </w:pPr>
      <w:r>
        <w:t xml:space="preserve">5.</w:t>
      </w:r>
      <w:r>
        <w:t xml:space="preserve"> </w:t>
      </w:r>
      <w:r>
        <w:t xml:space="preserve">	</w:t>
      </w:r>
      <w:r>
        <w:t xml:space="preserve">Russell V. Lenth.</w:t>
      </w:r>
      <w:r>
        <w:t xml:space="preserve"> </w:t>
      </w:r>
      <w:r>
        <w:rPr>
          <w:i/>
          <w:iCs/>
        </w:rPr>
        <w:t xml:space="preserve">Emmeans: Estimated Marginal Means, Aka Least-Squares Means</w:t>
      </w:r>
      <w:r>
        <w:t xml:space="preserve">. 2024.</w:t>
      </w:r>
      <w:r>
        <w:t xml:space="preserve"> </w:t>
      </w:r>
      <w:hyperlink r:id="rId66">
        <w:r>
          <w:rPr>
            <w:rStyle w:val="Hyperlink"/>
          </w:rPr>
          <w:t xml:space="preserve">https://CRAN.R-project.org/package=emmeans</w:t>
        </w:r>
      </w:hyperlink>
    </w:p>
    <w:bookmarkEnd w:id="67"/>
    <w:bookmarkStart w:id="69" w:name="ref-rcoreteam"/>
    <w:p>
      <w:pPr>
        <w:pStyle w:val="Bibliography"/>
      </w:pPr>
      <w:r>
        <w:t xml:space="preserve">6.</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68">
        <w:r>
          <w:rPr>
            <w:rStyle w:val="Hyperlink"/>
          </w:rPr>
          <w:t xml:space="preserve">https://www.R-project.org/</w:t>
        </w:r>
      </w:hyperlink>
    </w:p>
    <w:bookmarkEnd w:id="69"/>
    <w:bookmarkStart w:id="71" w:name="ref-glmmTMB"/>
    <w:p>
      <w:pPr>
        <w:pStyle w:val="Bibliography"/>
      </w:pPr>
      <w:r>
        <w:t xml:space="preserve">7.</w:t>
      </w:r>
      <w:r>
        <w:t xml:space="preserve"> </w:t>
      </w:r>
      <w:r>
        <w:t xml:space="preserve">	</w:t>
      </w:r>
      <w:r>
        <w:t xml:space="preserve">Mollie E. Brooks, Kasper Kristensen, Koen J. van Benthem, Arni Magnusson, Casper W. Berg, Anders Nielsen, Hans J. Skaug, Martin Maechler, Benjamin M. Bolker.</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70">
        <w:r>
          <w:rPr>
            <w:rStyle w:val="Hyperlink"/>
          </w:rPr>
          <w:t xml:space="preserve">10.32614/RJ-2017-066</w:t>
        </w:r>
      </w:hyperlink>
    </w:p>
    <w:bookmarkEnd w:id="71"/>
    <w:bookmarkStart w:id="73" w:name="ref-strobe"/>
    <w:p>
      <w:pPr>
        <w:pStyle w:val="Bibliography"/>
      </w:pPr>
      <w:r>
        <w:t xml:space="preserve">8.</w:t>
      </w:r>
      <w:r>
        <w:t xml:space="preserve"> </w:t>
      </w:r>
      <w:r>
        <w:t xml:space="preserve">	</w:t>
      </w:r>
      <w:r>
        <w:t xml:space="preserve">Erik von Elm, Douglas G. Altman, Matthias Egger, Stuart J. Pocock, Peter C. Gøtzsche, Jan P. Vandenbroucke.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72">
        <w:r>
          <w:rPr>
            <w:rStyle w:val="Hyperlink"/>
          </w:rPr>
          <w:t xml:space="preserve">10.7326/0003-4819-147-8-200710160-00010</w:t>
        </w:r>
      </w:hyperlink>
    </w:p>
    <w:bookmarkEnd w:id="73"/>
    <w:bookmarkStart w:id="75" w:name="ref-corbisiero2024"/>
    <w:p>
      <w:pPr>
        <w:pStyle w:val="Bibliography"/>
      </w:pPr>
      <w:r>
        <w:t xml:space="preserve">9.</w:t>
      </w:r>
      <w:r>
        <w:t xml:space="preserve"> </w:t>
      </w:r>
      <w:r>
        <w:t xml:space="preserve">	</w:t>
      </w:r>
      <w:r>
        <w:t xml:space="preserve">Michaele Francesco Corbisiero, Tyler M. Muffly, Drew C. Gottman, Madeline Olson, Yasmine Hachicha, Elizabeth Garcia-Creighton, Natalie Gallego, Maryam Elsayed, Sophia Ahmed, Cristina Cabrera-Muffly. Insurance status and access to otolaryngology care: National mystery caller study in the united states.</w:t>
      </w:r>
      <w:r>
        <w:t xml:space="preserve"> </w:t>
      </w:r>
      <w:r>
        <w:rPr>
          <w:i/>
          <w:iCs/>
        </w:rPr>
        <w:t xml:space="preserve">Otolaryngology–Head and Neck Surgery</w:t>
      </w:r>
      <w:r>
        <w:t xml:space="preserve">. 2024;171(1):98-108. doi:</w:t>
      </w:r>
      <w:hyperlink r:id="rId74">
        <w:r>
          <w:rPr>
            <w:rStyle w:val="Hyperlink"/>
          </w:rPr>
          <w:t xml:space="preserve">10.1002/ohn.752</w:t>
        </w:r>
      </w:hyperlink>
    </w:p>
    <w:bookmarkEnd w:id="75"/>
    <w:bookmarkStart w:id="77" w:name="ref-saeedi2025"/>
    <w:p>
      <w:pPr>
        <w:pStyle w:val="Bibliography"/>
      </w:pPr>
      <w:r>
        <w:t xml:space="preserve">10.</w:t>
      </w:r>
      <w:r>
        <w:t xml:space="preserve"> </w:t>
      </w:r>
      <w:r>
        <w:t xml:space="preserve">	</w:t>
      </w:r>
      <w:r>
        <w:t xml:space="preserve">Arman Saeedi, Tyler Muffly, Michaele Francesco Corbisiero, G. Burnet, J. Huang, B. D. Abell, E. Moore, A. Saatchi, A. Ai, B. Asare, L. Maly, Drew C. Gottman, Andrew J. Tompkins, Cristina Cabrera-Muffly. Referral conundrum: Wait times for subspecialists versus comprehensive otolaryngologists in the united states.</w:t>
      </w:r>
      <w:r>
        <w:t xml:space="preserve"> </w:t>
      </w:r>
      <w:r>
        <w:rPr>
          <w:i/>
          <w:iCs/>
        </w:rPr>
        <w:t xml:space="preserve">Cureus</w:t>
      </w:r>
      <w:r>
        <w:t xml:space="preserve">. 2025;17(9):e91744. doi:</w:t>
      </w:r>
      <w:hyperlink r:id="rId76">
        <w:r>
          <w:rPr>
            <w:rStyle w:val="Hyperlink"/>
          </w:rPr>
          <w:t xml:space="preserve">10.7759/cureus.91744</w:t>
        </w:r>
      </w:hyperlink>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hyperlink" Id="rId66" Target="https://CRAN.R-project.org/package=emmeans" TargetMode="External" /><Relationship Type="http://schemas.openxmlformats.org/officeDocument/2006/relationships/hyperlink" Id="rId74" Target="https://doi.org/10.1002/ohn.752" TargetMode="External" /><Relationship Type="http://schemas.openxmlformats.org/officeDocument/2006/relationships/hyperlink" Id="rId70" Target="https://doi.org/10.32614/RJ-2017-066" TargetMode="External" /><Relationship Type="http://schemas.openxmlformats.org/officeDocument/2006/relationships/hyperlink" Id="rId72" Target="https://doi.org/10.7326/0003-4819-147-8-200710160-00010" TargetMode="External" /><Relationship Type="http://schemas.openxmlformats.org/officeDocument/2006/relationships/hyperlink" Id="rId76" Target="https://doi.org/10.7759/cureus.91744" TargetMode="External" /><Relationship Type="http://schemas.openxmlformats.org/officeDocument/2006/relationships/hyperlink" Id="rId68"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6" Target="https://CRAN.R-project.org/package=emmeans" TargetMode="External" /><Relationship Type="http://schemas.openxmlformats.org/officeDocument/2006/relationships/hyperlink" Id="rId74" Target="https://doi.org/10.1002/ohn.752" TargetMode="External" /><Relationship Type="http://schemas.openxmlformats.org/officeDocument/2006/relationships/hyperlink" Id="rId70" Target="https://doi.org/10.32614/RJ-2017-066" TargetMode="External" /><Relationship Type="http://schemas.openxmlformats.org/officeDocument/2006/relationships/hyperlink" Id="rId72" Target="https://doi.org/10.7326/0003-4819-147-8-200710160-00010" TargetMode="External" /><Relationship Type="http://schemas.openxmlformats.org/officeDocument/2006/relationships/hyperlink" Id="rId76" Target="https://doi.org/10.7759/cureus.91744" TargetMode="External" /><Relationship Type="http://schemas.openxmlformats.org/officeDocument/2006/relationships/hyperlink" Id="rId68"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[Author list]</dc:creator>
  <cp:keywords/>
  <dcterms:created xsi:type="dcterms:W3CDTF">2026-07-16T03:34:39Z</dcterms:created>
  <dcterms:modified xsi:type="dcterms:W3CDTF">2026-07-16T03:34:39Z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