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3.png" ContentType="image/png"/>
  <Override PartName="/word/media/rId41.png" ContentType="image/png"/>
  <Override PartName="/word/media/rId44.png" ContentType="image/png"/>
  <Override PartName="/word/media/rId47.png" ContentType="image/png"/>
  <Override PartName="/word/media/rId53.png" ContentType="image/png"/>
  <Override PartName="/word/media/rId5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Subspecialty and Geographic Determinants of New-Patient Appointment Access and Wait Times in Otolaryngology: A National Mystery-Caller Study</w:t>
      </w:r>
    </w:p>
    <w:p>
      <w:pPr>
        <w:pStyle w:val="Author"/>
      </w:pPr>
      <w:r>
        <w:t xml:space="preserve">[Author list]</w:t>
      </w:r>
    </w:p>
    <w:p>
      <w:pPr>
        <w:pStyle w:val="Date"/>
      </w:pPr>
      <w:r>
        <w:t xml:space="preserve">July 2026</w:t>
      </w:r>
    </w:p>
    <w:bookmarkStart w:id="20" w:name="abstract"/>
    <w:p>
      <w:pPr>
        <w:pStyle w:val="Heading2"/>
      </w:pPr>
      <w:r>
        <w:t xml:space="preserve">Abstract</w:t>
      </w:r>
    </w:p>
    <w:p>
      <w:pPr>
        <w:pStyle w:val="FirstParagraph"/>
      </w:pPr>
      <w:r>
        <w:rPr>
          <w:b/>
          <w:bCs/>
        </w:rPr>
        <w:t xml:space="preserve">Objective.</w:t>
      </w:r>
      <w:r>
        <w:t xml:space="preserve"> </w:t>
      </w:r>
      <w:r>
        <w:t xml:space="preserve">To quantify subspecialty- and geography-related disparities in access to and timeliness of otolaryngology (ENT) care in the United States using a national simulated-patient design.</w:t>
      </w:r>
    </w:p>
    <w:p>
      <w:pPr>
        <w:pStyle w:val="BodyText"/>
      </w:pPr>
      <w:r>
        <w:rPr>
          <w:b/>
          <w:bCs/>
        </w:rPr>
        <w:t xml:space="preserve">Methods.</w:t>
      </w:r>
      <w:r>
        <w:t xml:space="preserve"> </w:t>
      </w:r>
      <w:r>
        <w:t xml:space="preserve">In a cross-sectional mystery-caller study, trained callers requested new-patient appointments from a national sample of board-certified otolaryngologists using subspecialty-matched scripts. We modeled two outcomes with a two-part (hurdle) approach: appointment</w:t>
      </w:r>
      <w:r>
        <w:t xml:space="preserve"> </w:t>
      </w:r>
      <w:r>
        <w:rPr>
          <w:i/>
          <w:iCs/>
        </w:rPr>
        <w:t xml:space="preserve">offer</w:t>
      </w:r>
      <w:r>
        <w:t xml:space="preserve"> </w:t>
      </w:r>
      <w:r>
        <w:t xml:space="preserve">(mixed-effects logistic regression) and</w:t>
      </w:r>
      <w:r>
        <w:t xml:space="preserve"> </w:t>
      </w:r>
      <w:r>
        <w:rPr>
          <w:i/>
          <w:iCs/>
        </w:rPr>
        <w:t xml:space="preserve">business-day wait</w:t>
      </w:r>
      <w:r>
        <w:t xml:space="preserve"> </w:t>
      </w:r>
      <w:r>
        <w:t xml:space="preserve">among offers (mixed-effects negative binomial regression), each adjusting for requested subspecialty, county ENT supply, the state Medicaid fee index, social vulnerability, dual-eligibility, and rurality, with a core-based statistical area random intercept.</w:t>
      </w:r>
    </w:p>
    <w:p>
      <w:pPr>
        <w:pStyle w:val="BodyText"/>
      </w:pPr>
      <w:r>
        <w:rPr>
          <w:b/>
          <w:bCs/>
        </w:rPr>
        <w:t xml:space="preserve">Results.</w:t>
      </w:r>
      <w:r>
        <w:t xml:space="preserve"> </w:t>
      </w:r>
      <w:r>
        <w:t xml:space="preserve">Of 960 calls, 731 complete calls with a known subspecialty were analyzed; an appointment was offered in 433 (59.2%), with a median wait of 14 business days (IQR 5–30). Requested subspecialty was the dominant determinant: pediatric otolaryngology had higher odds of an offer (OR 2.26 (95% CI 1.08–4.75; p = 0.031)), and waits were longer for laryngology (IRR 2.25 (95% CI 1.13–4.46; p = 0.020)) and pediatric otolaryngology (IRR 1.54 (95% CI 1.04–2.28; p = 0.031)). No geographic covariate—supply, Medicaid fee generosity, social vulnerability, dual-eligibility, or rurality—was associated with either outcome.</w:t>
      </w:r>
    </w:p>
    <w:p>
      <w:pPr>
        <w:pStyle w:val="BodyText"/>
      </w:pPr>
      <w:r>
        <w:rPr>
          <w:b/>
          <w:bCs/>
        </w:rPr>
        <w:t xml:space="preserve">Conclusions.</w:t>
      </w:r>
      <w:r>
        <w:t xml:space="preserve"> </w:t>
      </w:r>
      <w:r>
        <w:t xml:space="preserve">New-patient access to otolaryngology care is shaped more by the requested subspecialty than by local physician supply, insurance generosity, social vulnerability, or rurality. Getting an appointment and being seen promptly are distinct dimensions that diverge by subspecialty.</w:t>
      </w:r>
    </w:p>
    <w:bookmarkEnd w:id="20"/>
    <w:bookmarkStart w:id="21" w:name="introduction"/>
    <w:p>
      <w:pPr>
        <w:pStyle w:val="Heading2"/>
      </w:pPr>
      <w:r>
        <w:t xml:space="preserve">Introduction</w:t>
      </w:r>
    </w:p>
    <w:p>
      <w:pPr>
        <w:pStyle w:val="FirstParagraph"/>
      </w:pPr>
      <w:r>
        <w:t xml:space="preserve">Otolaryngologic conditions—from chronic rhinosinusitis and otitis media to airway disorders and head-and-neck malignancy—are among the most common reasons patients seek specialty care, and for many of these conditions timely evaluation influences diagnosis and outcome</w:t>
      </w:r>
      <w:hyperlink w:anchor="ref-PLACEHOLDER_access">
        <w:r>
          <w:rPr>
            <w:rStyle w:val="Hyperlink"/>
            <w:vertAlign w:val="superscript"/>
          </w:rPr>
          <w:t xml:space="preserve">1</w:t>
        </w:r>
      </w:hyperlink>
      <w:r>
        <w:t xml:space="preserve">. Whether a new patient can actually reach an otolaryngologist, however, is not guaranteed by the presence of physicians in a region; it depends on whether an office will offer an appointment and, if so, how long the patient must wait.</w:t>
      </w:r>
    </w:p>
    <w:p>
      <w:pPr>
        <w:pStyle w:val="BodyText"/>
      </w:pPr>
      <w:r>
        <w:t xml:space="preserve">Access to specialty care thus has two distinct dimensions that are often conflated:</w:t>
      </w:r>
      <w:r>
        <w:t xml:space="preserve"> </w:t>
      </w:r>
      <w:r>
        <w:rPr>
          <w:i/>
          <w:iCs/>
        </w:rPr>
        <w:t xml:space="preserve">availability</w:t>
      </w:r>
      <w:r>
        <w:t xml:space="preserve">—whether a new-patient appointment is offered at all—and</w:t>
      </w:r>
      <w:r>
        <w:t xml:space="preserve"> </w:t>
      </w:r>
      <w:r>
        <w:rPr>
          <w:i/>
          <w:iCs/>
        </w:rPr>
        <w:t xml:space="preserve">timeliness</w:t>
      </w:r>
      <w:r>
        <w:t xml:space="preserve">—how quickly the patient is seen. These dimensions can move independently: an office that readily books new patients may nonetheless carry a long queue, and measuring only one can mislead. Administrative and survey data capture both imperfectly, reflecting patients who have already navigated the system and remaining subject to recall and reporting bias.</w:t>
      </w:r>
    </w:p>
    <w:p>
      <w:pPr>
        <w:pStyle w:val="BodyText"/>
      </w:pPr>
      <w:r>
        <w:t xml:space="preserve">Simulated-patient (</w:t>
      </w:r>
      <w:r>
        <w:t xml:space="preserve">“mystery caller”</w:t>
      </w:r>
      <w:r>
        <w:t xml:space="preserve">) studies address this gap by having trained callers pose as new patients and request appointments under a standardized script, directly measuring the experience a real patient would encounter</w:t>
      </w:r>
      <w:hyperlink w:anchor="ref-PLACEHOLDER_access">
        <w:r>
          <w:rPr>
            <w:rStyle w:val="Hyperlink"/>
            <w:vertAlign w:val="superscript"/>
          </w:rPr>
          <w:t xml:space="preserve">1</w:t>
        </w:r>
      </w:hyperlink>
      <w:r>
        <w:t xml:space="preserve">. The design has been applied across specialties to reveal access barriers invisible in claims data. Within otolaryngology, the determinants of new-patient access remain incompletely characterized. Two classes of determinant are plausible: the</w:t>
      </w:r>
      <w:r>
        <w:t xml:space="preserve"> </w:t>
      </w:r>
      <w:r>
        <w:rPr>
          <w:i/>
          <w:iCs/>
        </w:rPr>
        <w:t xml:space="preserve">clinical</w:t>
      </w:r>
      <w:r>
        <w:t xml:space="preserve"> </w:t>
      </w:r>
      <w:r>
        <w:t xml:space="preserve">nature of the request—the requested subspecialty (general otolaryngology versus pediatric otolaryngology, laryngology, head-and-neck oncology, and others)—and the</w:t>
      </w:r>
      <w:r>
        <w:t xml:space="preserve"> </w:t>
      </w:r>
      <w:r>
        <w:rPr>
          <w:i/>
          <w:iCs/>
        </w:rPr>
        <w:t xml:space="preserve">contextual</w:t>
      </w:r>
      <w:r>
        <w:t xml:space="preserve"> </w:t>
      </w:r>
      <w:r>
        <w:t xml:space="preserve">environment of the practice—local physician supply, the generosity of the state Medicaid fee schedule, community social vulnerability, the share of dual-eligible beneficiaries, and rurality</w:t>
      </w:r>
      <w:hyperlink w:anchor="ref-PLACEHOLDER_ent_supply">
        <w:r>
          <w:rPr>
            <w:rStyle w:val="Hyperlink"/>
            <w:vertAlign w:val="superscript"/>
          </w:rPr>
          <w:t xml:space="preserve">2</w:t>
        </w:r>
      </w:hyperlink>
      <w:r>
        <w:t xml:space="preserve">.</w:t>
      </w:r>
    </w:p>
    <w:p>
      <w:pPr>
        <w:pStyle w:val="BodyText"/>
      </w:pPr>
      <w:r>
        <w:t xml:space="preserve">We conducted a national mystery-caller study of board-certified otolaryngologists to quantify how the requested subspecialty and the geographic-contextual environment relate to (1) whether a new-patient appointment is offered and (2) the business-day wait when one is offered. To keep these two dimensions of access distinct, we analyzed them with a two-part model.</w:t>
      </w:r>
    </w:p>
    <w:bookmarkEnd w:id="21"/>
    <w:bookmarkStart w:id="26" w:name="methods"/>
    <w:p>
      <w:pPr>
        <w:pStyle w:val="Heading2"/>
      </w:pPr>
      <w:r>
        <w:t xml:space="preserve">Methods</w:t>
      </w:r>
    </w:p>
    <w:bookmarkStart w:id="22" w:name="study-design-and-sample"/>
    <w:p>
      <w:pPr>
        <w:pStyle w:val="Heading3"/>
      </w:pPr>
      <w:r>
        <w:t xml:space="preserve">Study design and sample</w:t>
      </w:r>
    </w:p>
    <w:p>
      <w:pPr>
        <w:pStyle w:val="FirstParagraph"/>
      </w:pPr>
      <w:r>
        <w:t xml:space="preserve">We conducted a cross-sectional, simulated-patient (</w:t>
      </w:r>
      <w:r>
        <w:t xml:space="preserve">“mystery caller”</w:t>
      </w:r>
      <w:r>
        <w:t xml:space="preserve">) study of access to otolaryngology (ENT) care in the United States. Trained callers telephoned a national sample of practicing, board-certified otolaryngologists and, following a standardized script, requested a new-patient appointment for a subspecialty-matched chief complaint. Each sampled physician was contacted once.</w:t>
      </w:r>
      <w:r>
        <w:t xml:space="preserve"> </w:t>
      </w:r>
      <w:r>
        <w:rPr>
          <w:i/>
          <w:iCs/>
        </w:rPr>
        <w:t xml:space="preserve">[Describe the sampling frame and its size, the number and timing of call attempts before a call was recorded as unreachable, the scripted chief complaints, caller training, and the study period.]</w:t>
      </w:r>
      <w:r>
        <w:t xml:space="preserve"> </w:t>
      </w:r>
      <w:r>
        <w:t xml:space="preserve">The protocol was</w:t>
      </w:r>
      <w:r>
        <w:t xml:space="preserve"> </w:t>
      </w:r>
      <w:r>
        <w:rPr>
          <w:i/>
          <w:iCs/>
        </w:rPr>
        <w:t xml:space="preserve">[reviewed/deemed exempt]</w:t>
      </w:r>
      <w:r>
        <w:t xml:space="preserve"> </w:t>
      </w:r>
      <w:r>
        <w:t xml:space="preserve">by the</w:t>
      </w:r>
      <w:r>
        <w:t xml:space="preserve"> </w:t>
      </w:r>
      <w:r>
        <w:rPr>
          <w:i/>
          <w:iCs/>
        </w:rPr>
        <w:t xml:space="preserve">[institution]</w:t>
      </w:r>
      <w:r>
        <w:t xml:space="preserve"> </w:t>
      </w:r>
      <w:r>
        <w:t xml:space="preserve">Institutional Review Board.</w:t>
      </w:r>
    </w:p>
    <w:p>
      <w:pPr>
        <w:pStyle w:val="BodyText"/>
      </w:pPr>
      <w:r>
        <w:t xml:space="preserve">Analyses were restricted to calls with a completed data-collection record and a determinable physician subspecialty. This study did not manipulate patient insurance; the exposures of interest were the requested subspecialty and the geographic context of the practice.</w:t>
      </w:r>
    </w:p>
    <w:bookmarkEnd w:id="22"/>
    <w:bookmarkStart w:id="23" w:name="outcomes"/>
    <w:p>
      <w:pPr>
        <w:pStyle w:val="Heading3"/>
      </w:pPr>
      <w:r>
        <w:t xml:space="preserve">Outcomes</w:t>
      </w:r>
    </w:p>
    <w:p>
      <w:pPr>
        <w:pStyle w:val="FirstParagraph"/>
      </w:pPr>
      <w:r>
        <w:t xml:space="preserve">Two outcomes were analyzed as a two-part (hurdle) process. The first,</w:t>
      </w:r>
      <w:r>
        <w:t xml:space="preserve"> </w:t>
      </w:r>
      <w:r>
        <w:rPr>
          <w:i/>
          <w:iCs/>
        </w:rPr>
        <w:t xml:space="preserve">access</w:t>
      </w:r>
      <w:r>
        <w:t xml:space="preserve">, was whether the office offered a new-patient appointment with the sampled physician (binary). The second,</w:t>
      </w:r>
      <w:r>
        <w:t xml:space="preserve"> </w:t>
      </w:r>
      <w:r>
        <w:rPr>
          <w:i/>
          <w:iCs/>
        </w:rPr>
        <w:t xml:space="preserve">timeliness</w:t>
      </w:r>
      <w:r>
        <w:t xml:space="preserve">, was the number of</w:t>
      </w:r>
      <w:r>
        <w:t xml:space="preserve"> </w:t>
      </w:r>
      <w:r>
        <w:rPr>
          <w:b/>
          <w:bCs/>
        </w:rPr>
        <w:t xml:space="preserve">business days</w:t>
      </w:r>
      <w:r>
        <w:t xml:space="preserve"> </w:t>
      </w:r>
      <w:r>
        <w:t xml:space="preserve">from the call to the next available appointment, counted excluding weekends and U.S. federal holidays, and defined only for calls in which an appointment was offered.</w:t>
      </w:r>
    </w:p>
    <w:bookmarkEnd w:id="23"/>
    <w:bookmarkStart w:id="24" w:name="geographic-covariates"/>
    <w:p>
      <w:pPr>
        <w:pStyle w:val="Heading3"/>
      </w:pPr>
      <w:r>
        <w:t xml:space="preserve">Geographic covariates</w:t>
      </w:r>
    </w:p>
    <w:p>
      <w:pPr>
        <w:pStyle w:val="FirstParagraph"/>
      </w:pPr>
      <w:r>
        <w:t xml:space="preserve">Each practice was linked to contextual covariates by practice ZIP code and state. County was assigned from a 2020 Census ZCTA-to-county crosswalk (dominant county by land area). Covariates comprised: county otolaryngologist supply per 100,000 population; the state Medicaid-to-Medicare fee index (Kaiser Family Foundation, 2024, all services)</w:t>
      </w:r>
      <w:hyperlink w:anchor="ref-kfffee">
        <w:r>
          <w:rPr>
            <w:rStyle w:val="Hyperlink"/>
            <w:vertAlign w:val="superscript"/>
          </w:rPr>
          <w:t xml:space="preserve">3</w:t>
        </w:r>
      </w:hyperlink>
      <w:r>
        <w:t xml:space="preserve">; the CDC/ATSDR Social Vulnerability Index (SVI, 2022, tract-level, population-weighted to the practice ZIP)</w:t>
      </w:r>
      <w:hyperlink w:anchor="ref-cdcsvi">
        <w:r>
          <w:rPr>
            <w:rStyle w:val="Hyperlink"/>
            <w:vertAlign w:val="superscript"/>
          </w:rPr>
          <w:t xml:space="preserve">4</w:t>
        </w:r>
      </w:hyperlink>
      <w:r>
        <w:t xml:space="preserve">; the county fraction of Medicare beneficiaries dual-eligible for Medicaid (CMS); metropolitan hospital-market concentration (Herfindahl–Hirschman Index [HHI], KFF 2024; available for metropolitan areas only); rurality (RUCA-based urban/suburban/rural); and the American Academy of Otolaryngology–Head and Neck Surgery (AAO-HNS) Board of Governors region.</w:t>
      </w:r>
    </w:p>
    <w:bookmarkEnd w:id="24"/>
    <w:bookmarkStart w:id="25" w:name="statistical-analysis"/>
    <w:p>
      <w:pPr>
        <w:pStyle w:val="Heading3"/>
      </w:pPr>
      <w:r>
        <w:t xml:space="preserve">Statistical analysis</w:t>
      </w:r>
    </w:p>
    <w:p>
      <w:pPr>
        <w:pStyle w:val="FirstParagraph"/>
      </w:pPr>
      <w:r>
        <w:t xml:space="preserve">Because business-day wait time is observed only when an appointment is offered, we modeled access and timeliness separately to avoid conditioning wait-time estimates on the offer.</w:t>
      </w:r>
      <w:r>
        <w:t xml:space="preserve"> </w:t>
      </w:r>
      <w:r>
        <w:rPr>
          <w:i/>
          <w:iCs/>
        </w:rPr>
        <w:t xml:space="preserve">Access</w:t>
      </w:r>
      <w:r>
        <w:t xml:space="preserve"> </w:t>
      </w:r>
      <w:r>
        <w:t xml:space="preserve">was modeled with a mixed-effects logistic regression over all analytic calls;</w:t>
      </w:r>
      <w:r>
        <w:t xml:space="preserve"> </w:t>
      </w:r>
      <w:r>
        <w:rPr>
          <w:i/>
          <w:iCs/>
        </w:rPr>
        <w:t xml:space="preserve">timeliness</w:t>
      </w:r>
      <w:r>
        <w:t xml:space="preserve"> </w:t>
      </w:r>
      <w:r>
        <w:t xml:space="preserve">with a mixed-effects negative binomial regression over the offered subset. The negative binomial distribution was selected over Poisson on the basis of substantial overdispersion (Pearson φ = 6.22). Both models included a random intercept for core-based statistical area (CBSA; county FIPS where CBSA was undefined) to account for within-market correlation, and adjusted for the requested subspecialty (reference: general otolaryngology), county ENT supply, Medicaid fee index, SVI, dual-eligible fraction, and rurality (reference: urban). The identity of the caller (research assistant) was included as a fixed nuisance term. Continuous covariates were standardized and, for the few missing values (&lt;3%), median-imputed.</w:t>
      </w:r>
    </w:p>
    <w:p>
      <w:pPr>
        <w:pStyle w:val="BodyText"/>
      </w:pPr>
      <w:r>
        <w:t xml:space="preserve">Effects are reported as odds ratios (access) and incidence rate ratios (timeliness) with 95% Wald confidence intervals. Pairwise differences between subspecialties were estimated with Tukey-adjusted estimated marginal means</w:t>
      </w:r>
      <w:hyperlink w:anchor="ref-emmeans">
        <w:r>
          <w:rPr>
            <w:rStyle w:val="Hyperlink"/>
            <w:vertAlign w:val="superscript"/>
          </w:rPr>
          <w:t xml:space="preserve">5</w:t>
        </w:r>
      </w:hyperlink>
      <w:r>
        <w:t xml:space="preserve">. Effect modification of the geographic covariates by subspecialty was tested by likelihood-ratio tests. Market-level clustering was summarized by the intraclass correlation coefficient (ICC). Because the HHI is defined only in metropolitan areas, its association with timeliness was assessed in a sensitivity model restricted to the metropolitan subset. Whether call incompleteness was related to the measured covariates was assessed with chi-square and Wilcoxon rank-sum tests. Analyses used R 4.4.2</w:t>
      </w:r>
      <w:hyperlink w:anchor="ref-rcoreteam">
        <w:r>
          <w:rPr>
            <w:rStyle w:val="Hyperlink"/>
            <w:vertAlign w:val="superscript"/>
          </w:rPr>
          <w:t xml:space="preserve">6</w:t>
        </w:r>
      </w:hyperlink>
      <w:r>
        <w:t xml:space="preserve"> </w:t>
      </w:r>
      <w:r>
        <w:t xml:space="preserve">(packages</w:t>
      </w:r>
      <w:r>
        <w:t xml:space="preserve"> </w:t>
      </w:r>
      <w:r>
        <w:rPr>
          <w:rStyle w:val="VerbatimChar"/>
        </w:rPr>
        <w:t xml:space="preserve">glmmTMB</w:t>
      </w:r>
      <w:hyperlink w:anchor="ref-glmmTMB">
        <w:r>
          <w:rPr>
            <w:rStyle w:val="Hyperlink"/>
            <w:vertAlign w:val="superscript"/>
          </w:rPr>
          <w:t xml:space="preserve">7</w:t>
        </w:r>
      </w:hyperlink>
      <w:r>
        <w:t xml:space="preserve">,</w:t>
      </w:r>
      <w:r>
        <w:t xml:space="preserve"> </w:t>
      </w:r>
      <w:r>
        <w:rPr>
          <w:rStyle w:val="VerbatimChar"/>
        </w:rPr>
        <w:t xml:space="preserve">emmeans</w:t>
      </w:r>
      <w:hyperlink w:anchor="ref-emmeans">
        <w:r>
          <w:rPr>
            <w:rStyle w:val="Hyperlink"/>
            <w:vertAlign w:val="superscript"/>
          </w:rPr>
          <w:t xml:space="preserve">5</w:t>
        </w:r>
      </w:hyperlink>
      <w:r>
        <w:t xml:space="preserve">, and the study package</w:t>
      </w:r>
      <w:r>
        <w:t xml:space="preserve"> </w:t>
      </w:r>
      <w:r>
        <w:rPr>
          <w:rStyle w:val="VerbatimChar"/>
        </w:rPr>
        <w:t xml:space="preserve">mysterycall</w:t>
      </w:r>
      <w:r>
        <w:t xml:space="preserve">); two-sided α = 0.05. Reporting follows the STROBE guideline for observational studies</w:t>
      </w:r>
      <w:hyperlink w:anchor="ref-strobe">
        <w:r>
          <w:rPr>
            <w:rStyle w:val="Hyperlink"/>
            <w:vertAlign w:val="superscript"/>
          </w:rPr>
          <w:t xml:space="preserve">8</w:t>
        </w:r>
      </w:hyperlink>
      <w:r>
        <w:t xml:space="preserve">.</w:t>
      </w:r>
    </w:p>
    <w:bookmarkEnd w:id="25"/>
    <w:bookmarkEnd w:id="26"/>
    <w:bookmarkStart w:id="31" w:name="results"/>
    <w:p>
      <w:pPr>
        <w:pStyle w:val="Heading2"/>
      </w:pPr>
      <w:r>
        <w:t xml:space="preserve">Results</w:t>
      </w:r>
    </w:p>
    <w:bookmarkStart w:id="27" w:name="sample-and-attrition"/>
    <w:p>
      <w:pPr>
        <w:pStyle w:val="Heading3"/>
      </w:pPr>
      <w:r>
        <w:t xml:space="preserve">Sample and attrition</w:t>
      </w:r>
    </w:p>
    <w:p>
      <w:pPr>
        <w:pStyle w:val="FirstParagraph"/>
      </w:pPr>
      <w:r>
        <w:t xml:space="preserve">Callers placed 960 calls; 749 (78.0%) were completed, of which 731 had a determinable subspecialty and formed the analytic sample. An appointment was offered in 433 of 731 (59.2%); the median next-available wait was 14 business days (IQR 5–30). Sample characteristics are shown in</w:t>
      </w:r>
      <w:r>
        <w:t xml:space="preserve"> </w:t>
      </w:r>
      <w:r>
        <w:rPr>
          <w:b/>
          <w:bCs/>
        </w:rPr>
        <w:t xml:space="preserve">Table 1</w:t>
      </w:r>
      <w:r>
        <w:t xml:space="preserve">, and the participant flow in</w:t>
      </w:r>
      <w:r>
        <w:t xml:space="preserve"> </w:t>
      </w:r>
      <w:r>
        <w:rPr>
          <w:b/>
          <w:bCs/>
        </w:rPr>
        <w:t xml:space="preserve">Figure 1</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Sample characteristics by requested subspecialty.**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7"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p>
        </w:tc>
        <w:tc>
          <w:tcPr>
            <w:gridSpan w:val="9"/>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Requested subspecialty</w:t>
            </w:r>
          </w:p>
        </w:tc>
      </w:tr>
      <w:tr>
        <w:trPr>
          <w:trHeight w:val="784"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731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General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501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Facial Plastics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78</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Pediatrics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45</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Otology/neurotology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32</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Head and Neck Cancer</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27</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Rhinology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19</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Sleep</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16</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Laryngology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13</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r>
      <w:tr>
        <w:trPr>
          <w:trHeight w:val="617"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Appointment offered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433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292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45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34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9 (69%)</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Not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298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209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33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Business-day wait, if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26 (6,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22 (5,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(4,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16 (9,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32 (13, 41)</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367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37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24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23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(85%)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Suburban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307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257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20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7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10 (63%)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 (7.7%)</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47 (9.4%)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 (7.7%)</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ENT per 100,000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4.7 (3.2,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4.4 (2.9,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4.8 (3.5,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5.9 (4.0,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(3.6,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6.2 (4.6,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7.5 (3.9, 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2.7 (1.9,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4.9 (3.4, 5.8)</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Medicaid fee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(0.66,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0.67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(0.67, 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(0.63,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(0.68, 0.76)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Social Vulnerability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0.48 (0.36,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0.49 (0.37,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0.44 (0.27,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0.52 (0.37,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0.45 (0.38,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0.37 (0.29, 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0.56 (0.29,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0.55 (0.44, 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0.42 (0.27, 0.61)</w:t>
            </w:r>
          </w:p>
        </w:tc>
      </w:tr>
      <w:tr>
        <w:trPr>
          <w:trHeight w:val="619"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Dual-eligible fraction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0.15 (0.12,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(0.13,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0.17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0.14 (0.11,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(0.14, 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0.19 (0.16, 0.22)</w:t>
            </w:r>
          </w:p>
        </w:tc>
      </w:tr>
      <w:tr>
        <w:trPr>
          <w:trHeight w:val="360" w:hRule="auto"/>
        </w:trPr>
        <w:tc>
          <w:tcPr>
            <w:gridSpan w:val="10"/>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Median (Q1, Q3)</w:t>
            </w:r>
          </w:p>
        </w:tc>
      </w:tr>
    </w:tbl>
    <w:bookmarkEnd w:id="27"/>
    <w:bookmarkStart w:id="28" w:name="access-to-appointments"/>
    <w:p>
      <w:pPr>
        <w:pStyle w:val="Heading3"/>
      </w:pPr>
      <w:r>
        <w:t xml:space="preserve">Access to appointments</w:t>
      </w:r>
    </w:p>
    <w:p>
      <w:pPr>
        <w:pStyle w:val="FirstParagraph"/>
      </w:pPr>
      <w:r>
        <w:t xml:space="preserve">The requested subspecialty was the dominant determinant of whether an appointment was offered. Relative to general otolaryngology, pediatric otolaryngology had over twice the odds of an offer (OR 2.26 (95% CI 1.08–4.75; p = 0.031)), while otology/neurotology trended lower (OR 0.49 (95% CI 0.23–1.07; p = 0.074)). No geographic covariate was associated with access: county ENT supply (OR 0.96 (95% CI 0.81–1.13; p = 0.603) per SD), the Medicaid fee index (OR 0.91 (95% CI 0.77–1.07; p = 0.250)), social vulnerability (OR 0.95 (95% CI 0.80–1.13; p = 0.583)), and dual-eligibility (OR 1.00 (95% CI 0.83–1.20; p = 0.975)) were all null (</w:t>
      </w:r>
      <w:r>
        <w:rPr>
          <w:b/>
          <w:bCs/>
        </w:rPr>
        <w:t xml:space="preserve">Figure 2</w:t>
      </w:r>
      <w:r>
        <w:t xml:space="preserve">).</w:t>
      </w:r>
    </w:p>
    <w:bookmarkEnd w:id="28"/>
    <w:bookmarkStart w:id="29" w:name="timeliness-of-appointments"/>
    <w:p>
      <w:pPr>
        <w:pStyle w:val="Heading3"/>
      </w:pPr>
      <w:r>
        <w:t xml:space="preserve">Timeliness of appointments</w:t>
      </w:r>
    </w:p>
    <w:p>
      <w:pPr>
        <w:pStyle w:val="FirstParagraph"/>
      </w:pPr>
      <w:r>
        <w:t xml:space="preserve">Among offering offices, waits again varied by subspecialty and not geography. Relative to general otolaryngology, waits were longer for laryngology (IRR 2.25 (95% CI 1.13–4.46; p = 0.020)) and pediatric otolaryngology (IRR 1.54 (95% CI 1.04–2.28; p = 0.031)). No geographic covariate was associated with wait time (</w:t>
      </w:r>
      <w:r>
        <w:rPr>
          <w:b/>
          <w:bCs/>
        </w:rPr>
        <w:t xml:space="preserve">Figure 2</w:t>
      </w:r>
      <w:r>
        <w:t xml:space="preserve">;</w:t>
      </w:r>
      <w:r>
        <w:t xml:space="preserve"> </w:t>
      </w:r>
      <w:r>
        <w:rPr>
          <w:b/>
          <w:bCs/>
        </w:rPr>
        <w:t xml:space="preserve">Table 2</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Access model (odds ratios).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4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ent_typeFacial Plastics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0.90 (0.54–1.52)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0.696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ent_typeHead and Neck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 (0.36–1.91)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0.661</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1.74 (0.50–6.08)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0.385</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0.49 (0.23–1.07)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0.074</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ent_typePediatrics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2.26 (1.08–4.75)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2.11 (0.72–6.17)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0.174</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1.66 (0.55–5.03)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0.371</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ent_per_100k_z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(0.81–1.13)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0.603</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medicaid_fee_index_z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0.91 (0.77–1.07)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0.250</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svi_overall_z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0.583</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dual_pct_z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 (0.83–1.20)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0.975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0.93 (0.49–1.75)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0.823</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ruralSuburban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1.03 (0.71–1.50)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0.857</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Timeliness model (incidence rate ratios).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4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IRR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ent_typeFacial Plastics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1.04 (0.72–1.50)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0.852</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ent_typeHead and Neck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1.26 (0.72–2.23)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0.421</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2.25 (1.13–4.46)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1.21 (0.64–2.26)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0.557</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ent_typePediatrics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1.54 (1.04–2.28)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1.55 (0.89–2.68)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0.121</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1.17 (0.61–2.24)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0.646</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ent_per_100k_z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(0.81–1.11)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0.499</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medicaid_fee_index_z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(0.84–1.10)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0.545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svi_overall_z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(0.84–1.07)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0.423</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dual_pct_z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0.98 (0.86–1.12)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0.801</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1.14 (0.72–1.81)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0.579</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ruralSuburban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1.08 (0.81–1.42)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0.606</w:t>
            </w:r>
          </w:p>
        </w:tc>
      </w:tr>
    </w:tbl>
    <w:bookmarkEnd w:id="29"/>
    <w:bookmarkStart w:id="30" w:name="robustness-and-missing-data"/>
    <w:p>
      <w:pPr>
        <w:pStyle w:val="Heading3"/>
      </w:pPr>
      <w:r>
        <w:t xml:space="preserve">Robustness and missing data</w:t>
      </w:r>
    </w:p>
    <w:p>
      <w:pPr>
        <w:pStyle w:val="FirstParagraph"/>
      </w:pPr>
      <w:r>
        <w:t xml:space="preserve">Under Tukey-adjusted pairwise comparison no subspecialty pair reached significance, and the subspecialty effect did not vary by rurality or supply (interaction likelihood-ratio tests, both non-significant). In a metropolitan sensitivity model, greater hospital-market concentration was associated with a borderline increase in wait time (HHI IRR 1.20 per SD; p = 0.058). Call incompleteness was unrelated to practice geography, supporting a missing-at-random mechanism with respect to location (Supplement).</w:t>
      </w:r>
    </w:p>
    <w:bookmarkEnd w:id="30"/>
    <w:bookmarkEnd w:id="31"/>
    <w:bookmarkStart w:id="32" w:name="discussion"/>
    <w:p>
      <w:pPr>
        <w:pStyle w:val="Heading2"/>
      </w:pPr>
      <w:r>
        <w:t xml:space="preserve">Discussion</w:t>
      </w:r>
    </w:p>
    <w:p>
      <w:pPr>
        <w:pStyle w:val="FirstParagraph"/>
      </w:pPr>
      <w:r>
        <w:t xml:space="preserve">In this national simulated-patient study of otolaryngology access, the requested subspecialty was the dominant determinant of both whether a new-patient appointment was offered and how long the patient waited, whereas none of the measured contextual factors—county physician supply, Medicaid fee generosity, social vulnerability, dual-eligibility, or rurality—was associated with either outcome.</w:t>
      </w:r>
    </w:p>
    <w:p>
      <w:pPr>
        <w:pStyle w:val="BodyText"/>
      </w:pPr>
      <w:r>
        <w:t xml:space="preserve">Three observations follow. First,</w:t>
      </w:r>
      <w:r>
        <w:t xml:space="preserve"> </w:t>
      </w:r>
      <w:r>
        <w:rPr>
          <w:b/>
          <w:bCs/>
        </w:rPr>
        <w:t xml:space="preserve">who the patient asks for matters more than the local environment in which they ask.</w:t>
      </w:r>
      <w:r>
        <w:t xml:space="preserve"> </w:t>
      </w:r>
      <w:r>
        <w:t xml:space="preserve">After adjustment, subspecialty effects were substantial—pediatric otolaryngology carried more than twice the odds of an appointment offer—while the contextual covariates clustered tightly around the null. This suggests that, among the practices reachable in this sample, the decision to accept a new patient is governed more by practice-level factors tied to the clinical request than by the socioeconomic or supply characteristics of the surrounding area.</w:t>
      </w:r>
    </w:p>
    <w:p>
      <w:pPr>
        <w:pStyle w:val="BodyText"/>
      </w:pPr>
      <w:r>
        <w:t xml:space="preserve">Second,</w:t>
      </w:r>
      <w:r>
        <w:t xml:space="preserve"> </w:t>
      </w:r>
      <w:r>
        <w:rPr>
          <w:b/>
          <w:bCs/>
        </w:rPr>
        <w:t xml:space="preserve">availability and timeliness are distinct dimensions that can diverge.</w:t>
      </w:r>
      <w:r>
        <w:t xml:space="preserve"> </w:t>
      </w:r>
      <w:r>
        <w:t xml:space="preserve">Pediatric otolaryngology was among the</w:t>
      </w:r>
      <w:r>
        <w:t xml:space="preserve"> </w:t>
      </w:r>
      <w:r>
        <w:rPr>
          <w:i/>
          <w:iCs/>
        </w:rPr>
        <w:t xml:space="preserve">easiest</w:t>
      </w:r>
      <w:r>
        <w:t xml:space="preserve"> </w:t>
      </w:r>
      <w:r>
        <w:t xml:space="preserve">subspecialties to reach yet carried one of the</w:t>
      </w:r>
      <w:r>
        <w:t xml:space="preserve"> </w:t>
      </w:r>
      <w:r>
        <w:rPr>
          <w:i/>
          <w:iCs/>
        </w:rPr>
        <w:t xml:space="preserve">longest</w:t>
      </w:r>
      <w:r>
        <w:t xml:space="preserve"> </w:t>
      </w:r>
      <w:r>
        <w:t xml:space="preserve">waits once an appointment was secured, and laryngology showed the longest waits of all. A patient-centered account of access must report both dimensions: a subspecialty that</w:t>
      </w:r>
      <w:r>
        <w:t xml:space="preserve"> </w:t>
      </w:r>
      <w:r>
        <w:t xml:space="preserve">“opens the door”</w:t>
      </w:r>
      <w:r>
        <w:t xml:space="preserve"> </w:t>
      </w:r>
      <w:r>
        <w:t xml:space="preserve">quickly may still leave the patient waiting weeks, and an intervention aimed at one dimension will not necessarily improve the other.</w:t>
      </w:r>
    </w:p>
    <w:p>
      <w:pPr>
        <w:pStyle w:val="BodyText"/>
      </w:pPr>
      <w:r>
        <w:t xml:space="preserve">Third,</w:t>
      </w:r>
      <w:r>
        <w:t xml:space="preserve"> </w:t>
      </w:r>
      <w:r>
        <w:rPr>
          <w:b/>
          <w:bCs/>
        </w:rPr>
        <w:t xml:space="preserve">the null contextual findings are informative rather than merely negative.</w:t>
      </w:r>
      <w:r>
        <w:t xml:space="preserve"> </w:t>
      </w:r>
      <w:r>
        <w:t xml:space="preserve">They argue against a simple supply-gradient model in which access improves smoothly with local otolaryngologist density or payer generosity. Several explanations are compatible with this pattern: practices may operate similarly across diverse local contexts; the relevant barriers may act at the level of the individual practice—scheduling policy, subspecialty scope—rather than the community; or the study may be underpowered for modest contextual gradients, particularly in the sparse rural stratum. Distinguishing the</w:t>
      </w:r>
      <w:r>
        <w:t xml:space="preserve"> </w:t>
      </w:r>
      <w:r>
        <w:rPr>
          <w:i/>
          <w:iCs/>
        </w:rPr>
        <w:t xml:space="preserve">contextual gradient</w:t>
      </w:r>
      <w:r>
        <w:t xml:space="preserve"> </w:t>
      </w:r>
      <w:r>
        <w:t xml:space="preserve">examined here from the geographic</w:t>
      </w:r>
      <w:r>
        <w:t xml:space="preserve"> </w:t>
      </w:r>
      <w:r>
        <w:rPr>
          <w:i/>
          <w:iCs/>
        </w:rPr>
        <w:t xml:space="preserve">reach</w:t>
      </w:r>
      <w:r>
        <w:t xml:space="preserve"> </w:t>
      </w:r>
      <w:r>
        <w:t xml:space="preserve">of care—the travel burden a patient must overcome to arrive at a practice at all—is the subject of a companion geospatial analysis.</w:t>
      </w:r>
    </w:p>
    <w:p>
      <w:pPr>
        <w:pStyle w:val="BodyText"/>
      </w:pPr>
      <w:r>
        <w:t xml:space="preserve">These findings carry practical implications. Subspecialty-specific bottlenecks—prolonged waits for laryngology and pediatric otolaryngology—are concrete targets for referral triage, capacity planning, and telehealth, independent of where the patient lives. That contextual factors did not predict access is reassuring against one form of disparity but does not exclude others not measured here, including patient insurance type, which this phase did not vary.</w:t>
      </w:r>
    </w:p>
    <w:p>
      <w:pPr>
        <w:pStyle w:val="BodyText"/>
      </w:pPr>
      <w:r>
        <w:rPr>
          <w:b/>
          <w:bCs/>
        </w:rPr>
        <w:t xml:space="preserve">Limitations.</w:t>
      </w:r>
      <w:r>
        <w:t xml:space="preserve"> </w:t>
      </w:r>
      <w:r>
        <w:t xml:space="preserve">Each physician was contacted once, precluding within-physician inference and limiting precision. The study was underpowered for the rural and fine geographic contrasts, and the wait-time distribution was more variable than anticipated. Contextual covariates were linked at the ZIP-code or county level and thus approximate a practice’s true environment. Patient insurance was not varied in this phase, so insurance-related disparities were not assessed. Finally, appointment availability reflects a single point in time and may vary seasonally.</w:t>
      </w:r>
    </w:p>
    <w:p>
      <w:pPr>
        <w:pStyle w:val="BodyText"/>
      </w:pPr>
      <w:r>
        <w:rPr>
          <w:b/>
          <w:bCs/>
        </w:rPr>
        <w:t xml:space="preserve">Conclusion.</w:t>
      </w:r>
      <w:r>
        <w:t xml:space="preserve"> </w:t>
      </w:r>
      <w:r>
        <w:t xml:space="preserve">In a national mystery-caller study, new-patient otolaryngology access was driven by the requested subspecialty rather than by local supply, insurance generosity, or social vulnerability, and the availability and timeliness of care diverged by subspecialty. Efforts to improve access should account for subspecialty-specific bottlenecks and should measure both whether patients can get in and how long they wait.</w:t>
      </w:r>
    </w:p>
    <w:bookmarkEnd w:id="32"/>
    <w:bookmarkStart w:id="39" w:name="figures"/>
    <w:p>
      <w:pPr>
        <w:pStyle w:val="Heading2"/>
      </w:pPr>
      <w:r>
        <w:t xml:space="preserve">Figures</w:t>
      </w:r>
    </w:p>
    <w:p>
      <w:pPr>
        <w:pStyle w:val="FirstParagraph"/>
      </w:pPr>
      <w:r>
        <w:rPr>
          <w:b/>
          <w:bCs/>
        </w:rPr>
        <w:t xml:space="preserve">Figure 1. Participant flow (STROBE).</w:t>
      </w:r>
      <w:r>
        <w:t xml:space="preserve"> </w:t>
      </w:r>
      <w:r>
        <w:rPr>
          <w:i/>
          <w:iCs/>
        </w:rPr>
        <w:t xml:space="preserve">Generated with</w:t>
      </w:r>
      <w:r>
        <w:rPr>
          <w:i/>
          <w:iCs/>
        </w:rPr>
        <w:t xml:space="preserve"> </w:t>
      </w:r>
      <w:r>
        <w:rPr>
          <w:rStyle w:val="VerbatimChar"/>
          <w:i/>
          <w:iCs/>
        </w:rPr>
        <w:t xml:space="preserve">mysterycall_strobe_flow()</w:t>
      </w:r>
      <w:r>
        <w:rPr>
          <w:i/>
          <w:iCs/>
        </w:rPr>
        <w:t xml:space="preserve">.</w:t>
      </w:r>
    </w:p>
    <w:p>
      <w:pPr>
        <w:pStyle w:val="CaptionedFigure"/>
      </w:pPr>
      <w:r>
        <w:drawing>
          <wp:inline>
            <wp:extent cx="5334000" cy="6519333"/>
            <wp:effectExtent b="0" l="0" r="0" t="0"/>
            <wp:docPr descr="Figure 1. Participant flow from calls placed to the two analytic samples." title="" id="34" name="Picture"/>
            <a:graphic>
              <a:graphicData uri="http://schemas.openxmlformats.org/drawingml/2006/picture">
                <pic:pic>
                  <pic:nvPicPr>
                    <pic:cNvPr descr="model_output/strobe_flow_mysterycall.png" id="35" name="Picture"/>
                    <pic:cNvPicPr>
                      <a:picLocks noChangeArrowheads="1" noChangeAspect="1"/>
                    </pic:cNvPicPr>
                  </pic:nvPicPr>
                  <pic:blipFill>
                    <a:blip r:embed="rId33"/>
                    <a:stretch>
                      <a:fillRect/>
                    </a:stretch>
                  </pic:blipFill>
                  <pic:spPr bwMode="auto">
                    <a:xfrm>
                      <a:off x="0" y="0"/>
                      <a:ext cx="5334000" cy="6519333"/>
                    </a:xfrm>
                    <a:prstGeom prst="rect">
                      <a:avLst/>
                    </a:prstGeom>
                    <a:noFill/>
                    <a:ln w="9525">
                      <a:noFill/>
                      <a:headEnd/>
                      <a:tailEnd/>
                    </a:ln>
                  </pic:spPr>
                </pic:pic>
              </a:graphicData>
            </a:graphic>
          </wp:inline>
        </w:drawing>
      </w:r>
    </w:p>
    <w:p>
      <w:pPr>
        <w:pStyle w:val="ImageCaption"/>
      </w:pPr>
      <w:r>
        <w:t xml:space="preserve">Figure 1. Participant flow from calls placed to the two analytic samples.</w:t>
      </w:r>
    </w:p>
    <w:p>
      <w:pPr>
        <w:pStyle w:val="BodyText"/>
      </w:pPr>
      <w:r>
        <w:rPr>
          <w:b/>
          <w:bCs/>
        </w:rPr>
        <w:t xml:space="preserve">Figure 2. Access (odds ratios) and timeliness (incidence rate ratios).</w:t>
      </w:r>
    </w:p>
    <w:p>
      <w:pPr>
        <w:pStyle w:val="CaptionedFigure"/>
      </w:pPr>
      <w:r>
        <w:drawing>
          <wp:inline>
            <wp:extent cx="5334000" cy="3200400"/>
            <wp:effectExtent b="0" l="0" r="0" t="0"/>
            <wp:docPr descr="Figure 2. Adjusted access and timeliness effects." title="" id="37" name="Picture"/>
            <a:graphic>
              <a:graphicData uri="http://schemas.openxmlformats.org/drawingml/2006/picture">
                <pic:pic>
                  <pic:nvPicPr>
                    <pic:cNvPr descr="model_output/forest_access_timeliness.png" id="38" name="Picture"/>
                    <pic:cNvPicPr>
                      <a:picLocks noChangeArrowheads="1" noChangeAspect="1"/>
                    </pic:cNvPicPr>
                  </pic:nvPicPr>
                  <pic:blipFill>
                    <a:blip r:embed="rId36"/>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2. Adjusted access and timeliness effects.</w:t>
      </w:r>
    </w:p>
    <w:p>
      <w:r>
        <w:br w:type="page"/>
      </w:r>
    </w:p>
    <w:bookmarkEnd w:id="39"/>
    <w:bookmarkStart w:id="60" w:name="supplementary-material"/>
    <w:p>
      <w:pPr>
        <w:pStyle w:val="Heading1"/>
      </w:pPr>
      <w:r>
        <w:t xml:space="preserve">Supplementary Material</w:t>
      </w:r>
    </w:p>
    <w:bookmarkStart w:id="40" w:name="supplementary-tables"/>
    <w:p>
      <w:pPr>
        <w:pStyle w:val="Heading2"/>
      </w:pPr>
      <w:r>
        <w:t xml:space="preserve">Supplementary Tables</w:t>
      </w:r>
    </w:p>
    <w:p>
      <w:pPr>
        <w:pStyle w:val="TableCaption"/>
      </w:pPr>
      <w:r>
        <w:t xml:space="preserve">Table S1. Full access model (all odds ratios).</w:t>
      </w:r>
    </w:p>
    <w:tbl>
      <w:tblPr>
        <w:tblStyle w:val="Table"/>
        <w:tblW w:type="pct" w:w="5000"/>
        <w:tblLayout w:type="fixed"/>
        <w:tblLook w:firstRow="1" w:lastRow="0" w:firstColumn="0" w:lastColumn="0" w:noHBand="0" w:noVBand="0" w:val="0020"/>
        <w:tblCaption w:val="Table S1. Full access model (all odds ratios)."/>
      </w:tblPr>
      <w:tblGrid>
        <w:gridCol w:w="2392"/>
        <w:gridCol w:w="742"/>
        <w:gridCol w:w="495"/>
        <w:gridCol w:w="660"/>
        <w:gridCol w:w="660"/>
        <w:gridCol w:w="990"/>
        <w:gridCol w:w="495"/>
        <w:gridCol w:w="742"/>
        <w:gridCol w:w="742"/>
      </w:tblGrid>
      <w:tr>
        <w:trPr>
          <w:tblHeader w:val="on"/>
        </w:trPr>
        <w:tc>
          <w:tcPr/>
          <w:p>
            <w:pPr>
              <w:pStyle w:val="Compact"/>
              <w:jc w:val="left"/>
            </w:pPr>
            <w:r>
              <w:t xml:space="preserve">term</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z_value</w:t>
            </w:r>
          </w:p>
        </w:tc>
        <w:tc>
          <w:tcPr/>
          <w:p>
            <w:pPr>
              <w:pStyle w:val="Compact"/>
              <w:jc w:val="right"/>
            </w:pPr>
            <w:r>
              <w:t xml:space="preserve">p_value</w:t>
            </w:r>
          </w:p>
        </w:tc>
        <w:tc>
          <w:tcPr/>
          <w:p>
            <w:pPr>
              <w:pStyle w:val="Compact"/>
              <w:jc w:val="left"/>
            </w:pPr>
            <w:r>
              <w:t xml:space="preserve">p_value_fmt</w:t>
            </w:r>
          </w:p>
        </w:tc>
        <w:tc>
          <w:tcPr/>
          <w:p>
            <w:pPr>
              <w:pStyle w:val="Compact"/>
              <w:jc w:val="right"/>
            </w:pPr>
            <w:r>
              <w:t xml:space="preserve">or</w:t>
            </w:r>
          </w:p>
        </w:tc>
        <w:tc>
          <w:tcPr/>
          <w:p>
            <w:pPr>
              <w:pStyle w:val="Compact"/>
              <w:jc w:val="right"/>
            </w:pPr>
            <w:r>
              <w:t xml:space="preserve">ci_lower</w:t>
            </w:r>
          </w:p>
        </w:tc>
        <w:tc>
          <w:tcPr/>
          <w:p>
            <w:pPr>
              <w:pStyle w:val="Compact"/>
              <w:jc w:val="right"/>
            </w:pPr>
            <w:r>
              <w:t xml:space="preserve">ci_upper</w:t>
            </w:r>
          </w:p>
        </w:tc>
      </w:tr>
      <w:tr>
        <w:tc>
          <w:tcPr/>
          <w:p>
            <w:pPr>
              <w:pStyle w:val="Compact"/>
              <w:jc w:val="left"/>
            </w:pPr>
            <w:r>
              <w:t xml:space="preserve">(Intercept)</w:t>
            </w:r>
          </w:p>
        </w:tc>
        <w:tc>
          <w:tcPr/>
          <w:p>
            <w:pPr>
              <w:pStyle w:val="Compact"/>
              <w:jc w:val="right"/>
            </w:pPr>
            <w:r>
              <w:t xml:space="preserve">-0.205</w:t>
            </w:r>
          </w:p>
        </w:tc>
        <w:tc>
          <w:tcPr/>
          <w:p>
            <w:pPr>
              <w:pStyle w:val="Compact"/>
              <w:jc w:val="right"/>
            </w:pPr>
            <w:r>
              <w:t xml:space="preserve">0.189</w:t>
            </w:r>
          </w:p>
        </w:tc>
        <w:tc>
          <w:tcPr/>
          <w:p>
            <w:pPr>
              <w:pStyle w:val="Compact"/>
              <w:jc w:val="right"/>
            </w:pPr>
            <w:r>
              <w:t xml:space="preserve">-1.082</w:t>
            </w:r>
          </w:p>
        </w:tc>
        <w:tc>
          <w:tcPr/>
          <w:p>
            <w:pPr>
              <w:pStyle w:val="Compact"/>
              <w:jc w:val="right"/>
            </w:pPr>
            <w:r>
              <w:t xml:space="preserve">0.279</w:t>
            </w:r>
          </w:p>
        </w:tc>
        <w:tc>
          <w:tcPr/>
          <w:p>
            <w:pPr>
              <w:pStyle w:val="Compact"/>
              <w:jc w:val="left"/>
            </w:pPr>
            <w:r>
              <w:t xml:space="preserve">0.279</w:t>
            </w:r>
          </w:p>
        </w:tc>
        <w:tc>
          <w:tcPr/>
          <w:p>
            <w:pPr>
              <w:pStyle w:val="Compact"/>
              <w:jc w:val="right"/>
            </w:pPr>
            <w:r>
              <w:t xml:space="preserve">0.815</w:t>
            </w:r>
          </w:p>
        </w:tc>
        <w:tc>
          <w:tcPr/>
          <w:p>
            <w:pPr>
              <w:pStyle w:val="Compact"/>
              <w:jc w:val="right"/>
            </w:pPr>
            <w:r>
              <w:t xml:space="preserve">0.562</w:t>
            </w:r>
          </w:p>
        </w:tc>
        <w:tc>
          <w:tcPr/>
          <w:p>
            <w:pPr>
              <w:pStyle w:val="Compact"/>
              <w:jc w:val="right"/>
            </w:pPr>
            <w:r>
              <w:t xml:space="preserve">1.181</w:t>
            </w:r>
          </w:p>
        </w:tc>
      </w:tr>
      <w:tr>
        <w:tc>
          <w:tcPr/>
          <w:p>
            <w:pPr>
              <w:pStyle w:val="Compact"/>
              <w:jc w:val="left"/>
            </w:pPr>
            <w:r>
              <w:t xml:space="preserve">ent_typeFacial Plastics</w:t>
            </w:r>
          </w:p>
        </w:tc>
        <w:tc>
          <w:tcPr/>
          <w:p>
            <w:pPr>
              <w:pStyle w:val="Compact"/>
              <w:jc w:val="right"/>
            </w:pPr>
            <w:r>
              <w:t xml:space="preserve">-0.104</w:t>
            </w:r>
          </w:p>
        </w:tc>
        <w:tc>
          <w:tcPr/>
          <w:p>
            <w:pPr>
              <w:pStyle w:val="Compact"/>
              <w:jc w:val="right"/>
            </w:pPr>
            <w:r>
              <w:t xml:space="preserve">0.266</w:t>
            </w:r>
          </w:p>
        </w:tc>
        <w:tc>
          <w:tcPr/>
          <w:p>
            <w:pPr>
              <w:pStyle w:val="Compact"/>
              <w:jc w:val="right"/>
            </w:pPr>
            <w:r>
              <w:t xml:space="preserve">-0.391</w:t>
            </w:r>
          </w:p>
        </w:tc>
        <w:tc>
          <w:tcPr/>
          <w:p>
            <w:pPr>
              <w:pStyle w:val="Compact"/>
              <w:jc w:val="right"/>
            </w:pPr>
            <w:r>
              <w:t xml:space="preserve">0.696</w:t>
            </w:r>
          </w:p>
        </w:tc>
        <w:tc>
          <w:tcPr/>
          <w:p>
            <w:pPr>
              <w:pStyle w:val="Compact"/>
              <w:jc w:val="left"/>
            </w:pPr>
            <w:r>
              <w:t xml:space="preserve">0.696</w:t>
            </w:r>
          </w:p>
        </w:tc>
        <w:tc>
          <w:tcPr/>
          <w:p>
            <w:pPr>
              <w:pStyle w:val="Compact"/>
              <w:jc w:val="right"/>
            </w:pPr>
            <w:r>
              <w:t xml:space="preserve">0.901</w:t>
            </w:r>
          </w:p>
        </w:tc>
        <w:tc>
          <w:tcPr/>
          <w:p>
            <w:pPr>
              <w:pStyle w:val="Compact"/>
              <w:jc w:val="right"/>
            </w:pPr>
            <w:r>
              <w:t xml:space="preserve">0.535</w:t>
            </w:r>
          </w:p>
        </w:tc>
        <w:tc>
          <w:tcPr/>
          <w:p>
            <w:pPr>
              <w:pStyle w:val="Compact"/>
              <w:jc w:val="right"/>
            </w:pPr>
            <w:r>
              <w:t xml:space="preserve">1.518</w:t>
            </w:r>
          </w:p>
        </w:tc>
      </w:tr>
      <w:tr>
        <w:tc>
          <w:tcPr/>
          <w:p>
            <w:pPr>
              <w:pStyle w:val="Compact"/>
              <w:jc w:val="left"/>
            </w:pPr>
            <w:r>
              <w:t xml:space="preserve">ent_typeHead and Neck Cancer</w:t>
            </w:r>
          </w:p>
        </w:tc>
        <w:tc>
          <w:tcPr/>
          <w:p>
            <w:pPr>
              <w:pStyle w:val="Compact"/>
              <w:jc w:val="right"/>
            </w:pPr>
            <w:r>
              <w:t xml:space="preserve">-0.186</w:t>
            </w:r>
          </w:p>
        </w:tc>
        <w:tc>
          <w:tcPr/>
          <w:p>
            <w:pPr>
              <w:pStyle w:val="Compact"/>
              <w:jc w:val="right"/>
            </w:pPr>
            <w:r>
              <w:t xml:space="preserve">0.426</w:t>
            </w:r>
          </w:p>
        </w:tc>
        <w:tc>
          <w:tcPr/>
          <w:p>
            <w:pPr>
              <w:pStyle w:val="Compact"/>
              <w:jc w:val="right"/>
            </w:pPr>
            <w:r>
              <w:t xml:space="preserve">-0.438</w:t>
            </w:r>
          </w:p>
        </w:tc>
        <w:tc>
          <w:tcPr/>
          <w:p>
            <w:pPr>
              <w:pStyle w:val="Compact"/>
              <w:jc w:val="right"/>
            </w:pPr>
            <w:r>
              <w:t xml:space="preserve">0.661</w:t>
            </w:r>
          </w:p>
        </w:tc>
        <w:tc>
          <w:tcPr/>
          <w:p>
            <w:pPr>
              <w:pStyle w:val="Compact"/>
              <w:jc w:val="left"/>
            </w:pPr>
            <w:r>
              <w:t xml:space="preserve">0.661</w:t>
            </w:r>
          </w:p>
        </w:tc>
        <w:tc>
          <w:tcPr/>
          <w:p>
            <w:pPr>
              <w:pStyle w:val="Compact"/>
              <w:jc w:val="right"/>
            </w:pPr>
            <w:r>
              <w:t xml:space="preserve">0.830</w:t>
            </w:r>
          </w:p>
        </w:tc>
        <w:tc>
          <w:tcPr/>
          <w:p>
            <w:pPr>
              <w:pStyle w:val="Compact"/>
              <w:jc w:val="right"/>
            </w:pPr>
            <w:r>
              <w:t xml:space="preserve">0.360</w:t>
            </w:r>
          </w:p>
        </w:tc>
        <w:tc>
          <w:tcPr/>
          <w:p>
            <w:pPr>
              <w:pStyle w:val="Compact"/>
              <w:jc w:val="right"/>
            </w:pPr>
            <w:r>
              <w:t xml:space="preserve">1.912</w:t>
            </w:r>
          </w:p>
        </w:tc>
      </w:tr>
      <w:tr>
        <w:tc>
          <w:tcPr/>
          <w:p>
            <w:pPr>
              <w:pStyle w:val="Compact"/>
              <w:jc w:val="left"/>
            </w:pPr>
            <w:r>
              <w:t xml:space="preserve">ent_typeLaryngology</w:t>
            </w:r>
          </w:p>
        </w:tc>
        <w:tc>
          <w:tcPr/>
          <w:p>
            <w:pPr>
              <w:pStyle w:val="Compact"/>
              <w:jc w:val="right"/>
            </w:pPr>
            <w:r>
              <w:t xml:space="preserve">0.555</w:t>
            </w:r>
          </w:p>
        </w:tc>
        <w:tc>
          <w:tcPr/>
          <w:p>
            <w:pPr>
              <w:pStyle w:val="Compact"/>
              <w:jc w:val="right"/>
            </w:pPr>
            <w:r>
              <w:t xml:space="preserve">0.638</w:t>
            </w:r>
          </w:p>
        </w:tc>
        <w:tc>
          <w:tcPr/>
          <w:p>
            <w:pPr>
              <w:pStyle w:val="Compact"/>
              <w:jc w:val="right"/>
            </w:pPr>
            <w:r>
              <w:t xml:space="preserve">0.869</w:t>
            </w:r>
          </w:p>
        </w:tc>
        <w:tc>
          <w:tcPr/>
          <w:p>
            <w:pPr>
              <w:pStyle w:val="Compact"/>
              <w:jc w:val="right"/>
            </w:pPr>
            <w:r>
              <w:t xml:space="preserve">0.385</w:t>
            </w:r>
          </w:p>
        </w:tc>
        <w:tc>
          <w:tcPr/>
          <w:p>
            <w:pPr>
              <w:pStyle w:val="Compact"/>
              <w:jc w:val="left"/>
            </w:pPr>
            <w:r>
              <w:t xml:space="preserve">0.385</w:t>
            </w:r>
          </w:p>
        </w:tc>
        <w:tc>
          <w:tcPr/>
          <w:p>
            <w:pPr>
              <w:pStyle w:val="Compact"/>
              <w:jc w:val="right"/>
            </w:pPr>
            <w:r>
              <w:t xml:space="preserve">1.741</w:t>
            </w:r>
          </w:p>
        </w:tc>
        <w:tc>
          <w:tcPr/>
          <w:p>
            <w:pPr>
              <w:pStyle w:val="Compact"/>
              <w:jc w:val="right"/>
            </w:pPr>
            <w:r>
              <w:t xml:space="preserve">0.499</w:t>
            </w:r>
          </w:p>
        </w:tc>
        <w:tc>
          <w:tcPr/>
          <w:p>
            <w:pPr>
              <w:pStyle w:val="Compact"/>
              <w:jc w:val="right"/>
            </w:pPr>
            <w:r>
              <w:t xml:space="preserve">6.083</w:t>
            </w:r>
          </w:p>
        </w:tc>
      </w:tr>
      <w:tr>
        <w:tc>
          <w:tcPr/>
          <w:p>
            <w:pPr>
              <w:pStyle w:val="Compact"/>
              <w:jc w:val="left"/>
            </w:pPr>
            <w:r>
              <w:t xml:space="preserve">ent_typeOtology/neurotology</w:t>
            </w:r>
          </w:p>
        </w:tc>
        <w:tc>
          <w:tcPr/>
          <w:p>
            <w:pPr>
              <w:pStyle w:val="Compact"/>
              <w:jc w:val="right"/>
            </w:pPr>
            <w:r>
              <w:t xml:space="preserve">-0.704</w:t>
            </w:r>
          </w:p>
        </w:tc>
        <w:tc>
          <w:tcPr/>
          <w:p>
            <w:pPr>
              <w:pStyle w:val="Compact"/>
              <w:jc w:val="right"/>
            </w:pPr>
            <w:r>
              <w:t xml:space="preserve">0.395</w:t>
            </w:r>
          </w:p>
        </w:tc>
        <w:tc>
          <w:tcPr/>
          <w:p>
            <w:pPr>
              <w:pStyle w:val="Compact"/>
              <w:jc w:val="right"/>
            </w:pPr>
            <w:r>
              <w:t xml:space="preserve">-1.784</w:t>
            </w:r>
          </w:p>
        </w:tc>
        <w:tc>
          <w:tcPr/>
          <w:p>
            <w:pPr>
              <w:pStyle w:val="Compact"/>
              <w:jc w:val="right"/>
            </w:pPr>
            <w:r>
              <w:t xml:space="preserve">0.074</w:t>
            </w:r>
          </w:p>
        </w:tc>
        <w:tc>
          <w:tcPr/>
          <w:p>
            <w:pPr>
              <w:pStyle w:val="Compact"/>
              <w:jc w:val="left"/>
            </w:pPr>
            <w:r>
              <w:t xml:space="preserve">0.074</w:t>
            </w:r>
          </w:p>
        </w:tc>
        <w:tc>
          <w:tcPr/>
          <w:p>
            <w:pPr>
              <w:pStyle w:val="Compact"/>
              <w:jc w:val="right"/>
            </w:pPr>
            <w:r>
              <w:t xml:space="preserve">0.495</w:t>
            </w:r>
          </w:p>
        </w:tc>
        <w:tc>
          <w:tcPr/>
          <w:p>
            <w:pPr>
              <w:pStyle w:val="Compact"/>
              <w:jc w:val="right"/>
            </w:pPr>
            <w:r>
              <w:t xml:space="preserve">0.228</w:t>
            </w:r>
          </w:p>
        </w:tc>
        <w:tc>
          <w:tcPr/>
          <w:p>
            <w:pPr>
              <w:pStyle w:val="Compact"/>
              <w:jc w:val="right"/>
            </w:pPr>
            <w:r>
              <w:t xml:space="preserve">1.072</w:t>
            </w:r>
          </w:p>
        </w:tc>
      </w:tr>
      <w:tr>
        <w:tc>
          <w:tcPr/>
          <w:p>
            <w:pPr>
              <w:pStyle w:val="Compact"/>
              <w:jc w:val="left"/>
            </w:pPr>
            <w:r>
              <w:t xml:space="preserve">ent_typePediatrics</w:t>
            </w:r>
          </w:p>
        </w:tc>
        <w:tc>
          <w:tcPr/>
          <w:p>
            <w:pPr>
              <w:pStyle w:val="Compact"/>
              <w:jc w:val="right"/>
            </w:pPr>
            <w:r>
              <w:t xml:space="preserve">0.815</w:t>
            </w:r>
          </w:p>
        </w:tc>
        <w:tc>
          <w:tcPr/>
          <w:p>
            <w:pPr>
              <w:pStyle w:val="Compact"/>
              <w:jc w:val="right"/>
            </w:pPr>
            <w:r>
              <w:t xml:space="preserve">0.379</w:t>
            </w:r>
          </w:p>
        </w:tc>
        <w:tc>
          <w:tcPr/>
          <w:p>
            <w:pPr>
              <w:pStyle w:val="Compact"/>
              <w:jc w:val="right"/>
            </w:pPr>
            <w:r>
              <w:t xml:space="preserve">2.154</w:t>
            </w:r>
          </w:p>
        </w:tc>
        <w:tc>
          <w:tcPr/>
          <w:p>
            <w:pPr>
              <w:pStyle w:val="Compact"/>
              <w:jc w:val="right"/>
            </w:pPr>
            <w:r>
              <w:t xml:space="preserve">0.031</w:t>
            </w:r>
          </w:p>
        </w:tc>
        <w:tc>
          <w:tcPr/>
          <w:p>
            <w:pPr>
              <w:pStyle w:val="Compact"/>
              <w:jc w:val="left"/>
            </w:pPr>
            <w:r>
              <w:t xml:space="preserve">0.031</w:t>
            </w:r>
          </w:p>
        </w:tc>
        <w:tc>
          <w:tcPr/>
          <w:p>
            <w:pPr>
              <w:pStyle w:val="Compact"/>
              <w:jc w:val="right"/>
            </w:pPr>
            <w:r>
              <w:t xml:space="preserve">2.260</w:t>
            </w:r>
          </w:p>
        </w:tc>
        <w:tc>
          <w:tcPr/>
          <w:p>
            <w:pPr>
              <w:pStyle w:val="Compact"/>
              <w:jc w:val="right"/>
            </w:pPr>
            <w:r>
              <w:t xml:space="preserve">1.076</w:t>
            </w:r>
          </w:p>
        </w:tc>
        <w:tc>
          <w:tcPr/>
          <w:p>
            <w:pPr>
              <w:pStyle w:val="Compact"/>
              <w:jc w:val="right"/>
            </w:pPr>
            <w:r>
              <w:t xml:space="preserve">4.746</w:t>
            </w:r>
          </w:p>
        </w:tc>
      </w:tr>
      <w:tr>
        <w:tc>
          <w:tcPr/>
          <w:p>
            <w:pPr>
              <w:pStyle w:val="Compact"/>
              <w:jc w:val="left"/>
            </w:pPr>
            <w:r>
              <w:t xml:space="preserve">ent_typeRhinology</w:t>
            </w:r>
          </w:p>
        </w:tc>
        <w:tc>
          <w:tcPr/>
          <w:p>
            <w:pPr>
              <w:pStyle w:val="Compact"/>
              <w:jc w:val="right"/>
            </w:pPr>
            <w:r>
              <w:t xml:space="preserve">0.745</w:t>
            </w:r>
          </w:p>
        </w:tc>
        <w:tc>
          <w:tcPr/>
          <w:p>
            <w:pPr>
              <w:pStyle w:val="Compact"/>
              <w:jc w:val="right"/>
            </w:pPr>
            <w:r>
              <w:t xml:space="preserve">0.549</w:t>
            </w:r>
          </w:p>
        </w:tc>
        <w:tc>
          <w:tcPr/>
          <w:p>
            <w:pPr>
              <w:pStyle w:val="Compact"/>
              <w:jc w:val="right"/>
            </w:pPr>
            <w:r>
              <w:t xml:space="preserve">1.358</w:t>
            </w:r>
          </w:p>
        </w:tc>
        <w:tc>
          <w:tcPr/>
          <w:p>
            <w:pPr>
              <w:pStyle w:val="Compact"/>
              <w:jc w:val="right"/>
            </w:pPr>
            <w:r>
              <w:t xml:space="preserve">0.174</w:t>
            </w:r>
          </w:p>
        </w:tc>
        <w:tc>
          <w:tcPr/>
          <w:p>
            <w:pPr>
              <w:pStyle w:val="Compact"/>
              <w:jc w:val="left"/>
            </w:pPr>
            <w:r>
              <w:t xml:space="preserve">0.174</w:t>
            </w:r>
          </w:p>
        </w:tc>
        <w:tc>
          <w:tcPr/>
          <w:p>
            <w:pPr>
              <w:pStyle w:val="Compact"/>
              <w:jc w:val="right"/>
            </w:pPr>
            <w:r>
              <w:t xml:space="preserve">2.107</w:t>
            </w:r>
          </w:p>
        </w:tc>
        <w:tc>
          <w:tcPr/>
          <w:p>
            <w:pPr>
              <w:pStyle w:val="Compact"/>
              <w:jc w:val="right"/>
            </w:pPr>
            <w:r>
              <w:t xml:space="preserve">0.719</w:t>
            </w:r>
          </w:p>
        </w:tc>
        <w:tc>
          <w:tcPr/>
          <w:p>
            <w:pPr>
              <w:pStyle w:val="Compact"/>
              <w:jc w:val="right"/>
            </w:pPr>
            <w:r>
              <w:t xml:space="preserve">6.174</w:t>
            </w:r>
          </w:p>
        </w:tc>
      </w:tr>
      <w:tr>
        <w:tc>
          <w:tcPr/>
          <w:p>
            <w:pPr>
              <w:pStyle w:val="Compact"/>
              <w:jc w:val="left"/>
            </w:pPr>
            <w:r>
              <w:t xml:space="preserve">ent_typeSleep</w:t>
            </w:r>
          </w:p>
        </w:tc>
        <w:tc>
          <w:tcPr/>
          <w:p>
            <w:pPr>
              <w:pStyle w:val="Compact"/>
              <w:jc w:val="right"/>
            </w:pPr>
            <w:r>
              <w:t xml:space="preserve">0.506</w:t>
            </w:r>
          </w:p>
        </w:tc>
        <w:tc>
          <w:tcPr/>
          <w:p>
            <w:pPr>
              <w:pStyle w:val="Compact"/>
              <w:jc w:val="right"/>
            </w:pPr>
            <w:r>
              <w:t xml:space="preserve">0.566</w:t>
            </w:r>
          </w:p>
        </w:tc>
        <w:tc>
          <w:tcPr/>
          <w:p>
            <w:pPr>
              <w:pStyle w:val="Compact"/>
              <w:jc w:val="right"/>
            </w:pPr>
            <w:r>
              <w:t xml:space="preserve">0.895</w:t>
            </w:r>
          </w:p>
        </w:tc>
        <w:tc>
          <w:tcPr/>
          <w:p>
            <w:pPr>
              <w:pStyle w:val="Compact"/>
              <w:jc w:val="right"/>
            </w:pPr>
            <w:r>
              <w:t xml:space="preserve">0.371</w:t>
            </w:r>
          </w:p>
        </w:tc>
        <w:tc>
          <w:tcPr/>
          <w:p>
            <w:pPr>
              <w:pStyle w:val="Compact"/>
              <w:jc w:val="left"/>
            </w:pPr>
            <w:r>
              <w:t xml:space="preserve">0.371</w:t>
            </w:r>
          </w:p>
        </w:tc>
        <w:tc>
          <w:tcPr/>
          <w:p>
            <w:pPr>
              <w:pStyle w:val="Compact"/>
              <w:jc w:val="right"/>
            </w:pPr>
            <w:r>
              <w:t xml:space="preserve">1.659</w:t>
            </w:r>
          </w:p>
        </w:tc>
        <w:tc>
          <w:tcPr/>
          <w:p>
            <w:pPr>
              <w:pStyle w:val="Compact"/>
              <w:jc w:val="right"/>
            </w:pPr>
            <w:r>
              <w:t xml:space="preserve">0.547</w:t>
            </w:r>
          </w:p>
        </w:tc>
        <w:tc>
          <w:tcPr/>
          <w:p>
            <w:pPr>
              <w:pStyle w:val="Compact"/>
              <w:jc w:val="right"/>
            </w:pPr>
            <w:r>
              <w:t xml:space="preserve">5.027</w:t>
            </w:r>
          </w:p>
        </w:tc>
      </w:tr>
      <w:tr>
        <w:tc>
          <w:tcPr/>
          <w:p>
            <w:pPr>
              <w:pStyle w:val="Compact"/>
              <w:jc w:val="left"/>
            </w:pPr>
            <w:r>
              <w:t xml:space="preserve">ent_per_100k_z</w:t>
            </w:r>
          </w:p>
        </w:tc>
        <w:tc>
          <w:tcPr/>
          <w:p>
            <w:pPr>
              <w:pStyle w:val="Compact"/>
              <w:jc w:val="right"/>
            </w:pPr>
            <w:r>
              <w:t xml:space="preserve">-0.044</w:t>
            </w:r>
          </w:p>
        </w:tc>
        <w:tc>
          <w:tcPr/>
          <w:p>
            <w:pPr>
              <w:pStyle w:val="Compact"/>
              <w:jc w:val="right"/>
            </w:pPr>
            <w:r>
              <w:t xml:space="preserve">0.085</w:t>
            </w:r>
          </w:p>
        </w:tc>
        <w:tc>
          <w:tcPr/>
          <w:p>
            <w:pPr>
              <w:pStyle w:val="Compact"/>
              <w:jc w:val="right"/>
            </w:pPr>
            <w:r>
              <w:t xml:space="preserve">-0.520</w:t>
            </w:r>
          </w:p>
        </w:tc>
        <w:tc>
          <w:tcPr/>
          <w:p>
            <w:pPr>
              <w:pStyle w:val="Compact"/>
              <w:jc w:val="right"/>
            </w:pPr>
            <w:r>
              <w:t xml:space="preserve">0.603</w:t>
            </w:r>
          </w:p>
        </w:tc>
        <w:tc>
          <w:tcPr/>
          <w:p>
            <w:pPr>
              <w:pStyle w:val="Compact"/>
              <w:jc w:val="left"/>
            </w:pPr>
            <w:r>
              <w:t xml:space="preserve">0.603</w:t>
            </w:r>
          </w:p>
        </w:tc>
        <w:tc>
          <w:tcPr/>
          <w:p>
            <w:pPr>
              <w:pStyle w:val="Compact"/>
              <w:jc w:val="right"/>
            </w:pPr>
            <w:r>
              <w:t xml:space="preserve">0.957</w:t>
            </w:r>
          </w:p>
        </w:tc>
        <w:tc>
          <w:tcPr/>
          <w:p>
            <w:pPr>
              <w:pStyle w:val="Compact"/>
              <w:jc w:val="right"/>
            </w:pPr>
            <w:r>
              <w:t xml:space="preserve">0.811</w:t>
            </w:r>
          </w:p>
        </w:tc>
        <w:tc>
          <w:tcPr/>
          <w:p>
            <w:pPr>
              <w:pStyle w:val="Compact"/>
              <w:jc w:val="right"/>
            </w:pPr>
            <w:r>
              <w:t xml:space="preserve">1.129</w:t>
            </w:r>
          </w:p>
        </w:tc>
      </w:tr>
      <w:tr>
        <w:tc>
          <w:tcPr/>
          <w:p>
            <w:pPr>
              <w:pStyle w:val="Compact"/>
              <w:jc w:val="left"/>
            </w:pPr>
            <w:r>
              <w:t xml:space="preserve">medicaid_fee_index_z</w:t>
            </w:r>
          </w:p>
        </w:tc>
        <w:tc>
          <w:tcPr/>
          <w:p>
            <w:pPr>
              <w:pStyle w:val="Compact"/>
              <w:jc w:val="right"/>
            </w:pPr>
            <w:r>
              <w:t xml:space="preserve">-0.095</w:t>
            </w:r>
          </w:p>
        </w:tc>
        <w:tc>
          <w:tcPr/>
          <w:p>
            <w:pPr>
              <w:pStyle w:val="Compact"/>
              <w:jc w:val="right"/>
            </w:pPr>
            <w:r>
              <w:t xml:space="preserve">0.082</w:t>
            </w:r>
          </w:p>
        </w:tc>
        <w:tc>
          <w:tcPr/>
          <w:p>
            <w:pPr>
              <w:pStyle w:val="Compact"/>
              <w:jc w:val="right"/>
            </w:pPr>
            <w:r>
              <w:t xml:space="preserve">-1.150</w:t>
            </w:r>
          </w:p>
        </w:tc>
        <w:tc>
          <w:tcPr/>
          <w:p>
            <w:pPr>
              <w:pStyle w:val="Compact"/>
              <w:jc w:val="right"/>
            </w:pPr>
            <w:r>
              <w:t xml:space="preserve">0.250</w:t>
            </w:r>
          </w:p>
        </w:tc>
        <w:tc>
          <w:tcPr/>
          <w:p>
            <w:pPr>
              <w:pStyle w:val="Compact"/>
              <w:jc w:val="left"/>
            </w:pPr>
            <w:r>
              <w:t xml:space="preserve">0.250</w:t>
            </w:r>
          </w:p>
        </w:tc>
        <w:tc>
          <w:tcPr/>
          <w:p>
            <w:pPr>
              <w:pStyle w:val="Compact"/>
              <w:jc w:val="right"/>
            </w:pPr>
            <w:r>
              <w:t xml:space="preserve">0.910</w:t>
            </w:r>
          </w:p>
        </w:tc>
        <w:tc>
          <w:tcPr/>
          <w:p>
            <w:pPr>
              <w:pStyle w:val="Compact"/>
              <w:jc w:val="right"/>
            </w:pPr>
            <w:r>
              <w:t xml:space="preserve">0.774</w:t>
            </w:r>
          </w:p>
        </w:tc>
        <w:tc>
          <w:tcPr/>
          <w:p>
            <w:pPr>
              <w:pStyle w:val="Compact"/>
              <w:jc w:val="right"/>
            </w:pPr>
            <w:r>
              <w:t xml:space="preserve">1.069</w:t>
            </w:r>
          </w:p>
        </w:tc>
      </w:tr>
      <w:tr>
        <w:tc>
          <w:tcPr/>
          <w:p>
            <w:pPr>
              <w:pStyle w:val="Compact"/>
              <w:jc w:val="left"/>
            </w:pPr>
            <w:r>
              <w:t xml:space="preserve">svi_overall_z</w:t>
            </w:r>
          </w:p>
        </w:tc>
        <w:tc>
          <w:tcPr/>
          <w:p>
            <w:pPr>
              <w:pStyle w:val="Compact"/>
              <w:jc w:val="right"/>
            </w:pPr>
            <w:r>
              <w:t xml:space="preserve">-0.049</w:t>
            </w:r>
          </w:p>
        </w:tc>
        <w:tc>
          <w:tcPr/>
          <w:p>
            <w:pPr>
              <w:pStyle w:val="Compact"/>
              <w:jc w:val="right"/>
            </w:pPr>
            <w:r>
              <w:t xml:space="preserve">0.089</w:t>
            </w:r>
          </w:p>
        </w:tc>
        <w:tc>
          <w:tcPr/>
          <w:p>
            <w:pPr>
              <w:pStyle w:val="Compact"/>
              <w:jc w:val="right"/>
            </w:pPr>
            <w:r>
              <w:t xml:space="preserve">-0.550</w:t>
            </w:r>
          </w:p>
        </w:tc>
        <w:tc>
          <w:tcPr/>
          <w:p>
            <w:pPr>
              <w:pStyle w:val="Compact"/>
              <w:jc w:val="right"/>
            </w:pPr>
            <w:r>
              <w:t xml:space="preserve">0.583</w:t>
            </w:r>
          </w:p>
        </w:tc>
        <w:tc>
          <w:tcPr/>
          <w:p>
            <w:pPr>
              <w:pStyle w:val="Compact"/>
              <w:jc w:val="left"/>
            </w:pPr>
            <w:r>
              <w:t xml:space="preserve">0.583</w:t>
            </w:r>
          </w:p>
        </w:tc>
        <w:tc>
          <w:tcPr/>
          <w:p>
            <w:pPr>
              <w:pStyle w:val="Compact"/>
              <w:jc w:val="right"/>
            </w:pPr>
            <w:r>
              <w:t xml:space="preserve">0.952</w:t>
            </w:r>
          </w:p>
        </w:tc>
        <w:tc>
          <w:tcPr/>
          <w:p>
            <w:pPr>
              <w:pStyle w:val="Compact"/>
              <w:jc w:val="right"/>
            </w:pPr>
            <w:r>
              <w:t xml:space="preserve">0.800</w:t>
            </w:r>
          </w:p>
        </w:tc>
        <w:tc>
          <w:tcPr/>
          <w:p>
            <w:pPr>
              <w:pStyle w:val="Compact"/>
              <w:jc w:val="right"/>
            </w:pPr>
            <w:r>
              <w:t xml:space="preserve">1.134</w:t>
            </w:r>
          </w:p>
        </w:tc>
      </w:tr>
      <w:tr>
        <w:tc>
          <w:tcPr/>
          <w:p>
            <w:pPr>
              <w:pStyle w:val="Compact"/>
              <w:jc w:val="left"/>
            </w:pPr>
            <w:r>
              <w:t xml:space="preserve">dual_pct_z</w:t>
            </w:r>
          </w:p>
        </w:tc>
        <w:tc>
          <w:tcPr/>
          <w:p>
            <w:pPr>
              <w:pStyle w:val="Compact"/>
              <w:jc w:val="right"/>
            </w:pPr>
            <w:r>
              <w:t xml:space="preserve">-0.003</w:t>
            </w:r>
          </w:p>
        </w:tc>
        <w:tc>
          <w:tcPr/>
          <w:p>
            <w:pPr>
              <w:pStyle w:val="Compact"/>
              <w:jc w:val="right"/>
            </w:pPr>
            <w:r>
              <w:t xml:space="preserve">0.092</w:t>
            </w:r>
          </w:p>
        </w:tc>
        <w:tc>
          <w:tcPr/>
          <w:p>
            <w:pPr>
              <w:pStyle w:val="Compact"/>
              <w:jc w:val="right"/>
            </w:pPr>
            <w:r>
              <w:t xml:space="preserve">-0.031</w:t>
            </w:r>
          </w:p>
        </w:tc>
        <w:tc>
          <w:tcPr/>
          <w:p>
            <w:pPr>
              <w:pStyle w:val="Compact"/>
              <w:jc w:val="right"/>
            </w:pPr>
            <w:r>
              <w:t xml:space="preserve">0.975</w:t>
            </w:r>
          </w:p>
        </w:tc>
        <w:tc>
          <w:tcPr/>
          <w:p>
            <w:pPr>
              <w:pStyle w:val="Compact"/>
              <w:jc w:val="left"/>
            </w:pPr>
            <w:r>
              <w:t xml:space="preserve">0.975</w:t>
            </w:r>
          </w:p>
        </w:tc>
        <w:tc>
          <w:tcPr/>
          <w:p>
            <w:pPr>
              <w:pStyle w:val="Compact"/>
              <w:jc w:val="right"/>
            </w:pPr>
            <w:r>
              <w:t xml:space="preserve">0.997</w:t>
            </w:r>
          </w:p>
        </w:tc>
        <w:tc>
          <w:tcPr/>
          <w:p>
            <w:pPr>
              <w:pStyle w:val="Compact"/>
              <w:jc w:val="right"/>
            </w:pPr>
            <w:r>
              <w:t xml:space="preserve">0.832</w:t>
            </w:r>
          </w:p>
        </w:tc>
        <w:tc>
          <w:tcPr/>
          <w:p>
            <w:pPr>
              <w:pStyle w:val="Compact"/>
              <w:jc w:val="right"/>
            </w:pPr>
            <w:r>
              <w:t xml:space="preserve">1.195</w:t>
            </w:r>
          </w:p>
        </w:tc>
      </w:tr>
      <w:tr>
        <w:tc>
          <w:tcPr/>
          <w:p>
            <w:pPr>
              <w:pStyle w:val="Compact"/>
              <w:jc w:val="left"/>
            </w:pPr>
            <w:r>
              <w:t xml:space="preserve">ruralRural</w:t>
            </w:r>
          </w:p>
        </w:tc>
        <w:tc>
          <w:tcPr/>
          <w:p>
            <w:pPr>
              <w:pStyle w:val="Compact"/>
              <w:jc w:val="right"/>
            </w:pPr>
            <w:r>
              <w:t xml:space="preserve">-0.072</w:t>
            </w:r>
          </w:p>
        </w:tc>
        <w:tc>
          <w:tcPr/>
          <w:p>
            <w:pPr>
              <w:pStyle w:val="Compact"/>
              <w:jc w:val="right"/>
            </w:pPr>
            <w:r>
              <w:t xml:space="preserve">0.322</w:t>
            </w:r>
          </w:p>
        </w:tc>
        <w:tc>
          <w:tcPr/>
          <w:p>
            <w:pPr>
              <w:pStyle w:val="Compact"/>
              <w:jc w:val="right"/>
            </w:pPr>
            <w:r>
              <w:t xml:space="preserve">-0.224</w:t>
            </w:r>
          </w:p>
        </w:tc>
        <w:tc>
          <w:tcPr/>
          <w:p>
            <w:pPr>
              <w:pStyle w:val="Compact"/>
              <w:jc w:val="right"/>
            </w:pPr>
            <w:r>
              <w:t xml:space="preserve">0.823</w:t>
            </w:r>
          </w:p>
        </w:tc>
        <w:tc>
          <w:tcPr/>
          <w:p>
            <w:pPr>
              <w:pStyle w:val="Compact"/>
              <w:jc w:val="left"/>
            </w:pPr>
            <w:r>
              <w:t xml:space="preserve">0.823</w:t>
            </w:r>
          </w:p>
        </w:tc>
        <w:tc>
          <w:tcPr/>
          <w:p>
            <w:pPr>
              <w:pStyle w:val="Compact"/>
              <w:jc w:val="right"/>
            </w:pPr>
            <w:r>
              <w:t xml:space="preserve">0.930</w:t>
            </w:r>
          </w:p>
        </w:tc>
        <w:tc>
          <w:tcPr/>
          <w:p>
            <w:pPr>
              <w:pStyle w:val="Compact"/>
              <w:jc w:val="right"/>
            </w:pPr>
            <w:r>
              <w:t xml:space="preserve">0.495</w:t>
            </w:r>
          </w:p>
        </w:tc>
        <w:tc>
          <w:tcPr/>
          <w:p>
            <w:pPr>
              <w:pStyle w:val="Compact"/>
              <w:jc w:val="right"/>
            </w:pPr>
            <w:r>
              <w:t xml:space="preserve">1.750</w:t>
            </w:r>
          </w:p>
        </w:tc>
      </w:tr>
      <w:tr>
        <w:tc>
          <w:tcPr/>
          <w:p>
            <w:pPr>
              <w:pStyle w:val="Compact"/>
              <w:jc w:val="left"/>
            </w:pPr>
            <w:r>
              <w:t xml:space="preserve">ruralSuburban</w:t>
            </w:r>
          </w:p>
        </w:tc>
        <w:tc>
          <w:tcPr/>
          <w:p>
            <w:pPr>
              <w:pStyle w:val="Compact"/>
              <w:jc w:val="right"/>
            </w:pPr>
            <w:r>
              <w:t xml:space="preserve">0.034</w:t>
            </w:r>
          </w:p>
        </w:tc>
        <w:tc>
          <w:tcPr/>
          <w:p>
            <w:pPr>
              <w:pStyle w:val="Compact"/>
              <w:jc w:val="right"/>
            </w:pPr>
            <w:r>
              <w:t xml:space="preserve">0.189</w:t>
            </w:r>
          </w:p>
        </w:tc>
        <w:tc>
          <w:tcPr/>
          <w:p>
            <w:pPr>
              <w:pStyle w:val="Compact"/>
              <w:jc w:val="right"/>
            </w:pPr>
            <w:r>
              <w:t xml:space="preserve">0.180</w:t>
            </w:r>
          </w:p>
        </w:tc>
        <w:tc>
          <w:tcPr/>
          <w:p>
            <w:pPr>
              <w:pStyle w:val="Compact"/>
              <w:jc w:val="right"/>
            </w:pPr>
            <w:r>
              <w:t xml:space="preserve">0.857</w:t>
            </w:r>
          </w:p>
        </w:tc>
        <w:tc>
          <w:tcPr/>
          <w:p>
            <w:pPr>
              <w:pStyle w:val="Compact"/>
              <w:jc w:val="left"/>
            </w:pPr>
            <w:r>
              <w:t xml:space="preserve">0.857</w:t>
            </w:r>
          </w:p>
        </w:tc>
        <w:tc>
          <w:tcPr/>
          <w:p>
            <w:pPr>
              <w:pStyle w:val="Compact"/>
              <w:jc w:val="right"/>
            </w:pPr>
            <w:r>
              <w:t xml:space="preserve">1.034</w:t>
            </w:r>
          </w:p>
        </w:tc>
        <w:tc>
          <w:tcPr/>
          <w:p>
            <w:pPr>
              <w:pStyle w:val="Compact"/>
              <w:jc w:val="right"/>
            </w:pPr>
            <w:r>
              <w:t xml:space="preserve">0.715</w:t>
            </w:r>
          </w:p>
        </w:tc>
        <w:tc>
          <w:tcPr/>
          <w:p>
            <w:pPr>
              <w:pStyle w:val="Compact"/>
              <w:jc w:val="right"/>
            </w:pPr>
            <w:r>
              <w:t xml:space="preserve">1.497</w:t>
            </w:r>
          </w:p>
        </w:tc>
      </w:tr>
      <w:tr>
        <w:tc>
          <w:tcPr/>
          <w:p>
            <w:pPr>
              <w:pStyle w:val="Compact"/>
              <w:jc w:val="left"/>
            </w:pPr>
            <w:r>
              <w:t xml:space="preserve">caller_fDeol</w:t>
            </w:r>
          </w:p>
        </w:tc>
        <w:tc>
          <w:tcPr/>
          <w:p>
            <w:pPr>
              <w:pStyle w:val="Compact"/>
              <w:jc w:val="right"/>
            </w:pPr>
            <w:r>
              <w:t xml:space="preserve">0.851</w:t>
            </w:r>
          </w:p>
        </w:tc>
        <w:tc>
          <w:tcPr/>
          <w:p>
            <w:pPr>
              <w:pStyle w:val="Compact"/>
              <w:jc w:val="right"/>
            </w:pPr>
            <w:r>
              <w:t xml:space="preserve">0.255</w:t>
            </w:r>
          </w:p>
        </w:tc>
        <w:tc>
          <w:tcPr/>
          <w:p>
            <w:pPr>
              <w:pStyle w:val="Compact"/>
              <w:jc w:val="right"/>
            </w:pPr>
            <w:r>
              <w:t xml:space="preserve">3.341</w:t>
            </w:r>
          </w:p>
        </w:tc>
        <w:tc>
          <w:tcPr/>
          <w:p>
            <w:pPr>
              <w:pStyle w:val="Compact"/>
              <w:jc w:val="right"/>
            </w:pPr>
            <w:r>
              <w:t xml:space="preserve">0.001</w:t>
            </w:r>
          </w:p>
        </w:tc>
        <w:tc>
          <w:tcPr/>
          <w:p>
            <w:pPr>
              <w:pStyle w:val="Compact"/>
              <w:jc w:val="left"/>
            </w:pPr>
            <w:r>
              <w:t xml:space="preserve">&lt; 0.001</w:t>
            </w:r>
          </w:p>
        </w:tc>
        <w:tc>
          <w:tcPr/>
          <w:p>
            <w:pPr>
              <w:pStyle w:val="Compact"/>
              <w:jc w:val="right"/>
            </w:pPr>
            <w:r>
              <w:t xml:space="preserve">2.342</w:t>
            </w:r>
          </w:p>
        </w:tc>
        <w:tc>
          <w:tcPr/>
          <w:p>
            <w:pPr>
              <w:pStyle w:val="Compact"/>
              <w:jc w:val="right"/>
            </w:pPr>
            <w:r>
              <w:t xml:space="preserve">1.422</w:t>
            </w:r>
          </w:p>
        </w:tc>
        <w:tc>
          <w:tcPr/>
          <w:p>
            <w:pPr>
              <w:pStyle w:val="Compact"/>
              <w:jc w:val="right"/>
            </w:pPr>
            <w:r>
              <w:t xml:space="preserve">3.858</w:t>
            </w:r>
          </w:p>
        </w:tc>
      </w:tr>
      <w:tr>
        <w:tc>
          <w:tcPr/>
          <w:p>
            <w:pPr>
              <w:pStyle w:val="Compact"/>
              <w:jc w:val="left"/>
            </w:pPr>
            <w:r>
              <w:t xml:space="preserve">caller_fFalk</w:t>
            </w:r>
          </w:p>
        </w:tc>
        <w:tc>
          <w:tcPr/>
          <w:p>
            <w:pPr>
              <w:pStyle w:val="Compact"/>
              <w:jc w:val="right"/>
            </w:pPr>
            <w:r>
              <w:t xml:space="preserve">0.693</w:t>
            </w:r>
          </w:p>
        </w:tc>
        <w:tc>
          <w:tcPr/>
          <w:p>
            <w:pPr>
              <w:pStyle w:val="Compact"/>
              <w:jc w:val="right"/>
            </w:pPr>
            <w:r>
              <w:t xml:space="preserve">0.290</w:t>
            </w:r>
          </w:p>
        </w:tc>
        <w:tc>
          <w:tcPr/>
          <w:p>
            <w:pPr>
              <w:pStyle w:val="Compact"/>
              <w:jc w:val="right"/>
            </w:pPr>
            <w:r>
              <w:t xml:space="preserve">2.394</w:t>
            </w:r>
          </w:p>
        </w:tc>
        <w:tc>
          <w:tcPr/>
          <w:p>
            <w:pPr>
              <w:pStyle w:val="Compact"/>
              <w:jc w:val="right"/>
            </w:pPr>
            <w:r>
              <w:t xml:space="preserve">0.017</w:t>
            </w:r>
          </w:p>
        </w:tc>
        <w:tc>
          <w:tcPr/>
          <w:p>
            <w:pPr>
              <w:pStyle w:val="Compact"/>
              <w:jc w:val="left"/>
            </w:pPr>
            <w:r>
              <w:t xml:space="preserve">0.017</w:t>
            </w:r>
          </w:p>
        </w:tc>
        <w:tc>
          <w:tcPr/>
          <w:p>
            <w:pPr>
              <w:pStyle w:val="Compact"/>
              <w:jc w:val="right"/>
            </w:pPr>
            <w:r>
              <w:t xml:space="preserve">2.000</w:t>
            </w:r>
          </w:p>
        </w:tc>
        <w:tc>
          <w:tcPr/>
          <w:p>
            <w:pPr>
              <w:pStyle w:val="Compact"/>
              <w:jc w:val="right"/>
            </w:pPr>
            <w:r>
              <w:t xml:space="preserve">1.134</w:t>
            </w:r>
          </w:p>
        </w:tc>
        <w:tc>
          <w:tcPr/>
          <w:p>
            <w:pPr>
              <w:pStyle w:val="Compact"/>
              <w:jc w:val="right"/>
            </w:pPr>
            <w:r>
              <w:t xml:space="preserve">3.527</w:t>
            </w:r>
          </w:p>
        </w:tc>
      </w:tr>
      <w:tr>
        <w:tc>
          <w:tcPr/>
          <w:p>
            <w:pPr>
              <w:pStyle w:val="Compact"/>
              <w:jc w:val="left"/>
            </w:pPr>
            <w:r>
              <w:t xml:space="preserve">caller_fGregg</w:t>
            </w:r>
          </w:p>
        </w:tc>
        <w:tc>
          <w:tcPr/>
          <w:p>
            <w:pPr>
              <w:pStyle w:val="Compact"/>
              <w:jc w:val="right"/>
            </w:pPr>
            <w:r>
              <w:t xml:space="preserve">0.640</w:t>
            </w:r>
          </w:p>
        </w:tc>
        <w:tc>
          <w:tcPr/>
          <w:p>
            <w:pPr>
              <w:pStyle w:val="Compact"/>
              <w:jc w:val="right"/>
            </w:pPr>
            <w:r>
              <w:t xml:space="preserve">0.254</w:t>
            </w:r>
          </w:p>
        </w:tc>
        <w:tc>
          <w:tcPr/>
          <w:p>
            <w:pPr>
              <w:pStyle w:val="Compact"/>
              <w:jc w:val="right"/>
            </w:pPr>
            <w:r>
              <w:t xml:space="preserve">2.516</w:t>
            </w:r>
          </w:p>
        </w:tc>
        <w:tc>
          <w:tcPr/>
          <w:p>
            <w:pPr>
              <w:pStyle w:val="Compact"/>
              <w:jc w:val="right"/>
            </w:pPr>
            <w:r>
              <w:t xml:space="preserve">0.012</w:t>
            </w:r>
          </w:p>
        </w:tc>
        <w:tc>
          <w:tcPr/>
          <w:p>
            <w:pPr>
              <w:pStyle w:val="Compact"/>
              <w:jc w:val="left"/>
            </w:pPr>
            <w:r>
              <w:t xml:space="preserve">0.012</w:t>
            </w:r>
          </w:p>
        </w:tc>
        <w:tc>
          <w:tcPr/>
          <w:p>
            <w:pPr>
              <w:pStyle w:val="Compact"/>
              <w:jc w:val="right"/>
            </w:pPr>
            <w:r>
              <w:t xml:space="preserve">1.896</w:t>
            </w:r>
          </w:p>
        </w:tc>
        <w:tc>
          <w:tcPr/>
          <w:p>
            <w:pPr>
              <w:pStyle w:val="Compact"/>
              <w:jc w:val="right"/>
            </w:pPr>
            <w:r>
              <w:t xml:space="preserve">1.152</w:t>
            </w:r>
          </w:p>
        </w:tc>
        <w:tc>
          <w:tcPr/>
          <w:p>
            <w:pPr>
              <w:pStyle w:val="Compact"/>
              <w:jc w:val="right"/>
            </w:pPr>
            <w:r>
              <w:t xml:space="preserve">3.121</w:t>
            </w:r>
          </w:p>
        </w:tc>
      </w:tr>
      <w:tr>
        <w:tc>
          <w:tcPr/>
          <w:p>
            <w:pPr>
              <w:pStyle w:val="Compact"/>
              <w:jc w:val="left"/>
            </w:pPr>
            <w:r>
              <w:t xml:space="preserve">caller_fKim</w:t>
            </w:r>
          </w:p>
        </w:tc>
        <w:tc>
          <w:tcPr/>
          <w:p>
            <w:pPr>
              <w:pStyle w:val="Compact"/>
              <w:jc w:val="right"/>
            </w:pPr>
            <w:r>
              <w:t xml:space="preserve">0.685</w:t>
            </w:r>
          </w:p>
        </w:tc>
        <w:tc>
          <w:tcPr/>
          <w:p>
            <w:pPr>
              <w:pStyle w:val="Compact"/>
              <w:jc w:val="right"/>
            </w:pPr>
            <w:r>
              <w:t xml:space="preserve">0.254</w:t>
            </w:r>
          </w:p>
        </w:tc>
        <w:tc>
          <w:tcPr/>
          <w:p>
            <w:pPr>
              <w:pStyle w:val="Compact"/>
              <w:jc w:val="right"/>
            </w:pPr>
            <w:r>
              <w:t xml:space="preserve">2.691</w:t>
            </w:r>
          </w:p>
        </w:tc>
        <w:tc>
          <w:tcPr/>
          <w:p>
            <w:pPr>
              <w:pStyle w:val="Compact"/>
              <w:jc w:val="right"/>
            </w:pPr>
            <w:r>
              <w:t xml:space="preserve">0.007</w:t>
            </w:r>
          </w:p>
        </w:tc>
        <w:tc>
          <w:tcPr/>
          <w:p>
            <w:pPr>
              <w:pStyle w:val="Compact"/>
              <w:jc w:val="left"/>
            </w:pPr>
            <w:r>
              <w:t xml:space="preserve">0.007</w:t>
            </w:r>
          </w:p>
        </w:tc>
        <w:tc>
          <w:tcPr/>
          <w:p>
            <w:pPr>
              <w:pStyle w:val="Compact"/>
              <w:jc w:val="right"/>
            </w:pPr>
            <w:r>
              <w:t xml:space="preserve">1.983</w:t>
            </w:r>
          </w:p>
        </w:tc>
        <w:tc>
          <w:tcPr/>
          <w:p>
            <w:pPr>
              <w:pStyle w:val="Compact"/>
              <w:jc w:val="right"/>
            </w:pPr>
            <w:r>
              <w:t xml:space="preserve">1.205</w:t>
            </w:r>
          </w:p>
        </w:tc>
        <w:tc>
          <w:tcPr/>
          <w:p>
            <w:pPr>
              <w:pStyle w:val="Compact"/>
              <w:jc w:val="right"/>
            </w:pPr>
            <w:r>
              <w:t xml:space="preserve">3.266</w:t>
            </w:r>
          </w:p>
        </w:tc>
      </w:tr>
      <w:tr>
        <w:tc>
          <w:tcPr/>
          <w:p>
            <w:pPr>
              <w:pStyle w:val="Compact"/>
              <w:jc w:val="left"/>
            </w:pPr>
            <w:r>
              <w:t xml:space="preserve">caller_fOther</w:t>
            </w:r>
          </w:p>
        </w:tc>
        <w:tc>
          <w:tcPr/>
          <w:p>
            <w:pPr>
              <w:pStyle w:val="Compact"/>
              <w:jc w:val="right"/>
            </w:pPr>
            <w:r>
              <w:t xml:space="preserve">-0.694</w:t>
            </w:r>
          </w:p>
        </w:tc>
        <w:tc>
          <w:tcPr/>
          <w:p>
            <w:pPr>
              <w:pStyle w:val="Compact"/>
              <w:jc w:val="right"/>
            </w:pPr>
            <w:r>
              <w:t xml:space="preserve">0.634</w:t>
            </w:r>
          </w:p>
        </w:tc>
        <w:tc>
          <w:tcPr/>
          <w:p>
            <w:pPr>
              <w:pStyle w:val="Compact"/>
              <w:jc w:val="right"/>
            </w:pPr>
            <w:r>
              <w:t xml:space="preserve">-1.095</w:t>
            </w:r>
          </w:p>
        </w:tc>
        <w:tc>
          <w:tcPr/>
          <w:p>
            <w:pPr>
              <w:pStyle w:val="Compact"/>
              <w:jc w:val="right"/>
            </w:pPr>
            <w:r>
              <w:t xml:space="preserve">0.274</w:t>
            </w:r>
          </w:p>
        </w:tc>
        <w:tc>
          <w:tcPr/>
          <w:p>
            <w:pPr>
              <w:pStyle w:val="Compact"/>
              <w:jc w:val="left"/>
            </w:pPr>
            <w:r>
              <w:t xml:space="preserve">0.274</w:t>
            </w:r>
          </w:p>
        </w:tc>
        <w:tc>
          <w:tcPr/>
          <w:p>
            <w:pPr>
              <w:pStyle w:val="Compact"/>
              <w:jc w:val="right"/>
            </w:pPr>
            <w:r>
              <w:t xml:space="preserve">0.499</w:t>
            </w:r>
          </w:p>
        </w:tc>
        <w:tc>
          <w:tcPr/>
          <w:p>
            <w:pPr>
              <w:pStyle w:val="Compact"/>
              <w:jc w:val="right"/>
            </w:pPr>
            <w:r>
              <w:t xml:space="preserve">0.144</w:t>
            </w:r>
          </w:p>
        </w:tc>
        <w:tc>
          <w:tcPr/>
          <w:p>
            <w:pPr>
              <w:pStyle w:val="Compact"/>
              <w:jc w:val="right"/>
            </w:pPr>
            <w:r>
              <w:t xml:space="preserve">1.732</w:t>
            </w:r>
          </w:p>
        </w:tc>
      </w:tr>
      <w:tr>
        <w:tc>
          <w:tcPr/>
          <w:p>
            <w:pPr>
              <w:pStyle w:val="Compact"/>
              <w:jc w:val="left"/>
            </w:pPr>
            <w:r>
              <w:t xml:space="preserve">caller_fWalsh</w:t>
            </w:r>
          </w:p>
        </w:tc>
        <w:tc>
          <w:tcPr/>
          <w:p>
            <w:pPr>
              <w:pStyle w:val="Compact"/>
              <w:jc w:val="right"/>
            </w:pPr>
            <w:r>
              <w:t xml:space="preserve">0.809</w:t>
            </w:r>
          </w:p>
        </w:tc>
        <w:tc>
          <w:tcPr/>
          <w:p>
            <w:pPr>
              <w:pStyle w:val="Compact"/>
              <w:jc w:val="right"/>
            </w:pPr>
            <w:r>
              <w:t xml:space="preserve">0.250</w:t>
            </w:r>
          </w:p>
        </w:tc>
        <w:tc>
          <w:tcPr/>
          <w:p>
            <w:pPr>
              <w:pStyle w:val="Compact"/>
              <w:jc w:val="right"/>
            </w:pPr>
            <w:r>
              <w:t xml:space="preserve">3.235</w:t>
            </w:r>
          </w:p>
        </w:tc>
        <w:tc>
          <w:tcPr/>
          <w:p>
            <w:pPr>
              <w:pStyle w:val="Compact"/>
              <w:jc w:val="right"/>
            </w:pPr>
            <w:r>
              <w:t xml:space="preserve">0.001</w:t>
            </w:r>
          </w:p>
        </w:tc>
        <w:tc>
          <w:tcPr/>
          <w:p>
            <w:pPr>
              <w:pStyle w:val="Compact"/>
              <w:jc w:val="left"/>
            </w:pPr>
            <w:r>
              <w:t xml:space="preserve">0.001</w:t>
            </w:r>
          </w:p>
        </w:tc>
        <w:tc>
          <w:tcPr/>
          <w:p>
            <w:pPr>
              <w:pStyle w:val="Compact"/>
              <w:jc w:val="right"/>
            </w:pPr>
            <w:r>
              <w:t xml:space="preserve">2.247</w:t>
            </w:r>
          </w:p>
        </w:tc>
        <w:tc>
          <w:tcPr/>
          <w:p>
            <w:pPr>
              <w:pStyle w:val="Compact"/>
              <w:jc w:val="right"/>
            </w:pPr>
            <w:r>
              <w:t xml:space="preserve">1.376</w:t>
            </w:r>
          </w:p>
        </w:tc>
        <w:tc>
          <w:tcPr/>
          <w:p>
            <w:pPr>
              <w:pStyle w:val="Compact"/>
              <w:jc w:val="right"/>
            </w:pPr>
            <w:r>
              <w:t xml:space="preserve">3.669</w:t>
            </w:r>
          </w:p>
        </w:tc>
      </w:tr>
    </w:tbl>
    <w:p/>
    <w:p>
      <w:pPr>
        <w:pStyle w:val="TableCaption"/>
      </w:pPr>
      <w:r>
        <w:t xml:space="preserve">Table S2. Full timeliness model (all rate ratios).</w:t>
      </w:r>
    </w:p>
    <w:tbl>
      <w:tblPr>
        <w:tblStyle w:val="Table"/>
        <w:tblW w:type="auto" w:w="0"/>
        <w:tblLook w:firstRow="1" w:lastRow="0" w:firstColumn="0" w:lastColumn="0" w:noHBand="0" w:noVBand="0" w:val="0020"/>
        <w:tblCaption w:val="Table S2. Full timeliness model (all rate ratios)."/>
      </w:tblPr>
      <w:tblGrid>
        <w:gridCol w:w="2640"/>
        <w:gridCol w:w="2640"/>
        <w:gridCol w:w="2640"/>
      </w:tblGrid>
      <w:tr>
        <w:trPr>
          <w:tblHeader w:val="on"/>
        </w:trPr>
        <w:tc>
          <w:tcPr/>
          <w:p>
            <w:pPr>
              <w:pStyle w:val="Compact"/>
              <w:jc w:val="left"/>
            </w:pPr>
            <w:r>
              <w:t xml:space="preserve">Term</w:t>
            </w:r>
          </w:p>
        </w:tc>
        <w:tc>
          <w:tcPr/>
          <w:p>
            <w:pPr>
              <w:pStyle w:val="Compact"/>
              <w:jc w:val="left"/>
            </w:pPr>
            <w:r>
              <w:t xml:space="preserve">IRR (95% CI)</w:t>
            </w:r>
          </w:p>
        </w:tc>
        <w:tc>
          <w:tcPr/>
          <w:p>
            <w:pPr>
              <w:pStyle w:val="Compact"/>
              <w:jc w:val="right"/>
            </w:pPr>
            <w:r>
              <w:t xml:space="preserve">p-value</w:t>
            </w:r>
          </w:p>
        </w:tc>
      </w:tr>
      <w:tr>
        <w:tc>
          <w:tcPr/>
          <w:p>
            <w:pPr>
              <w:pStyle w:val="Compact"/>
              <w:jc w:val="left"/>
            </w:pPr>
            <w:r>
              <w:t xml:space="preserve">ent_typeFacial Plastics</w:t>
            </w:r>
          </w:p>
        </w:tc>
        <w:tc>
          <w:tcPr/>
          <w:p>
            <w:pPr>
              <w:pStyle w:val="Compact"/>
              <w:jc w:val="left"/>
            </w:pPr>
            <w:r>
              <w:t xml:space="preserve">1.04 (0.72-1.50)</w:t>
            </w:r>
          </w:p>
        </w:tc>
        <w:tc>
          <w:tcPr/>
          <w:p>
            <w:pPr>
              <w:pStyle w:val="Compact"/>
              <w:jc w:val="right"/>
            </w:pPr>
            <w:r>
              <w:t xml:space="preserve">0.852</w:t>
            </w:r>
          </w:p>
        </w:tc>
      </w:tr>
      <w:tr>
        <w:tc>
          <w:tcPr/>
          <w:p>
            <w:pPr>
              <w:pStyle w:val="Compact"/>
              <w:jc w:val="left"/>
            </w:pPr>
            <w:r>
              <w:t xml:space="preserve">ent_typeHead and Neck Cancer</w:t>
            </w:r>
          </w:p>
        </w:tc>
        <w:tc>
          <w:tcPr/>
          <w:p>
            <w:pPr>
              <w:pStyle w:val="Compact"/>
              <w:jc w:val="left"/>
            </w:pPr>
            <w:r>
              <w:t xml:space="preserve">1.26 (0.72-2.23)</w:t>
            </w:r>
          </w:p>
        </w:tc>
        <w:tc>
          <w:tcPr/>
          <w:p>
            <w:pPr>
              <w:pStyle w:val="Compact"/>
              <w:jc w:val="right"/>
            </w:pPr>
            <w:r>
              <w:t xml:space="preserve">0.421</w:t>
            </w:r>
          </w:p>
        </w:tc>
      </w:tr>
      <w:tr>
        <w:tc>
          <w:tcPr/>
          <w:p>
            <w:pPr>
              <w:pStyle w:val="Compact"/>
              <w:jc w:val="left"/>
            </w:pPr>
            <w:r>
              <w:t xml:space="preserve">ent_typeLaryngology</w:t>
            </w:r>
          </w:p>
        </w:tc>
        <w:tc>
          <w:tcPr/>
          <w:p>
            <w:pPr>
              <w:pStyle w:val="Compact"/>
              <w:jc w:val="left"/>
            </w:pPr>
            <w:r>
              <w:t xml:space="preserve">2.25 (1.13-4.46)</w:t>
            </w:r>
          </w:p>
        </w:tc>
        <w:tc>
          <w:tcPr/>
          <w:p>
            <w:pPr>
              <w:pStyle w:val="Compact"/>
              <w:jc w:val="right"/>
            </w:pPr>
            <w:r>
              <w:t xml:space="preserve">0.020</w:t>
            </w:r>
          </w:p>
        </w:tc>
      </w:tr>
      <w:tr>
        <w:tc>
          <w:tcPr/>
          <w:p>
            <w:pPr>
              <w:pStyle w:val="Compact"/>
              <w:jc w:val="left"/>
            </w:pPr>
            <w:r>
              <w:t xml:space="preserve">ent_typeOtology/neurotology</w:t>
            </w:r>
          </w:p>
        </w:tc>
        <w:tc>
          <w:tcPr/>
          <w:p>
            <w:pPr>
              <w:pStyle w:val="Compact"/>
              <w:jc w:val="left"/>
            </w:pPr>
            <w:r>
              <w:t xml:space="preserve">1.21 (0.64-2.26)</w:t>
            </w:r>
          </w:p>
        </w:tc>
        <w:tc>
          <w:tcPr/>
          <w:p>
            <w:pPr>
              <w:pStyle w:val="Compact"/>
              <w:jc w:val="right"/>
            </w:pPr>
            <w:r>
              <w:t xml:space="preserve">0.557</w:t>
            </w:r>
          </w:p>
        </w:tc>
      </w:tr>
      <w:tr>
        <w:tc>
          <w:tcPr/>
          <w:p>
            <w:pPr>
              <w:pStyle w:val="Compact"/>
              <w:jc w:val="left"/>
            </w:pPr>
            <w:r>
              <w:t xml:space="preserve">ent_typePediatrics</w:t>
            </w:r>
          </w:p>
        </w:tc>
        <w:tc>
          <w:tcPr/>
          <w:p>
            <w:pPr>
              <w:pStyle w:val="Compact"/>
              <w:jc w:val="left"/>
            </w:pPr>
            <w:r>
              <w:t xml:space="preserve">1.54 (1.04-2.28)</w:t>
            </w:r>
          </w:p>
        </w:tc>
        <w:tc>
          <w:tcPr/>
          <w:p>
            <w:pPr>
              <w:pStyle w:val="Compact"/>
              <w:jc w:val="right"/>
            </w:pPr>
            <w:r>
              <w:t xml:space="preserve">0.031</w:t>
            </w:r>
          </w:p>
        </w:tc>
      </w:tr>
      <w:tr>
        <w:tc>
          <w:tcPr/>
          <w:p>
            <w:pPr>
              <w:pStyle w:val="Compact"/>
              <w:jc w:val="left"/>
            </w:pPr>
            <w:r>
              <w:t xml:space="preserve">ent_typeRhinology</w:t>
            </w:r>
          </w:p>
        </w:tc>
        <w:tc>
          <w:tcPr/>
          <w:p>
            <w:pPr>
              <w:pStyle w:val="Compact"/>
              <w:jc w:val="left"/>
            </w:pPr>
            <w:r>
              <w:t xml:space="preserve">1.55 (0.89-2.68)</w:t>
            </w:r>
          </w:p>
        </w:tc>
        <w:tc>
          <w:tcPr/>
          <w:p>
            <w:pPr>
              <w:pStyle w:val="Compact"/>
              <w:jc w:val="right"/>
            </w:pPr>
            <w:r>
              <w:t xml:space="preserve">0.121</w:t>
            </w:r>
          </w:p>
        </w:tc>
      </w:tr>
      <w:tr>
        <w:tc>
          <w:tcPr/>
          <w:p>
            <w:pPr>
              <w:pStyle w:val="Compact"/>
              <w:jc w:val="left"/>
            </w:pPr>
            <w:r>
              <w:t xml:space="preserve">ent_typeSleep</w:t>
            </w:r>
          </w:p>
        </w:tc>
        <w:tc>
          <w:tcPr/>
          <w:p>
            <w:pPr>
              <w:pStyle w:val="Compact"/>
              <w:jc w:val="left"/>
            </w:pPr>
            <w:r>
              <w:t xml:space="preserve">1.17 (0.61-2.24)</w:t>
            </w:r>
          </w:p>
        </w:tc>
        <w:tc>
          <w:tcPr/>
          <w:p>
            <w:pPr>
              <w:pStyle w:val="Compact"/>
              <w:jc w:val="right"/>
            </w:pPr>
            <w:r>
              <w:t xml:space="preserve">0.646</w:t>
            </w:r>
          </w:p>
        </w:tc>
      </w:tr>
      <w:tr>
        <w:tc>
          <w:tcPr/>
          <w:p>
            <w:pPr>
              <w:pStyle w:val="Compact"/>
              <w:jc w:val="left"/>
            </w:pPr>
            <w:r>
              <w:t xml:space="preserve">ent_per_100k_z</w:t>
            </w:r>
          </w:p>
        </w:tc>
        <w:tc>
          <w:tcPr/>
          <w:p>
            <w:pPr>
              <w:pStyle w:val="Compact"/>
              <w:jc w:val="left"/>
            </w:pPr>
            <w:r>
              <w:t xml:space="preserve">0.95 (0.81-1.11)</w:t>
            </w:r>
          </w:p>
        </w:tc>
        <w:tc>
          <w:tcPr/>
          <w:p>
            <w:pPr>
              <w:pStyle w:val="Compact"/>
              <w:jc w:val="right"/>
            </w:pPr>
            <w:r>
              <w:t xml:space="preserve">0.499</w:t>
            </w:r>
          </w:p>
        </w:tc>
      </w:tr>
      <w:tr>
        <w:tc>
          <w:tcPr/>
          <w:p>
            <w:pPr>
              <w:pStyle w:val="Compact"/>
              <w:jc w:val="left"/>
            </w:pPr>
            <w:r>
              <w:t xml:space="preserve">medicaid_fee_index_z</w:t>
            </w:r>
          </w:p>
        </w:tc>
        <w:tc>
          <w:tcPr/>
          <w:p>
            <w:pPr>
              <w:pStyle w:val="Compact"/>
              <w:jc w:val="left"/>
            </w:pPr>
            <w:r>
              <w:t xml:space="preserve">0.96 (0.84-1.10)</w:t>
            </w:r>
          </w:p>
        </w:tc>
        <w:tc>
          <w:tcPr/>
          <w:p>
            <w:pPr>
              <w:pStyle w:val="Compact"/>
              <w:jc w:val="right"/>
            </w:pPr>
            <w:r>
              <w:t xml:space="preserve">0.545</w:t>
            </w:r>
          </w:p>
        </w:tc>
      </w:tr>
      <w:tr>
        <w:tc>
          <w:tcPr/>
          <w:p>
            <w:pPr>
              <w:pStyle w:val="Compact"/>
              <w:jc w:val="left"/>
            </w:pPr>
            <w:r>
              <w:t xml:space="preserve">svi_overall_z</w:t>
            </w:r>
          </w:p>
        </w:tc>
        <w:tc>
          <w:tcPr/>
          <w:p>
            <w:pPr>
              <w:pStyle w:val="Compact"/>
              <w:jc w:val="left"/>
            </w:pPr>
            <w:r>
              <w:t xml:space="preserve">0.95 (0.84-1.07)</w:t>
            </w:r>
          </w:p>
        </w:tc>
        <w:tc>
          <w:tcPr/>
          <w:p>
            <w:pPr>
              <w:pStyle w:val="Compact"/>
              <w:jc w:val="right"/>
            </w:pPr>
            <w:r>
              <w:t xml:space="preserve">0.423</w:t>
            </w:r>
          </w:p>
        </w:tc>
      </w:tr>
      <w:tr>
        <w:tc>
          <w:tcPr/>
          <w:p>
            <w:pPr>
              <w:pStyle w:val="Compact"/>
              <w:jc w:val="left"/>
            </w:pPr>
            <w:r>
              <w:t xml:space="preserve">dual_pct_z</w:t>
            </w:r>
          </w:p>
        </w:tc>
        <w:tc>
          <w:tcPr/>
          <w:p>
            <w:pPr>
              <w:pStyle w:val="Compact"/>
              <w:jc w:val="left"/>
            </w:pPr>
            <w:r>
              <w:t xml:space="preserve">0.98 (0.86-1.12)</w:t>
            </w:r>
          </w:p>
        </w:tc>
        <w:tc>
          <w:tcPr/>
          <w:p>
            <w:pPr>
              <w:pStyle w:val="Compact"/>
              <w:jc w:val="right"/>
            </w:pPr>
            <w:r>
              <w:t xml:space="preserve">0.801</w:t>
            </w:r>
          </w:p>
        </w:tc>
      </w:tr>
      <w:tr>
        <w:tc>
          <w:tcPr/>
          <w:p>
            <w:pPr>
              <w:pStyle w:val="Compact"/>
              <w:jc w:val="left"/>
            </w:pPr>
            <w:r>
              <w:t xml:space="preserve">ruralRural</w:t>
            </w:r>
          </w:p>
        </w:tc>
        <w:tc>
          <w:tcPr/>
          <w:p>
            <w:pPr>
              <w:pStyle w:val="Compact"/>
              <w:jc w:val="left"/>
            </w:pPr>
            <w:r>
              <w:t xml:space="preserve">1.14 (0.72-1.81)</w:t>
            </w:r>
          </w:p>
        </w:tc>
        <w:tc>
          <w:tcPr/>
          <w:p>
            <w:pPr>
              <w:pStyle w:val="Compact"/>
              <w:jc w:val="right"/>
            </w:pPr>
            <w:r>
              <w:t xml:space="preserve">0.579</w:t>
            </w:r>
          </w:p>
        </w:tc>
      </w:tr>
      <w:tr>
        <w:tc>
          <w:tcPr/>
          <w:p>
            <w:pPr>
              <w:pStyle w:val="Compact"/>
              <w:jc w:val="left"/>
            </w:pPr>
            <w:r>
              <w:t xml:space="preserve">ruralSuburban</w:t>
            </w:r>
          </w:p>
        </w:tc>
        <w:tc>
          <w:tcPr/>
          <w:p>
            <w:pPr>
              <w:pStyle w:val="Compact"/>
              <w:jc w:val="left"/>
            </w:pPr>
            <w:r>
              <w:t xml:space="preserve">1.08 (0.81-1.42)</w:t>
            </w:r>
          </w:p>
        </w:tc>
        <w:tc>
          <w:tcPr/>
          <w:p>
            <w:pPr>
              <w:pStyle w:val="Compact"/>
              <w:jc w:val="right"/>
            </w:pPr>
            <w:r>
              <w:t xml:space="preserve">0.606</w:t>
            </w:r>
          </w:p>
        </w:tc>
      </w:tr>
      <w:tr>
        <w:tc>
          <w:tcPr/>
          <w:p>
            <w:pPr>
              <w:pStyle w:val="Compact"/>
              <w:jc w:val="left"/>
            </w:pPr>
            <w:r>
              <w:t xml:space="preserve">caller_fDeol</w:t>
            </w:r>
          </w:p>
        </w:tc>
        <w:tc>
          <w:tcPr/>
          <w:p>
            <w:pPr>
              <w:pStyle w:val="Compact"/>
              <w:jc w:val="left"/>
            </w:pPr>
            <w:r>
              <w:t xml:space="preserve">0.82 (0.59-1.14)</w:t>
            </w:r>
          </w:p>
        </w:tc>
        <w:tc>
          <w:tcPr/>
          <w:p>
            <w:pPr>
              <w:pStyle w:val="Compact"/>
              <w:jc w:val="right"/>
            </w:pPr>
            <w:r>
              <w:t xml:space="preserve">0.235</w:t>
            </w:r>
          </w:p>
        </w:tc>
      </w:tr>
      <w:tr>
        <w:tc>
          <w:tcPr/>
          <w:p>
            <w:pPr>
              <w:pStyle w:val="Compact"/>
              <w:jc w:val="left"/>
            </w:pPr>
            <w:r>
              <w:t xml:space="preserve">caller_fFalk</w:t>
            </w:r>
          </w:p>
        </w:tc>
        <w:tc>
          <w:tcPr/>
          <w:p>
            <w:pPr>
              <w:pStyle w:val="Compact"/>
              <w:jc w:val="left"/>
            </w:pPr>
            <w:r>
              <w:t xml:space="preserve">0.61 (0.41-0.91)</w:t>
            </w:r>
          </w:p>
        </w:tc>
        <w:tc>
          <w:tcPr/>
          <w:p>
            <w:pPr>
              <w:pStyle w:val="Compact"/>
              <w:jc w:val="right"/>
            </w:pPr>
            <w:r>
              <w:t xml:space="preserve">0.015</w:t>
            </w:r>
          </w:p>
        </w:tc>
      </w:tr>
      <w:tr>
        <w:tc>
          <w:tcPr/>
          <w:p>
            <w:pPr>
              <w:pStyle w:val="Compact"/>
              <w:jc w:val="left"/>
            </w:pPr>
            <w:r>
              <w:t xml:space="preserve">caller_fGregg</w:t>
            </w:r>
          </w:p>
        </w:tc>
        <w:tc>
          <w:tcPr/>
          <w:p>
            <w:pPr>
              <w:pStyle w:val="Compact"/>
              <w:jc w:val="left"/>
            </w:pPr>
            <w:r>
              <w:t xml:space="preserve">1.00 (0.71-1.40)</w:t>
            </w:r>
          </w:p>
        </w:tc>
        <w:tc>
          <w:tcPr/>
          <w:p>
            <w:pPr>
              <w:pStyle w:val="Compact"/>
              <w:jc w:val="right"/>
            </w:pPr>
            <w:r>
              <w:t xml:space="preserve">0.978</w:t>
            </w:r>
          </w:p>
        </w:tc>
      </w:tr>
      <w:tr>
        <w:tc>
          <w:tcPr/>
          <w:p>
            <w:pPr>
              <w:pStyle w:val="Compact"/>
              <w:jc w:val="left"/>
            </w:pPr>
            <w:r>
              <w:t xml:space="preserve">caller_fKim</w:t>
            </w:r>
          </w:p>
        </w:tc>
        <w:tc>
          <w:tcPr/>
          <w:p>
            <w:pPr>
              <w:pStyle w:val="Compact"/>
              <w:jc w:val="left"/>
            </w:pPr>
            <w:r>
              <w:t xml:space="preserve">1.00 (0.71-1.42)</w:t>
            </w:r>
          </w:p>
        </w:tc>
        <w:tc>
          <w:tcPr/>
          <w:p>
            <w:pPr>
              <w:pStyle w:val="Compact"/>
              <w:jc w:val="right"/>
            </w:pPr>
            <w:r>
              <w:t xml:space="preserve">0.999</w:t>
            </w:r>
          </w:p>
        </w:tc>
      </w:tr>
      <w:tr>
        <w:tc>
          <w:tcPr/>
          <w:p>
            <w:pPr>
              <w:pStyle w:val="Compact"/>
              <w:jc w:val="left"/>
            </w:pPr>
            <w:r>
              <w:t xml:space="preserve">caller_fOther</w:t>
            </w:r>
          </w:p>
        </w:tc>
        <w:tc>
          <w:tcPr/>
          <w:p>
            <w:pPr>
              <w:pStyle w:val="Compact"/>
              <w:jc w:val="left"/>
            </w:pPr>
            <w:r>
              <w:t xml:space="preserve">0.73 (0.26-2.10)</w:t>
            </w:r>
          </w:p>
        </w:tc>
        <w:tc>
          <w:tcPr/>
          <w:p>
            <w:pPr>
              <w:pStyle w:val="Compact"/>
              <w:jc w:val="right"/>
            </w:pPr>
            <w:r>
              <w:t xml:space="preserve">0.565</w:t>
            </w:r>
          </w:p>
        </w:tc>
      </w:tr>
      <w:tr>
        <w:tc>
          <w:tcPr/>
          <w:p>
            <w:pPr>
              <w:pStyle w:val="Compact"/>
              <w:jc w:val="left"/>
            </w:pPr>
            <w:r>
              <w:t xml:space="preserve">caller_fWalsh</w:t>
            </w:r>
          </w:p>
        </w:tc>
        <w:tc>
          <w:tcPr/>
          <w:p>
            <w:pPr>
              <w:pStyle w:val="Compact"/>
              <w:jc w:val="left"/>
            </w:pPr>
            <w:r>
              <w:t xml:space="preserve">0.86 (0.62-1.20)</w:t>
            </w:r>
          </w:p>
        </w:tc>
        <w:tc>
          <w:tcPr/>
          <w:p>
            <w:pPr>
              <w:pStyle w:val="Compact"/>
              <w:jc w:val="right"/>
            </w:pPr>
            <w:r>
              <w:t xml:space="preserve">0.379</w:t>
            </w:r>
          </w:p>
        </w:tc>
      </w:tr>
    </w:tbl>
    <w:p/>
    <w:p>
      <w:pPr>
        <w:pStyle w:val="TableCaption"/>
      </w:pPr>
      <w:r>
        <w:t xml:space="preserve">Table S3. Business-day wait by subspecialty.</w:t>
      </w:r>
    </w:p>
    <w:tbl>
      <w:tblPr>
        <w:tblStyle w:val="Table"/>
        <w:tblW w:type="auto" w:w="0"/>
        <w:tblLook w:firstRow="1" w:lastRow="0" w:firstColumn="0" w:lastColumn="0" w:noHBand="0" w:noVBand="0" w:val="0020"/>
        <w:tblCaption w:val="Table S3. Business-day wait by subspecialty."/>
      </w:tblPr>
      <w:tblGrid>
        <w:gridCol w:w="1584"/>
        <w:gridCol w:w="1584"/>
        <w:gridCol w:w="1584"/>
        <w:gridCol w:w="1584"/>
        <w:gridCol w:w="1584"/>
      </w:tblGrid>
      <w:tr>
        <w:trPr>
          <w:tblHeader w:val="on"/>
        </w:trPr>
        <w:tc>
          <w:tcPr/>
          <w:p>
            <w:pPr>
              <w:pStyle w:val="Compact"/>
              <w:jc w:val="left"/>
            </w:pPr>
            <w:r>
              <w:t xml:space="preserve">ent_type</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General</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26</w:t>
            </w:r>
          </w:p>
        </w:tc>
        <w:tc>
          <w:tcPr/>
          <w:p>
            <w:pPr>
              <w:pStyle w:val="Compact"/>
              <w:jc w:val="right"/>
            </w:pPr>
            <w:r>
              <w:t xml:space="preserve">290</w:t>
            </w:r>
          </w:p>
        </w:tc>
      </w:tr>
      <w:tr>
        <w:tc>
          <w:tcPr/>
          <w:p>
            <w:pPr>
              <w:pStyle w:val="Compact"/>
              <w:jc w:val="left"/>
            </w:pPr>
            <w:r>
              <w:t xml:space="preserve">Facial Plastics</w:t>
            </w:r>
          </w:p>
        </w:tc>
        <w:tc>
          <w:tcPr/>
          <w:p>
            <w:pPr>
              <w:pStyle w:val="Compact"/>
              <w:jc w:val="right"/>
            </w:pPr>
            <w:r>
              <w:t xml:space="preserve">11.5</w:t>
            </w:r>
          </w:p>
        </w:tc>
        <w:tc>
          <w:tcPr/>
          <w:p>
            <w:pPr>
              <w:pStyle w:val="Compact"/>
              <w:jc w:val="right"/>
            </w:pPr>
            <w:r>
              <w:t xml:space="preserve">5</w:t>
            </w:r>
          </w:p>
        </w:tc>
        <w:tc>
          <w:tcPr/>
          <w:p>
            <w:pPr>
              <w:pStyle w:val="Compact"/>
              <w:jc w:val="right"/>
            </w:pPr>
            <w:r>
              <w:t xml:space="preserve">22</w:t>
            </w:r>
          </w:p>
        </w:tc>
        <w:tc>
          <w:tcPr/>
          <w:p>
            <w:pPr>
              <w:pStyle w:val="Compact"/>
              <w:jc w:val="right"/>
            </w:pPr>
            <w:r>
              <w:t xml:space="preserve">44</w:t>
            </w:r>
          </w:p>
        </w:tc>
      </w:tr>
      <w:tr>
        <w:tc>
          <w:tcPr/>
          <w:p>
            <w:pPr>
              <w:pStyle w:val="Compact"/>
              <w:jc w:val="left"/>
            </w:pPr>
            <w:r>
              <w:t xml:space="preserve">Head and Neck Cancer</w:t>
            </w:r>
          </w:p>
        </w:tc>
        <w:tc>
          <w:tcPr/>
          <w:p>
            <w:pPr>
              <w:pStyle w:val="Compact"/>
              <w:jc w:val="right"/>
            </w:pPr>
            <w:r>
              <w:t xml:space="preserve">11.0</w:t>
            </w:r>
          </w:p>
        </w:tc>
        <w:tc>
          <w:tcPr/>
          <w:p>
            <w:pPr>
              <w:pStyle w:val="Compact"/>
              <w:jc w:val="right"/>
            </w:pPr>
            <w:r>
              <w:t xml:space="preserve">6</w:t>
            </w:r>
          </w:p>
        </w:tc>
        <w:tc>
          <w:tcPr/>
          <w:p>
            <w:pPr>
              <w:pStyle w:val="Compact"/>
              <w:jc w:val="right"/>
            </w:pPr>
            <w:r>
              <w:t xml:space="preserve">22</w:t>
            </w:r>
          </w:p>
        </w:tc>
        <w:tc>
          <w:tcPr/>
          <w:p>
            <w:pPr>
              <w:pStyle w:val="Compact"/>
              <w:jc w:val="right"/>
            </w:pPr>
            <w:r>
              <w:t xml:space="preserve">15</w:t>
            </w:r>
          </w:p>
        </w:tc>
      </w:tr>
      <w:tr>
        <w:tc>
          <w:tcPr/>
          <w:p>
            <w:pPr>
              <w:pStyle w:val="Compact"/>
              <w:jc w:val="left"/>
            </w:pPr>
            <w:r>
              <w:t xml:space="preserve">Laryngology</w:t>
            </w:r>
          </w:p>
        </w:tc>
        <w:tc>
          <w:tcPr/>
          <w:p>
            <w:pPr>
              <w:pStyle w:val="Compact"/>
              <w:jc w:val="right"/>
            </w:pPr>
            <w:r>
              <w:t xml:space="preserve">32.0</w:t>
            </w:r>
          </w:p>
        </w:tc>
        <w:tc>
          <w:tcPr/>
          <w:p>
            <w:pPr>
              <w:pStyle w:val="Compact"/>
              <w:jc w:val="right"/>
            </w:pPr>
            <w:r>
              <w:t xml:space="preserve">13</w:t>
            </w:r>
          </w:p>
        </w:tc>
        <w:tc>
          <w:tcPr/>
          <w:p>
            <w:pPr>
              <w:pStyle w:val="Compact"/>
              <w:jc w:val="right"/>
            </w:pPr>
            <w:r>
              <w:t xml:space="preserve">41</w:t>
            </w:r>
          </w:p>
        </w:tc>
        <w:tc>
          <w:tcPr/>
          <w:p>
            <w:pPr>
              <w:pStyle w:val="Compact"/>
              <w:jc w:val="right"/>
            </w:pPr>
            <w:r>
              <w:t xml:space="preserve">9</w:t>
            </w:r>
          </w:p>
        </w:tc>
      </w:tr>
      <w:tr>
        <w:tc>
          <w:tcPr/>
          <w:p>
            <w:pPr>
              <w:pStyle w:val="Compact"/>
              <w:jc w:val="left"/>
            </w:pPr>
            <w:r>
              <w:t xml:space="preserve">Otology/neurotology</w:t>
            </w:r>
          </w:p>
        </w:tc>
        <w:tc>
          <w:tcPr/>
          <w:p>
            <w:pPr>
              <w:pStyle w:val="Compact"/>
              <w:jc w:val="right"/>
            </w:pPr>
            <w:r>
              <w:t xml:space="preserve">22.0</w:t>
            </w:r>
          </w:p>
        </w:tc>
        <w:tc>
          <w:tcPr/>
          <w:p>
            <w:pPr>
              <w:pStyle w:val="Compact"/>
              <w:jc w:val="right"/>
            </w:pPr>
            <w:r>
              <w:t xml:space="preserve">5</w:t>
            </w:r>
          </w:p>
        </w:tc>
        <w:tc>
          <w:tcPr/>
          <w:p>
            <w:pPr>
              <w:pStyle w:val="Compact"/>
              <w:jc w:val="right"/>
            </w:pPr>
            <w:r>
              <w:t xml:space="preserve">42</w:t>
            </w:r>
          </w:p>
        </w:tc>
        <w:tc>
          <w:tcPr/>
          <w:p>
            <w:pPr>
              <w:pStyle w:val="Compact"/>
              <w:jc w:val="right"/>
            </w:pPr>
            <w:r>
              <w:t xml:space="preserve">13</w:t>
            </w:r>
          </w:p>
        </w:tc>
      </w:tr>
      <w:tr>
        <w:tc>
          <w:tcPr/>
          <w:p>
            <w:pPr>
              <w:pStyle w:val="Compact"/>
              <w:jc w:val="left"/>
            </w:pPr>
            <w:r>
              <w:t xml:space="preserve">Pediatrics</w:t>
            </w:r>
          </w:p>
        </w:tc>
        <w:tc>
          <w:tcPr/>
          <w:p>
            <w:pPr>
              <w:pStyle w:val="Compact"/>
              <w:jc w:val="right"/>
            </w:pPr>
            <w:r>
              <w:t xml:space="preserve">25.5</w:t>
            </w:r>
          </w:p>
        </w:tc>
        <w:tc>
          <w:tcPr/>
          <w:p>
            <w:pPr>
              <w:pStyle w:val="Compact"/>
              <w:jc w:val="right"/>
            </w:pPr>
            <w:r>
              <w:t xml:space="preserve">7</w:t>
            </w:r>
          </w:p>
        </w:tc>
        <w:tc>
          <w:tcPr/>
          <w:p>
            <w:pPr>
              <w:pStyle w:val="Compact"/>
              <w:jc w:val="right"/>
            </w:pPr>
            <w:r>
              <w:t xml:space="preserve">46</w:t>
            </w:r>
          </w:p>
        </w:tc>
        <w:tc>
          <w:tcPr/>
          <w:p>
            <w:pPr>
              <w:pStyle w:val="Compact"/>
              <w:jc w:val="right"/>
            </w:pPr>
            <w:r>
              <w:t xml:space="preserve">34</w:t>
            </w:r>
          </w:p>
        </w:tc>
      </w:tr>
      <w:tr>
        <w:tc>
          <w:tcPr/>
          <w:p>
            <w:pPr>
              <w:pStyle w:val="Compact"/>
              <w:jc w:val="left"/>
            </w:pPr>
            <w:r>
              <w:t xml:space="preserve">Rhinology</w:t>
            </w:r>
          </w:p>
        </w:tc>
        <w:tc>
          <w:tcPr/>
          <w:p>
            <w:pPr>
              <w:pStyle w:val="Compact"/>
              <w:jc w:val="right"/>
            </w:pPr>
            <w:r>
              <w:t xml:space="preserve">15.5</w:t>
            </w:r>
          </w:p>
        </w:tc>
        <w:tc>
          <w:tcPr/>
          <w:p>
            <w:pPr>
              <w:pStyle w:val="Compact"/>
              <w:jc w:val="right"/>
            </w:pPr>
            <w:r>
              <w:t xml:space="preserve">10</w:t>
            </w:r>
          </w:p>
        </w:tc>
        <w:tc>
          <w:tcPr/>
          <w:p>
            <w:pPr>
              <w:pStyle w:val="Compact"/>
              <w:jc w:val="right"/>
            </w:pPr>
            <w:r>
              <w:t xml:space="preserve">39</w:t>
            </w:r>
          </w:p>
        </w:tc>
        <w:tc>
          <w:tcPr/>
          <w:p>
            <w:pPr>
              <w:pStyle w:val="Compact"/>
              <w:jc w:val="right"/>
            </w:pPr>
            <w:r>
              <w:t xml:space="preserve">14</w:t>
            </w:r>
          </w:p>
        </w:tc>
      </w:tr>
      <w:tr>
        <w:tc>
          <w:tcPr/>
          <w:p>
            <w:pPr>
              <w:pStyle w:val="Compact"/>
              <w:jc w:val="left"/>
            </w:pPr>
            <w:r>
              <w:t xml:space="preserve">Sleep</w:t>
            </w:r>
          </w:p>
        </w:tc>
        <w:tc>
          <w:tcPr/>
          <w:p>
            <w:pPr>
              <w:pStyle w:val="Compact"/>
              <w:jc w:val="right"/>
            </w:pPr>
            <w:r>
              <w:t xml:space="preserve">15.0</w:t>
            </w:r>
          </w:p>
        </w:tc>
        <w:tc>
          <w:tcPr/>
          <w:p>
            <w:pPr>
              <w:pStyle w:val="Compact"/>
              <w:jc w:val="right"/>
            </w:pPr>
            <w:r>
              <w:t xml:space="preserve">6</w:t>
            </w:r>
          </w:p>
        </w:tc>
        <w:tc>
          <w:tcPr/>
          <w:p>
            <w:pPr>
              <w:pStyle w:val="Compact"/>
              <w:jc w:val="right"/>
            </w:pPr>
            <w:r>
              <w:t xml:space="preserve">34</w:t>
            </w:r>
          </w:p>
        </w:tc>
        <w:tc>
          <w:tcPr/>
          <w:p>
            <w:pPr>
              <w:pStyle w:val="Compact"/>
              <w:jc w:val="right"/>
            </w:pPr>
            <w:r>
              <w:t xml:space="preserve">11</w:t>
            </w:r>
          </w:p>
        </w:tc>
      </w:tr>
    </w:tbl>
    <w:p/>
    <w:p>
      <w:pPr>
        <w:pStyle w:val="TableCaption"/>
      </w:pPr>
      <w:r>
        <w:t xml:space="preserve">Table S4. Business-day wait by rurality.</w:t>
      </w:r>
    </w:p>
    <w:tbl>
      <w:tblPr>
        <w:tblStyle w:val="Table"/>
        <w:tblW w:type="auto" w:w="0"/>
        <w:tblLook w:firstRow="1" w:lastRow="0" w:firstColumn="0" w:lastColumn="0" w:noHBand="0" w:noVBand="0" w:val="0020"/>
        <w:tblCaption w:val="Table S4. Business-day wait by rurality."/>
      </w:tblPr>
      <w:tblGrid>
        <w:gridCol w:w="1584"/>
        <w:gridCol w:w="1584"/>
        <w:gridCol w:w="1584"/>
        <w:gridCol w:w="1584"/>
        <w:gridCol w:w="1584"/>
      </w:tblGrid>
      <w:tr>
        <w:trPr>
          <w:tblHeader w:val="on"/>
        </w:trPr>
        <w:tc>
          <w:tcPr/>
          <w:p>
            <w:pPr>
              <w:pStyle w:val="Compact"/>
              <w:jc w:val="left"/>
            </w:pPr>
            <w:r>
              <w:t xml:space="preserve">rural</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Urban</w:t>
            </w:r>
          </w:p>
        </w:tc>
        <w:tc>
          <w:tcPr/>
          <w:p>
            <w:pPr>
              <w:pStyle w:val="Compact"/>
              <w:jc w:val="right"/>
            </w:pPr>
            <w:r>
              <w:t xml:space="preserve">13.0</w:t>
            </w:r>
          </w:p>
        </w:tc>
        <w:tc>
          <w:tcPr/>
          <w:p>
            <w:pPr>
              <w:pStyle w:val="Compact"/>
              <w:jc w:val="right"/>
            </w:pPr>
            <w:r>
              <w:t xml:space="preserve">5</w:t>
            </w:r>
          </w:p>
        </w:tc>
        <w:tc>
          <w:tcPr/>
          <w:p>
            <w:pPr>
              <w:pStyle w:val="Compact"/>
              <w:jc w:val="right"/>
            </w:pPr>
            <w:r>
              <w:t xml:space="preserve">31</w:t>
            </w:r>
          </w:p>
        </w:tc>
        <w:tc>
          <w:tcPr/>
          <w:p>
            <w:pPr>
              <w:pStyle w:val="Compact"/>
              <w:jc w:val="right"/>
            </w:pPr>
            <w:r>
              <w:t xml:space="preserve">218</w:t>
            </w:r>
          </w:p>
        </w:tc>
      </w:tr>
      <w:tr>
        <w:tc>
          <w:tcPr/>
          <w:p>
            <w:pPr>
              <w:pStyle w:val="Compact"/>
              <w:jc w:val="left"/>
            </w:pPr>
            <w:r>
              <w:t xml:space="preserve">Rural</w:t>
            </w:r>
          </w:p>
        </w:tc>
        <w:tc>
          <w:tcPr/>
          <w:p>
            <w:pPr>
              <w:pStyle w:val="Compact"/>
              <w:jc w:val="right"/>
            </w:pPr>
            <w:r>
              <w:t xml:space="preserve">20.5</w:t>
            </w:r>
          </w:p>
        </w:tc>
        <w:tc>
          <w:tcPr/>
          <w:p>
            <w:pPr>
              <w:pStyle w:val="Compact"/>
              <w:jc w:val="right"/>
            </w:pPr>
            <w:r>
              <w:t xml:space="preserve">4</w:t>
            </w:r>
          </w:p>
        </w:tc>
        <w:tc>
          <w:tcPr/>
          <w:p>
            <w:pPr>
              <w:pStyle w:val="Compact"/>
              <w:jc w:val="right"/>
            </w:pPr>
            <w:r>
              <w:t xml:space="preserve">40</w:t>
            </w:r>
          </w:p>
        </w:tc>
        <w:tc>
          <w:tcPr/>
          <w:p>
            <w:pPr>
              <w:pStyle w:val="Compact"/>
              <w:jc w:val="right"/>
            </w:pPr>
            <w:r>
              <w:t xml:space="preserve">32</w:t>
            </w:r>
          </w:p>
        </w:tc>
      </w:tr>
      <w:tr>
        <w:tc>
          <w:tcPr/>
          <w:p>
            <w:pPr>
              <w:pStyle w:val="Compact"/>
              <w:jc w:val="left"/>
            </w:pPr>
            <w:r>
              <w:t xml:space="preserve">Suburban</w:t>
            </w:r>
          </w:p>
        </w:tc>
        <w:tc>
          <w:tcPr/>
          <w:p>
            <w:pPr>
              <w:pStyle w:val="Compact"/>
              <w:jc w:val="right"/>
            </w:pPr>
            <w:r>
              <w:t xml:space="preserve">14.0</w:t>
            </w:r>
          </w:p>
        </w:tc>
        <w:tc>
          <w:tcPr/>
          <w:p>
            <w:pPr>
              <w:pStyle w:val="Compact"/>
              <w:jc w:val="right"/>
            </w:pPr>
            <w:r>
              <w:t xml:space="preserve">6</w:t>
            </w:r>
          </w:p>
        </w:tc>
        <w:tc>
          <w:tcPr/>
          <w:p>
            <w:pPr>
              <w:pStyle w:val="Compact"/>
              <w:jc w:val="right"/>
            </w:pPr>
            <w:r>
              <w:t xml:space="preserve">26</w:t>
            </w:r>
          </w:p>
        </w:tc>
        <w:tc>
          <w:tcPr/>
          <w:p>
            <w:pPr>
              <w:pStyle w:val="Compact"/>
              <w:jc w:val="right"/>
            </w:pPr>
            <w:r>
              <w:t xml:space="preserve">180</w:t>
            </w:r>
          </w:p>
        </w:tc>
      </w:tr>
    </w:tbl>
    <w:p/>
    <w:p>
      <w:pPr>
        <w:pStyle w:val="TableCaption"/>
      </w:pPr>
      <w:r>
        <w:t xml:space="preserve">Table S5. Business-day wait by AAO-HNS region.</w:t>
      </w:r>
    </w:p>
    <w:tbl>
      <w:tblPr>
        <w:tblStyle w:val="Table"/>
        <w:tblW w:type="auto" w:w="0"/>
        <w:tblLook w:firstRow="1" w:lastRow="0" w:firstColumn="0" w:lastColumn="0" w:noHBand="0" w:noVBand="0" w:val="0020"/>
        <w:tblCaption w:val="Table S5. Business-day wait by AAO-HNS region."/>
      </w:tblPr>
      <w:tblGrid>
        <w:gridCol w:w="1584"/>
        <w:gridCol w:w="1584"/>
        <w:gridCol w:w="1584"/>
        <w:gridCol w:w="1584"/>
        <w:gridCol w:w="1584"/>
      </w:tblGrid>
      <w:tr>
        <w:trPr>
          <w:tblHeader w:val="on"/>
        </w:trPr>
        <w:tc>
          <w:tcPr/>
          <w:p>
            <w:pPr>
              <w:pStyle w:val="Compact"/>
              <w:jc w:val="left"/>
            </w:pPr>
            <w:r>
              <w:t xml:space="preserve">aao_hns_region</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Central</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33</w:t>
            </w:r>
          </w:p>
        </w:tc>
        <w:tc>
          <w:tcPr/>
          <w:p>
            <w:pPr>
              <w:pStyle w:val="Compact"/>
              <w:jc w:val="right"/>
            </w:pPr>
            <w:r>
              <w:t xml:space="preserve">73</w:t>
            </w:r>
          </w:p>
        </w:tc>
      </w:tr>
      <w:tr>
        <w:tc>
          <w:tcPr/>
          <w:p>
            <w:pPr>
              <w:pStyle w:val="Compact"/>
              <w:jc w:val="left"/>
            </w:pPr>
            <w:r>
              <w:t xml:space="preserve">Mid-Atlantic/Southeast</w:t>
            </w:r>
          </w:p>
        </w:tc>
        <w:tc>
          <w:tcPr/>
          <w:p>
            <w:pPr>
              <w:pStyle w:val="Compact"/>
              <w:jc w:val="right"/>
            </w:pPr>
            <w:r>
              <w:t xml:space="preserve">12.0</w:t>
            </w:r>
          </w:p>
        </w:tc>
        <w:tc>
          <w:tcPr/>
          <w:p>
            <w:pPr>
              <w:pStyle w:val="Compact"/>
              <w:jc w:val="right"/>
            </w:pPr>
            <w:r>
              <w:t xml:space="preserve">5</w:t>
            </w:r>
          </w:p>
        </w:tc>
        <w:tc>
          <w:tcPr/>
          <w:p>
            <w:pPr>
              <w:pStyle w:val="Compact"/>
              <w:jc w:val="right"/>
            </w:pPr>
            <w:r>
              <w:t xml:space="preserve">24</w:t>
            </w:r>
          </w:p>
        </w:tc>
        <w:tc>
          <w:tcPr/>
          <w:p>
            <w:pPr>
              <w:pStyle w:val="Compact"/>
              <w:jc w:val="right"/>
            </w:pPr>
            <w:r>
              <w:t xml:space="preserve">38</w:t>
            </w:r>
          </w:p>
        </w:tc>
      </w:tr>
      <w:tr>
        <w:tc>
          <w:tcPr/>
          <w:p>
            <w:pPr>
              <w:pStyle w:val="Compact"/>
              <w:jc w:val="left"/>
            </w:pPr>
            <w:r>
              <w:t xml:space="preserve">Middle Atlantic</w:t>
            </w:r>
          </w:p>
        </w:tc>
        <w:tc>
          <w:tcPr/>
          <w:p>
            <w:pPr>
              <w:pStyle w:val="Compact"/>
              <w:jc w:val="right"/>
            </w:pPr>
            <w:r>
              <w:t xml:space="preserve">14.5</w:t>
            </w:r>
          </w:p>
        </w:tc>
        <w:tc>
          <w:tcPr/>
          <w:p>
            <w:pPr>
              <w:pStyle w:val="Compact"/>
              <w:jc w:val="right"/>
            </w:pPr>
            <w:r>
              <w:t xml:space="preserve">6</w:t>
            </w:r>
          </w:p>
        </w:tc>
        <w:tc>
          <w:tcPr/>
          <w:p>
            <w:pPr>
              <w:pStyle w:val="Compact"/>
              <w:jc w:val="right"/>
            </w:pPr>
            <w:r>
              <w:t xml:space="preserve">32</w:t>
            </w:r>
          </w:p>
        </w:tc>
        <w:tc>
          <w:tcPr/>
          <w:p>
            <w:pPr>
              <w:pStyle w:val="Compact"/>
              <w:jc w:val="right"/>
            </w:pPr>
            <w:r>
              <w:t xml:space="preserve">44</w:t>
            </w:r>
          </w:p>
        </w:tc>
      </w:tr>
      <w:tr>
        <w:tc>
          <w:tcPr/>
          <w:p>
            <w:pPr>
              <w:pStyle w:val="Compact"/>
              <w:jc w:val="left"/>
            </w:pPr>
            <w:r>
              <w:t xml:space="preserve">Midwest</w:t>
            </w:r>
          </w:p>
        </w:tc>
        <w:tc>
          <w:tcPr/>
          <w:p>
            <w:pPr>
              <w:pStyle w:val="Compact"/>
              <w:jc w:val="right"/>
            </w:pPr>
            <w:r>
              <w:t xml:space="preserve">16.0</w:t>
            </w:r>
          </w:p>
        </w:tc>
        <w:tc>
          <w:tcPr/>
          <w:p>
            <w:pPr>
              <w:pStyle w:val="Compact"/>
              <w:jc w:val="right"/>
            </w:pPr>
            <w:r>
              <w:t xml:space="preserve">10</w:t>
            </w:r>
          </w:p>
        </w:tc>
        <w:tc>
          <w:tcPr/>
          <w:p>
            <w:pPr>
              <w:pStyle w:val="Compact"/>
              <w:jc w:val="right"/>
            </w:pPr>
            <w:r>
              <w:t xml:space="preserve">32</w:t>
            </w:r>
          </w:p>
        </w:tc>
        <w:tc>
          <w:tcPr/>
          <w:p>
            <w:pPr>
              <w:pStyle w:val="Compact"/>
              <w:jc w:val="right"/>
            </w:pPr>
            <w:r>
              <w:t xml:space="preserve">97</w:t>
            </w:r>
          </w:p>
        </w:tc>
      </w:tr>
      <w:tr>
        <w:tc>
          <w:tcPr/>
          <w:p>
            <w:pPr>
              <w:pStyle w:val="Compact"/>
              <w:jc w:val="left"/>
            </w:pPr>
            <w:r>
              <w:t xml:space="preserve">Mountain/Southwest</w:t>
            </w:r>
          </w:p>
        </w:tc>
        <w:tc>
          <w:tcPr/>
          <w:p>
            <w:pPr>
              <w:pStyle w:val="Compact"/>
              <w:jc w:val="right"/>
            </w:pPr>
            <w:r>
              <w:t xml:space="preserve">14.0</w:t>
            </w:r>
          </w:p>
        </w:tc>
        <w:tc>
          <w:tcPr/>
          <w:p>
            <w:pPr>
              <w:pStyle w:val="Compact"/>
              <w:jc w:val="right"/>
            </w:pPr>
            <w:r>
              <w:t xml:space="preserve">12</w:t>
            </w:r>
          </w:p>
        </w:tc>
        <w:tc>
          <w:tcPr/>
          <w:p>
            <w:pPr>
              <w:pStyle w:val="Compact"/>
              <w:jc w:val="right"/>
            </w:pPr>
            <w:r>
              <w:t xml:space="preserve">20</w:t>
            </w:r>
          </w:p>
        </w:tc>
        <w:tc>
          <w:tcPr/>
          <w:p>
            <w:pPr>
              <w:pStyle w:val="Compact"/>
              <w:jc w:val="right"/>
            </w:pPr>
            <w:r>
              <w:t xml:space="preserve">21</w:t>
            </w:r>
          </w:p>
        </w:tc>
      </w:tr>
      <w:tr>
        <w:tc>
          <w:tcPr/>
          <w:p>
            <w:pPr>
              <w:pStyle w:val="Compact"/>
              <w:jc w:val="left"/>
            </w:pPr>
            <w:r>
              <w:t xml:space="preserve">New England</w:t>
            </w:r>
          </w:p>
        </w:tc>
        <w:tc>
          <w:tcPr/>
          <w:p>
            <w:pPr>
              <w:pStyle w:val="Compact"/>
              <w:jc w:val="right"/>
            </w:pPr>
            <w:r>
              <w:t xml:space="preserve">29.0</w:t>
            </w:r>
          </w:p>
        </w:tc>
        <w:tc>
          <w:tcPr/>
          <w:p>
            <w:pPr>
              <w:pStyle w:val="Compact"/>
              <w:jc w:val="right"/>
            </w:pPr>
            <w:r>
              <w:t xml:space="preserve">12</w:t>
            </w:r>
          </w:p>
        </w:tc>
        <w:tc>
          <w:tcPr/>
          <w:p>
            <w:pPr>
              <w:pStyle w:val="Compact"/>
              <w:jc w:val="right"/>
            </w:pPr>
            <w:r>
              <w:t xml:space="preserve">50</w:t>
            </w:r>
          </w:p>
        </w:tc>
        <w:tc>
          <w:tcPr/>
          <w:p>
            <w:pPr>
              <w:pStyle w:val="Compact"/>
              <w:jc w:val="right"/>
            </w:pPr>
            <w:r>
              <w:t xml:space="preserve">27</w:t>
            </w:r>
          </w:p>
        </w:tc>
      </w:tr>
      <w:tr>
        <w:tc>
          <w:tcPr/>
          <w:p>
            <w:pPr>
              <w:pStyle w:val="Compact"/>
              <w:jc w:val="left"/>
            </w:pPr>
            <w:r>
              <w:t xml:space="preserve">Pacific</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28</w:t>
            </w:r>
          </w:p>
        </w:tc>
        <w:tc>
          <w:tcPr/>
          <w:p>
            <w:pPr>
              <w:pStyle w:val="Compact"/>
              <w:jc w:val="right"/>
            </w:pPr>
            <w:r>
              <w:t xml:space="preserve">49</w:t>
            </w:r>
          </w:p>
        </w:tc>
      </w:tr>
      <w:tr>
        <w:tc>
          <w:tcPr/>
          <w:p>
            <w:pPr>
              <w:pStyle w:val="Compact"/>
              <w:jc w:val="left"/>
            </w:pPr>
            <w:r>
              <w:t xml:space="preserve">Southeast</w:t>
            </w:r>
          </w:p>
        </w:tc>
        <w:tc>
          <w:tcPr/>
          <w:p>
            <w:pPr>
              <w:pStyle w:val="Compact"/>
              <w:jc w:val="right"/>
            </w:pPr>
            <w:r>
              <w:t xml:space="preserve">9.0</w:t>
            </w:r>
          </w:p>
        </w:tc>
        <w:tc>
          <w:tcPr/>
          <w:p>
            <w:pPr>
              <w:pStyle w:val="Compact"/>
              <w:jc w:val="right"/>
            </w:pPr>
            <w:r>
              <w:t xml:space="preserve">4</w:t>
            </w:r>
          </w:p>
        </w:tc>
        <w:tc>
          <w:tcPr/>
          <w:p>
            <w:pPr>
              <w:pStyle w:val="Compact"/>
              <w:jc w:val="right"/>
            </w:pPr>
            <w:r>
              <w:t xml:space="preserve">20</w:t>
            </w:r>
          </w:p>
        </w:tc>
        <w:tc>
          <w:tcPr/>
          <w:p>
            <w:pPr>
              <w:pStyle w:val="Compact"/>
              <w:jc w:val="right"/>
            </w:pPr>
            <w:r>
              <w:t xml:space="preserve">81</w:t>
            </w:r>
          </w:p>
        </w:tc>
      </w:tr>
    </w:tbl>
    <w:p/>
    <w:p>
      <w:pPr>
        <w:pStyle w:val="TableCaption"/>
      </w:pPr>
      <w:r>
        <w:t xml:space="preserve">Table S6. Appointment offer-rate disparities by region.</w:t>
      </w:r>
    </w:p>
    <w:tbl>
      <w:tblPr>
        <w:tblStyle w:val="Table"/>
        <w:tblW w:type="pct" w:w="5000"/>
        <w:tblLayout w:type="fixed"/>
        <w:tblLook w:firstRow="1" w:lastRow="0" w:firstColumn="0" w:lastColumn="0" w:noHBand="0" w:noVBand="0" w:val="0020"/>
        <w:tblCaption w:val="Table S6. Appointment offer-rate disparities by region."/>
      </w:tblPr>
      <w:tblGrid>
        <w:gridCol w:w="1543"/>
        <w:gridCol w:w="268"/>
        <w:gridCol w:w="738"/>
        <w:gridCol w:w="402"/>
        <w:gridCol w:w="604"/>
        <w:gridCol w:w="604"/>
        <w:gridCol w:w="604"/>
        <w:gridCol w:w="604"/>
        <w:gridCol w:w="604"/>
        <w:gridCol w:w="604"/>
        <w:gridCol w:w="536"/>
        <w:gridCol w:w="805"/>
      </w:tblGrid>
      <w:tr>
        <w:trPr>
          <w:tblHeader w:val="on"/>
        </w:trPr>
        <w:tc>
          <w:tcPr/>
          <w:p>
            <w:pPr>
              <w:pStyle w:val="Compact"/>
              <w:jc w:val="left"/>
            </w:pPr>
            <w:r>
              <w:t xml:space="preserve">group</w:t>
            </w:r>
          </w:p>
        </w:tc>
        <w:tc>
          <w:tcPr/>
          <w:p>
            <w:pPr>
              <w:pStyle w:val="Compact"/>
              <w:jc w:val="right"/>
            </w:pPr>
            <w:r>
              <w:t xml:space="preserve">n</w:t>
            </w:r>
          </w:p>
        </w:tc>
        <w:tc>
          <w:tcPr/>
          <w:p>
            <w:pPr>
              <w:pStyle w:val="Compact"/>
              <w:jc w:val="right"/>
            </w:pPr>
            <w:r>
              <w:t xml:space="preserve">n_accepted</w:t>
            </w:r>
          </w:p>
        </w:tc>
        <w:tc>
          <w:tcPr/>
          <w:p>
            <w:pPr>
              <w:pStyle w:val="Compact"/>
              <w:jc w:val="right"/>
            </w:pPr>
            <w:r>
              <w:t xml:space="preserve">rate</w:t>
            </w:r>
          </w:p>
        </w:tc>
        <w:tc>
          <w:tcPr/>
          <w:p>
            <w:pPr>
              <w:pStyle w:val="Compact"/>
              <w:jc w:val="right"/>
            </w:pPr>
            <w:r>
              <w:t xml:space="preserve">lower_ci</w:t>
            </w:r>
          </w:p>
        </w:tc>
        <w:tc>
          <w:tcPr/>
          <w:p>
            <w:pPr>
              <w:pStyle w:val="Compact"/>
              <w:jc w:val="right"/>
            </w:pPr>
            <w:r>
              <w:t xml:space="preserve">upper_ci</w:t>
            </w:r>
          </w:p>
        </w:tc>
        <w:tc>
          <w:tcPr/>
          <w:p>
            <w:pPr>
              <w:pStyle w:val="Compact"/>
              <w:jc w:val="right"/>
            </w:pPr>
            <w:r>
              <w:t xml:space="preserve">abs_diff</w:t>
            </w:r>
          </w:p>
        </w:tc>
        <w:tc>
          <w:tcPr/>
          <w:p>
            <w:pPr>
              <w:pStyle w:val="Compact"/>
              <w:jc w:val="right"/>
            </w:pPr>
            <w:r>
              <w:t xml:space="preserve">rel_risk</w:t>
            </w:r>
          </w:p>
        </w:tc>
        <w:tc>
          <w:tcPr/>
          <w:p>
            <w:pPr>
              <w:pStyle w:val="Compact"/>
              <w:jc w:val="right"/>
            </w:pPr>
            <w:r>
              <w:t xml:space="preserve">rr_lower</w:t>
            </w:r>
          </w:p>
        </w:tc>
        <w:tc>
          <w:tcPr/>
          <w:p>
            <w:pPr>
              <w:pStyle w:val="Compact"/>
              <w:jc w:val="right"/>
            </w:pPr>
            <w:r>
              <w:t xml:space="preserve">rr_upper</w:t>
            </w:r>
          </w:p>
        </w:tc>
        <w:tc>
          <w:tcPr/>
          <w:p>
            <w:pPr>
              <w:pStyle w:val="Compact"/>
              <w:jc w:val="right"/>
            </w:pPr>
            <w:r>
              <w:t xml:space="preserve">p_value</w:t>
            </w:r>
          </w:p>
        </w:tc>
        <w:tc>
          <w:tcPr/>
          <w:p>
            <w:pPr>
              <w:pStyle w:val="Compact"/>
              <w:jc w:val="left"/>
            </w:pPr>
            <w:r>
              <w:t xml:space="preserve">p_value_fmt</w:t>
            </w:r>
          </w:p>
        </w:tc>
      </w:tr>
      <w:tr>
        <w:tc>
          <w:tcPr/>
          <w:p>
            <w:pPr>
              <w:pStyle w:val="Compact"/>
              <w:jc w:val="left"/>
            </w:pPr>
            <w:r>
              <w:t xml:space="preserve">New England</w:t>
            </w:r>
          </w:p>
        </w:tc>
        <w:tc>
          <w:tcPr/>
          <w:p>
            <w:pPr>
              <w:pStyle w:val="Compact"/>
              <w:jc w:val="right"/>
            </w:pPr>
            <w:r>
              <w:t xml:space="preserve">48</w:t>
            </w:r>
          </w:p>
        </w:tc>
        <w:tc>
          <w:tcPr/>
          <w:p>
            <w:pPr>
              <w:pStyle w:val="Compact"/>
              <w:jc w:val="right"/>
            </w:pPr>
            <w:r>
              <w:t xml:space="preserve">27</w:t>
            </w:r>
          </w:p>
        </w:tc>
        <w:tc>
          <w:tcPr/>
          <w:p>
            <w:pPr>
              <w:pStyle w:val="Compact"/>
              <w:jc w:val="right"/>
            </w:pPr>
            <w:r>
              <w:t xml:space="preserve">0.562</w:t>
            </w:r>
          </w:p>
        </w:tc>
        <w:tc>
          <w:tcPr/>
          <w:p>
            <w:pPr>
              <w:pStyle w:val="Compact"/>
              <w:jc w:val="right"/>
            </w:pPr>
            <w:r>
              <w:t xml:space="preserve">0.423</w:t>
            </w:r>
          </w:p>
        </w:tc>
        <w:tc>
          <w:tcPr/>
          <w:p>
            <w:pPr>
              <w:pStyle w:val="Compact"/>
              <w:jc w:val="right"/>
            </w:pPr>
            <w:r>
              <w:t xml:space="preserve">0.693</w:t>
            </w:r>
          </w:p>
        </w:tc>
        <w:tc>
          <w:tcPr/>
          <w:p>
            <w:pPr>
              <w:pStyle w:val="Compact"/>
              <w:jc w:val="right"/>
            </w:pPr>
            <w:r>
              <w:t xml:space="preserve">0.000</w:t>
            </w:r>
          </w:p>
        </w:tc>
        <w:tc>
          <w:tcPr/>
          <w:p>
            <w:pPr>
              <w:pStyle w:val="Compact"/>
              <w:jc w:val="right"/>
            </w:pPr>
            <w:r>
              <w:t xml:space="preserve">1.000</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left"/>
            </w:pPr>
            <w:r>
              <w:t xml:space="preserve">NA</w:t>
            </w:r>
          </w:p>
        </w:tc>
      </w:tr>
      <w:tr>
        <w:tc>
          <w:tcPr/>
          <w:p>
            <w:pPr>
              <w:pStyle w:val="Compact"/>
              <w:jc w:val="left"/>
            </w:pPr>
            <w:r>
              <w:t xml:space="preserve">Central</w:t>
            </w:r>
          </w:p>
        </w:tc>
        <w:tc>
          <w:tcPr/>
          <w:p>
            <w:pPr>
              <w:pStyle w:val="Compact"/>
              <w:jc w:val="right"/>
            </w:pPr>
            <w:r>
              <w:t xml:space="preserve">109</w:t>
            </w:r>
          </w:p>
        </w:tc>
        <w:tc>
          <w:tcPr/>
          <w:p>
            <w:pPr>
              <w:pStyle w:val="Compact"/>
              <w:jc w:val="right"/>
            </w:pPr>
            <w:r>
              <w:t xml:space="preserve">74</w:t>
            </w:r>
          </w:p>
        </w:tc>
        <w:tc>
          <w:tcPr/>
          <w:p>
            <w:pPr>
              <w:pStyle w:val="Compact"/>
              <w:jc w:val="right"/>
            </w:pPr>
            <w:r>
              <w:t xml:space="preserve">0.679</w:t>
            </w:r>
          </w:p>
        </w:tc>
        <w:tc>
          <w:tcPr/>
          <w:p>
            <w:pPr>
              <w:pStyle w:val="Compact"/>
              <w:jc w:val="right"/>
            </w:pPr>
            <w:r>
              <w:t xml:space="preserve">0.586</w:t>
            </w:r>
          </w:p>
        </w:tc>
        <w:tc>
          <w:tcPr/>
          <w:p>
            <w:pPr>
              <w:pStyle w:val="Compact"/>
              <w:jc w:val="right"/>
            </w:pPr>
            <w:r>
              <w:t xml:space="preserve">0.759</w:t>
            </w:r>
          </w:p>
        </w:tc>
        <w:tc>
          <w:tcPr/>
          <w:p>
            <w:pPr>
              <w:pStyle w:val="Compact"/>
              <w:jc w:val="right"/>
            </w:pPr>
            <w:r>
              <w:t xml:space="preserve">11.640</w:t>
            </w:r>
          </w:p>
        </w:tc>
        <w:tc>
          <w:tcPr/>
          <w:p>
            <w:pPr>
              <w:pStyle w:val="Compact"/>
              <w:jc w:val="right"/>
            </w:pPr>
            <w:r>
              <w:t xml:space="preserve">1.207</w:t>
            </w:r>
          </w:p>
        </w:tc>
        <w:tc>
          <w:tcPr/>
          <w:p>
            <w:pPr>
              <w:pStyle w:val="Compact"/>
              <w:jc w:val="right"/>
            </w:pPr>
            <w:r>
              <w:t xml:space="preserve">0.911</w:t>
            </w:r>
          </w:p>
        </w:tc>
        <w:tc>
          <w:tcPr/>
          <w:p>
            <w:pPr>
              <w:pStyle w:val="Compact"/>
              <w:jc w:val="right"/>
            </w:pPr>
            <w:r>
              <w:t xml:space="preserve">1.598</w:t>
            </w:r>
          </w:p>
        </w:tc>
        <w:tc>
          <w:tcPr/>
          <w:p>
            <w:pPr>
              <w:pStyle w:val="Compact"/>
              <w:jc w:val="right"/>
            </w:pPr>
            <w:r>
              <w:t xml:space="preserve">0.161</w:t>
            </w:r>
          </w:p>
        </w:tc>
        <w:tc>
          <w:tcPr/>
          <w:p>
            <w:pPr>
              <w:pStyle w:val="Compact"/>
              <w:jc w:val="left"/>
            </w:pPr>
            <w:r>
              <w:t xml:space="preserve">p = 0.161</w:t>
            </w:r>
          </w:p>
        </w:tc>
      </w:tr>
      <w:tr>
        <w:tc>
          <w:tcPr/>
          <w:p>
            <w:pPr>
              <w:pStyle w:val="Compact"/>
              <w:jc w:val="left"/>
            </w:pPr>
            <w:r>
              <w:t xml:space="preserve">Midwest</w:t>
            </w:r>
          </w:p>
        </w:tc>
        <w:tc>
          <w:tcPr/>
          <w:p>
            <w:pPr>
              <w:pStyle w:val="Compact"/>
              <w:jc w:val="right"/>
            </w:pPr>
            <w:r>
              <w:t xml:space="preserve">154</w:t>
            </w:r>
          </w:p>
        </w:tc>
        <w:tc>
          <w:tcPr/>
          <w:p>
            <w:pPr>
              <w:pStyle w:val="Compact"/>
              <w:jc w:val="right"/>
            </w:pPr>
            <w:r>
              <w:t xml:space="preserve">98</w:t>
            </w:r>
          </w:p>
        </w:tc>
        <w:tc>
          <w:tcPr/>
          <w:p>
            <w:pPr>
              <w:pStyle w:val="Compact"/>
              <w:jc w:val="right"/>
            </w:pPr>
            <w:r>
              <w:t xml:space="preserve">0.636</w:t>
            </w:r>
          </w:p>
        </w:tc>
        <w:tc>
          <w:tcPr/>
          <w:p>
            <w:pPr>
              <w:pStyle w:val="Compact"/>
              <w:jc w:val="right"/>
            </w:pPr>
            <w:r>
              <w:t xml:space="preserve">0.558</w:t>
            </w:r>
          </w:p>
        </w:tc>
        <w:tc>
          <w:tcPr/>
          <w:p>
            <w:pPr>
              <w:pStyle w:val="Compact"/>
              <w:jc w:val="right"/>
            </w:pPr>
            <w:r>
              <w:t xml:space="preserve">0.708</w:t>
            </w:r>
          </w:p>
        </w:tc>
        <w:tc>
          <w:tcPr/>
          <w:p>
            <w:pPr>
              <w:pStyle w:val="Compact"/>
              <w:jc w:val="right"/>
            </w:pPr>
            <w:r>
              <w:t xml:space="preserve">7.386</w:t>
            </w:r>
          </w:p>
        </w:tc>
        <w:tc>
          <w:tcPr/>
          <w:p>
            <w:pPr>
              <w:pStyle w:val="Compact"/>
              <w:jc w:val="right"/>
            </w:pPr>
            <w:r>
              <w:t xml:space="preserve">1.131</w:t>
            </w:r>
          </w:p>
        </w:tc>
        <w:tc>
          <w:tcPr/>
          <w:p>
            <w:pPr>
              <w:pStyle w:val="Compact"/>
              <w:jc w:val="right"/>
            </w:pPr>
            <w:r>
              <w:t xml:space="preserve">0.858</w:t>
            </w:r>
          </w:p>
        </w:tc>
        <w:tc>
          <w:tcPr/>
          <w:p>
            <w:pPr>
              <w:pStyle w:val="Compact"/>
              <w:jc w:val="right"/>
            </w:pPr>
            <w:r>
              <w:t xml:space="preserve">1.492</w:t>
            </w:r>
          </w:p>
        </w:tc>
        <w:tc>
          <w:tcPr/>
          <w:p>
            <w:pPr>
              <w:pStyle w:val="Compact"/>
              <w:jc w:val="right"/>
            </w:pPr>
            <w:r>
              <w:t xml:space="preserve">0.358</w:t>
            </w:r>
          </w:p>
        </w:tc>
        <w:tc>
          <w:tcPr/>
          <w:p>
            <w:pPr>
              <w:pStyle w:val="Compact"/>
              <w:jc w:val="left"/>
            </w:pPr>
            <w:r>
              <w:t xml:space="preserve">p = 0.358</w:t>
            </w:r>
          </w:p>
        </w:tc>
      </w:tr>
      <w:tr>
        <w:tc>
          <w:tcPr/>
          <w:p>
            <w:pPr>
              <w:pStyle w:val="Compact"/>
              <w:jc w:val="left"/>
            </w:pPr>
            <w:r>
              <w:t xml:space="preserve">Southeast</w:t>
            </w:r>
          </w:p>
        </w:tc>
        <w:tc>
          <w:tcPr/>
          <w:p>
            <w:pPr>
              <w:pStyle w:val="Compact"/>
              <w:jc w:val="right"/>
            </w:pPr>
            <w:r>
              <w:t xml:space="preserve">129</w:t>
            </w:r>
          </w:p>
        </w:tc>
        <w:tc>
          <w:tcPr/>
          <w:p>
            <w:pPr>
              <w:pStyle w:val="Compact"/>
              <w:jc w:val="right"/>
            </w:pPr>
            <w:r>
              <w:t xml:space="preserve">81</w:t>
            </w:r>
          </w:p>
        </w:tc>
        <w:tc>
          <w:tcPr/>
          <w:p>
            <w:pPr>
              <w:pStyle w:val="Compact"/>
              <w:jc w:val="right"/>
            </w:pPr>
            <w:r>
              <w:t xml:space="preserve">0.628</w:t>
            </w:r>
          </w:p>
        </w:tc>
        <w:tc>
          <w:tcPr/>
          <w:p>
            <w:pPr>
              <w:pStyle w:val="Compact"/>
              <w:jc w:val="right"/>
            </w:pPr>
            <w:r>
              <w:t xml:space="preserve">0.542</w:t>
            </w:r>
          </w:p>
        </w:tc>
        <w:tc>
          <w:tcPr/>
          <w:p>
            <w:pPr>
              <w:pStyle w:val="Compact"/>
              <w:jc w:val="right"/>
            </w:pPr>
            <w:r>
              <w:t xml:space="preserve">0.706</w:t>
            </w:r>
          </w:p>
        </w:tc>
        <w:tc>
          <w:tcPr/>
          <w:p>
            <w:pPr>
              <w:pStyle w:val="Compact"/>
              <w:jc w:val="right"/>
            </w:pPr>
            <w:r>
              <w:t xml:space="preserve">6.541</w:t>
            </w:r>
          </w:p>
        </w:tc>
        <w:tc>
          <w:tcPr/>
          <w:p>
            <w:pPr>
              <w:pStyle w:val="Compact"/>
              <w:jc w:val="right"/>
            </w:pPr>
            <w:r>
              <w:t xml:space="preserve">1.116</w:t>
            </w:r>
          </w:p>
        </w:tc>
        <w:tc>
          <w:tcPr/>
          <w:p>
            <w:pPr>
              <w:pStyle w:val="Compact"/>
              <w:jc w:val="right"/>
            </w:pPr>
            <w:r>
              <w:t xml:space="preserve">0.841</w:t>
            </w:r>
          </w:p>
        </w:tc>
        <w:tc>
          <w:tcPr/>
          <w:p>
            <w:pPr>
              <w:pStyle w:val="Compact"/>
              <w:jc w:val="right"/>
            </w:pPr>
            <w:r>
              <w:t xml:space="preserve">1.481</w:t>
            </w:r>
          </w:p>
        </w:tc>
        <w:tc>
          <w:tcPr/>
          <w:p>
            <w:pPr>
              <w:pStyle w:val="Compact"/>
              <w:jc w:val="right"/>
            </w:pPr>
            <w:r>
              <w:t xml:space="preserve">0.428</w:t>
            </w:r>
          </w:p>
        </w:tc>
        <w:tc>
          <w:tcPr/>
          <w:p>
            <w:pPr>
              <w:pStyle w:val="Compact"/>
              <w:jc w:val="left"/>
            </w:pPr>
            <w:r>
              <w:t xml:space="preserve">p = 0.428</w:t>
            </w:r>
          </w:p>
        </w:tc>
      </w:tr>
      <w:tr>
        <w:tc>
          <w:tcPr/>
          <w:p>
            <w:pPr>
              <w:pStyle w:val="Compact"/>
              <w:jc w:val="left"/>
            </w:pPr>
            <w:r>
              <w:t xml:space="preserve">Pacific</w:t>
            </w:r>
          </w:p>
        </w:tc>
        <w:tc>
          <w:tcPr/>
          <w:p>
            <w:pPr>
              <w:pStyle w:val="Compact"/>
              <w:jc w:val="right"/>
            </w:pPr>
            <w:r>
              <w:t xml:space="preserve">88</w:t>
            </w:r>
          </w:p>
        </w:tc>
        <w:tc>
          <w:tcPr/>
          <w:p>
            <w:pPr>
              <w:pStyle w:val="Compact"/>
              <w:jc w:val="right"/>
            </w:pPr>
            <w:r>
              <w:t xml:space="preserve">50</w:t>
            </w:r>
          </w:p>
        </w:tc>
        <w:tc>
          <w:tcPr/>
          <w:p>
            <w:pPr>
              <w:pStyle w:val="Compact"/>
              <w:jc w:val="right"/>
            </w:pPr>
            <w:r>
              <w:t xml:space="preserve">0.568</w:t>
            </w:r>
          </w:p>
        </w:tc>
        <w:tc>
          <w:tcPr/>
          <w:p>
            <w:pPr>
              <w:pStyle w:val="Compact"/>
              <w:jc w:val="right"/>
            </w:pPr>
            <w:r>
              <w:t xml:space="preserve">0.464</w:t>
            </w:r>
          </w:p>
        </w:tc>
        <w:tc>
          <w:tcPr/>
          <w:p>
            <w:pPr>
              <w:pStyle w:val="Compact"/>
              <w:jc w:val="right"/>
            </w:pPr>
            <w:r>
              <w:t xml:space="preserve">0.667</w:t>
            </w:r>
          </w:p>
        </w:tc>
        <w:tc>
          <w:tcPr/>
          <w:p>
            <w:pPr>
              <w:pStyle w:val="Compact"/>
              <w:jc w:val="right"/>
            </w:pPr>
            <w:r>
              <w:t xml:space="preserve">0.568</w:t>
            </w:r>
          </w:p>
        </w:tc>
        <w:tc>
          <w:tcPr/>
          <w:p>
            <w:pPr>
              <w:pStyle w:val="Compact"/>
              <w:jc w:val="right"/>
            </w:pPr>
            <w:r>
              <w:t xml:space="preserve">1.010</w:t>
            </w:r>
          </w:p>
        </w:tc>
        <w:tc>
          <w:tcPr/>
          <w:p>
            <w:pPr>
              <w:pStyle w:val="Compact"/>
              <w:jc w:val="right"/>
            </w:pPr>
            <w:r>
              <w:t xml:space="preserve">0.742</w:t>
            </w:r>
          </w:p>
        </w:tc>
        <w:tc>
          <w:tcPr/>
          <w:p>
            <w:pPr>
              <w:pStyle w:val="Compact"/>
              <w:jc w:val="right"/>
            </w:pPr>
            <w:r>
              <w:t xml:space="preserve">1.376</w:t>
            </w:r>
          </w:p>
        </w:tc>
        <w:tc>
          <w:tcPr/>
          <w:p>
            <w:pPr>
              <w:pStyle w:val="Compact"/>
              <w:jc w:val="right"/>
            </w:pPr>
            <w:r>
              <w:t xml:space="preserve">0.949</w:t>
            </w:r>
          </w:p>
        </w:tc>
        <w:tc>
          <w:tcPr/>
          <w:p>
            <w:pPr>
              <w:pStyle w:val="Compact"/>
              <w:jc w:val="left"/>
            </w:pPr>
            <w:r>
              <w:t xml:space="preserve">p = 0.949</w:t>
            </w:r>
          </w:p>
        </w:tc>
      </w:tr>
      <w:tr>
        <w:tc>
          <w:tcPr/>
          <w:p>
            <w:pPr>
              <w:pStyle w:val="Compact"/>
              <w:jc w:val="left"/>
            </w:pPr>
            <w:r>
              <w:t xml:space="preserve">Mid-Atlantic/Southeast</w:t>
            </w:r>
          </w:p>
        </w:tc>
        <w:tc>
          <w:tcPr/>
          <w:p>
            <w:pPr>
              <w:pStyle w:val="Compact"/>
              <w:jc w:val="right"/>
            </w:pPr>
            <w:r>
              <w:t xml:space="preserve">67</w:t>
            </w:r>
          </w:p>
        </w:tc>
        <w:tc>
          <w:tcPr/>
          <w:p>
            <w:pPr>
              <w:pStyle w:val="Compact"/>
              <w:jc w:val="right"/>
            </w:pPr>
            <w:r>
              <w:t xml:space="preserve">38</w:t>
            </w:r>
          </w:p>
        </w:tc>
        <w:tc>
          <w:tcPr/>
          <w:p>
            <w:pPr>
              <w:pStyle w:val="Compact"/>
              <w:jc w:val="right"/>
            </w:pPr>
            <w:r>
              <w:t xml:space="preserve">0.567</w:t>
            </w:r>
          </w:p>
        </w:tc>
        <w:tc>
          <w:tcPr/>
          <w:p>
            <w:pPr>
              <w:pStyle w:val="Compact"/>
              <w:jc w:val="right"/>
            </w:pPr>
            <w:r>
              <w:t xml:space="preserve">0.448</w:t>
            </w:r>
          </w:p>
        </w:tc>
        <w:tc>
          <w:tcPr/>
          <w:p>
            <w:pPr>
              <w:pStyle w:val="Compact"/>
              <w:jc w:val="right"/>
            </w:pPr>
            <w:r>
              <w:t xml:space="preserve">0.679</w:t>
            </w:r>
          </w:p>
        </w:tc>
        <w:tc>
          <w:tcPr/>
          <w:p>
            <w:pPr>
              <w:pStyle w:val="Compact"/>
              <w:jc w:val="right"/>
            </w:pPr>
            <w:r>
              <w:t xml:space="preserve">0.466</w:t>
            </w:r>
          </w:p>
        </w:tc>
        <w:tc>
          <w:tcPr/>
          <w:p>
            <w:pPr>
              <w:pStyle w:val="Compact"/>
              <w:jc w:val="right"/>
            </w:pPr>
            <w:r>
              <w:t xml:space="preserve">1.008</w:t>
            </w:r>
          </w:p>
        </w:tc>
        <w:tc>
          <w:tcPr/>
          <w:p>
            <w:pPr>
              <w:pStyle w:val="Compact"/>
              <w:jc w:val="right"/>
            </w:pPr>
            <w:r>
              <w:t xml:space="preserve">0.728</w:t>
            </w:r>
          </w:p>
        </w:tc>
        <w:tc>
          <w:tcPr/>
          <w:p>
            <w:pPr>
              <w:pStyle w:val="Compact"/>
              <w:jc w:val="right"/>
            </w:pPr>
            <w:r>
              <w:t xml:space="preserve">1.396</w:t>
            </w:r>
          </w:p>
        </w:tc>
        <w:tc>
          <w:tcPr/>
          <w:p>
            <w:pPr>
              <w:pStyle w:val="Compact"/>
              <w:jc w:val="right"/>
            </w:pPr>
            <w:r>
              <w:t xml:space="preserve">0.960</w:t>
            </w:r>
          </w:p>
        </w:tc>
        <w:tc>
          <w:tcPr/>
          <w:p>
            <w:pPr>
              <w:pStyle w:val="Compact"/>
              <w:jc w:val="left"/>
            </w:pPr>
            <w:r>
              <w:t xml:space="preserve">p = 0.960</w:t>
            </w:r>
          </w:p>
        </w:tc>
      </w:tr>
      <w:tr>
        <w:tc>
          <w:tcPr/>
          <w:p>
            <w:pPr>
              <w:pStyle w:val="Compact"/>
              <w:jc w:val="left"/>
            </w:pPr>
            <w:r>
              <w:t xml:space="preserve">Middle Atlantic</w:t>
            </w:r>
          </w:p>
        </w:tc>
        <w:tc>
          <w:tcPr/>
          <w:p>
            <w:pPr>
              <w:pStyle w:val="Compact"/>
              <w:jc w:val="right"/>
            </w:pPr>
            <w:r>
              <w:t xml:space="preserve">91</w:t>
            </w:r>
          </w:p>
        </w:tc>
        <w:tc>
          <w:tcPr/>
          <w:p>
            <w:pPr>
              <w:pStyle w:val="Compact"/>
              <w:jc w:val="right"/>
            </w:pPr>
            <w:r>
              <w:t xml:space="preserve">44</w:t>
            </w:r>
          </w:p>
        </w:tc>
        <w:tc>
          <w:tcPr/>
          <w:p>
            <w:pPr>
              <w:pStyle w:val="Compact"/>
              <w:jc w:val="right"/>
            </w:pPr>
            <w:r>
              <w:t xml:space="preserve">0.484</w:t>
            </w:r>
          </w:p>
        </w:tc>
        <w:tc>
          <w:tcPr/>
          <w:p>
            <w:pPr>
              <w:pStyle w:val="Compact"/>
              <w:jc w:val="right"/>
            </w:pPr>
            <w:r>
              <w:t xml:space="preserve">0.384</w:t>
            </w:r>
          </w:p>
        </w:tc>
        <w:tc>
          <w:tcPr/>
          <w:p>
            <w:pPr>
              <w:pStyle w:val="Compact"/>
              <w:jc w:val="right"/>
            </w:pPr>
            <w:r>
              <w:t xml:space="preserve">0.585</w:t>
            </w:r>
          </w:p>
        </w:tc>
        <w:tc>
          <w:tcPr/>
          <w:p>
            <w:pPr>
              <w:pStyle w:val="Compact"/>
              <w:jc w:val="right"/>
            </w:pPr>
            <w:r>
              <w:t xml:space="preserve">-7.898</w:t>
            </w:r>
          </w:p>
        </w:tc>
        <w:tc>
          <w:tcPr/>
          <w:p>
            <w:pPr>
              <w:pStyle w:val="Compact"/>
              <w:jc w:val="right"/>
            </w:pPr>
            <w:r>
              <w:t xml:space="preserve">0.860</w:t>
            </w:r>
          </w:p>
        </w:tc>
        <w:tc>
          <w:tcPr/>
          <w:p>
            <w:pPr>
              <w:pStyle w:val="Compact"/>
              <w:jc w:val="right"/>
            </w:pPr>
            <w:r>
              <w:t xml:space="preserve">0.619</w:t>
            </w:r>
          </w:p>
        </w:tc>
        <w:tc>
          <w:tcPr/>
          <w:p>
            <w:pPr>
              <w:pStyle w:val="Compact"/>
              <w:jc w:val="right"/>
            </w:pPr>
            <w:r>
              <w:t xml:space="preserve">1.193</w:t>
            </w:r>
          </w:p>
        </w:tc>
        <w:tc>
          <w:tcPr/>
          <w:p>
            <w:pPr>
              <w:pStyle w:val="Compact"/>
              <w:jc w:val="right"/>
            </w:pPr>
            <w:r>
              <w:t xml:space="preserve">0.376</w:t>
            </w:r>
          </w:p>
        </w:tc>
        <w:tc>
          <w:tcPr/>
          <w:p>
            <w:pPr>
              <w:pStyle w:val="Compact"/>
              <w:jc w:val="left"/>
            </w:pPr>
            <w:r>
              <w:t xml:space="preserve">p = 0.376</w:t>
            </w:r>
          </w:p>
        </w:tc>
      </w:tr>
      <w:tr>
        <w:tc>
          <w:tcPr/>
          <w:p>
            <w:pPr>
              <w:pStyle w:val="Compact"/>
              <w:jc w:val="left"/>
            </w:pPr>
            <w:r>
              <w:t xml:space="preserve">Mountain/Southwest</w:t>
            </w:r>
          </w:p>
        </w:tc>
        <w:tc>
          <w:tcPr/>
          <w:p>
            <w:pPr>
              <w:pStyle w:val="Compact"/>
              <w:jc w:val="right"/>
            </w:pPr>
            <w:r>
              <w:t xml:space="preserve">45</w:t>
            </w:r>
          </w:p>
        </w:tc>
        <w:tc>
          <w:tcPr/>
          <w:p>
            <w:pPr>
              <w:pStyle w:val="Compact"/>
              <w:jc w:val="right"/>
            </w:pPr>
            <w:r>
              <w:t xml:space="preserve">21</w:t>
            </w:r>
          </w:p>
        </w:tc>
        <w:tc>
          <w:tcPr/>
          <w:p>
            <w:pPr>
              <w:pStyle w:val="Compact"/>
              <w:jc w:val="right"/>
            </w:pPr>
            <w:r>
              <w:t xml:space="preserve">0.467</w:t>
            </w:r>
          </w:p>
        </w:tc>
        <w:tc>
          <w:tcPr/>
          <w:p>
            <w:pPr>
              <w:pStyle w:val="Compact"/>
              <w:jc w:val="right"/>
            </w:pPr>
            <w:r>
              <w:t xml:space="preserve">0.329</w:t>
            </w:r>
          </w:p>
        </w:tc>
        <w:tc>
          <w:tcPr/>
          <w:p>
            <w:pPr>
              <w:pStyle w:val="Compact"/>
              <w:jc w:val="right"/>
            </w:pPr>
            <w:r>
              <w:t xml:space="preserve">0.609</w:t>
            </w:r>
          </w:p>
        </w:tc>
        <w:tc>
          <w:tcPr/>
          <w:p>
            <w:pPr>
              <w:pStyle w:val="Compact"/>
              <w:jc w:val="right"/>
            </w:pPr>
            <w:r>
              <w:t xml:space="preserve">-9.583</w:t>
            </w:r>
          </w:p>
        </w:tc>
        <w:tc>
          <w:tcPr/>
          <w:p>
            <w:pPr>
              <w:pStyle w:val="Compact"/>
              <w:jc w:val="right"/>
            </w:pPr>
            <w:r>
              <w:t xml:space="preserve">0.830</w:t>
            </w:r>
          </w:p>
        </w:tc>
        <w:tc>
          <w:tcPr/>
          <w:p>
            <w:pPr>
              <w:pStyle w:val="Compact"/>
              <w:jc w:val="right"/>
            </w:pPr>
            <w:r>
              <w:t xml:space="preserve">0.556</w:t>
            </w:r>
          </w:p>
        </w:tc>
        <w:tc>
          <w:tcPr/>
          <w:p>
            <w:pPr>
              <w:pStyle w:val="Compact"/>
              <w:jc w:val="right"/>
            </w:pPr>
            <w:r>
              <w:t xml:space="preserve">1.237</w:t>
            </w:r>
          </w:p>
        </w:tc>
        <w:tc>
          <w:tcPr/>
          <w:p>
            <w:pPr>
              <w:pStyle w:val="Compact"/>
              <w:jc w:val="right"/>
            </w:pPr>
            <w:r>
              <w:t xml:space="preserve">0.355</w:t>
            </w:r>
          </w:p>
        </w:tc>
        <w:tc>
          <w:tcPr/>
          <w:p>
            <w:pPr>
              <w:pStyle w:val="Compact"/>
              <w:jc w:val="left"/>
            </w:pPr>
            <w:r>
              <w:t xml:space="preserve">p = 0.355</w:t>
            </w:r>
          </w:p>
        </w:tc>
      </w:tr>
    </w:tbl>
    <w:p/>
    <w:p>
      <w:pPr>
        <w:pStyle w:val="TableCaption"/>
      </w:pPr>
      <w:r>
        <w:t xml:space="preserve">Table S7. Access vs. timeliness models, side by side.</w:t>
      </w:r>
    </w:p>
    <w:tbl>
      <w:tblPr>
        <w:tblStyle w:val="Table"/>
        <w:tblW w:type="pct" w:w="5000"/>
        <w:tblLayout w:type="fixed"/>
        <w:tblLook w:firstRow="1" w:lastRow="0" w:firstColumn="0" w:lastColumn="0" w:noHBand="0" w:noVBand="0" w:val="0020"/>
        <w:tblCaption w:val="Table S7. Access vs. timeliness models, side by side."/>
      </w:tblPr>
      <w:tblGrid>
        <w:gridCol w:w="2907"/>
        <w:gridCol w:w="2606"/>
        <w:gridCol w:w="2406"/>
      </w:tblGrid>
      <w:tr>
        <w:trPr>
          <w:tblHeader w:val="on"/>
        </w:trPr>
        <w:tc>
          <w:tcPr/>
          <w:p>
            <w:pPr>
              <w:pStyle w:val="Compact"/>
              <w:jc w:val="left"/>
            </w:pPr>
            <w:r>
              <w:t xml:space="preserve">Term</w:t>
            </w:r>
          </w:p>
        </w:tc>
        <w:tc>
          <w:tcPr/>
          <w:p>
            <w:pPr>
              <w:pStyle w:val="Compact"/>
              <w:jc w:val="left"/>
            </w:pPr>
            <w:r>
              <w:t xml:space="preserve">Access [Logistic]</w:t>
            </w:r>
          </w:p>
        </w:tc>
        <w:tc>
          <w:tcPr/>
          <w:p>
            <w:pPr>
              <w:pStyle w:val="Compact"/>
              <w:jc w:val="left"/>
            </w:pPr>
            <w:r>
              <w:t xml:space="preserve">Timeliness [NB]</w:t>
            </w:r>
          </w:p>
        </w:tc>
      </w:tr>
      <w:tr>
        <w:tc>
          <w:tcPr/>
          <w:p>
            <w:pPr>
              <w:pStyle w:val="Compact"/>
              <w:jc w:val="left"/>
            </w:pPr>
            <w:r>
              <w:t xml:space="preserve">ent_typeGeneral</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ent_typeFacial Plastics</w:t>
            </w:r>
          </w:p>
        </w:tc>
        <w:tc>
          <w:tcPr/>
          <w:p>
            <w:pPr>
              <w:pStyle w:val="Compact"/>
              <w:jc w:val="left"/>
            </w:pPr>
            <w:r>
              <w:t xml:space="preserve">0.90 (0.54-1.52)</w:t>
            </w:r>
          </w:p>
        </w:tc>
        <w:tc>
          <w:tcPr/>
          <w:p>
            <w:pPr>
              <w:pStyle w:val="Compact"/>
            </w:pPr>
          </w:p>
        </w:tc>
      </w:tr>
      <w:tr>
        <w:tc>
          <w:tcPr/>
          <w:p>
            <w:pPr>
              <w:pStyle w:val="Compact"/>
              <w:jc w:val="left"/>
            </w:pPr>
            <w:r>
              <w:t xml:space="preserve">p=0.696</w:t>
            </w:r>
          </w:p>
        </w:tc>
        <w:tc>
          <w:tcPr/>
          <w:p>
            <w:pPr>
              <w:pStyle w:val="Compact"/>
              <w:jc w:val="left"/>
            </w:pPr>
            <w:r>
              <w:t xml:space="preserve">1.04 (0.72-1.50)</w:t>
            </w:r>
          </w:p>
        </w:tc>
        <w:tc>
          <w:tcPr/>
          <w:p>
            <w:pPr>
              <w:pStyle w:val="Compact"/>
            </w:pPr>
          </w:p>
        </w:tc>
      </w:tr>
      <w:tr>
        <w:tc>
          <w:tcPr/>
          <w:p>
            <w:pPr>
              <w:pStyle w:val="Compact"/>
              <w:jc w:val="left"/>
            </w:pPr>
            <w:r>
              <w:t xml:space="preserve">p=0.852</w:t>
            </w:r>
          </w:p>
        </w:tc>
        <w:tc>
          <w:tcPr/>
          <w:p>
            <w:pPr>
              <w:pStyle w:val="Compact"/>
            </w:pPr>
          </w:p>
        </w:tc>
        <w:tc>
          <w:tcPr/>
          <w:p>
            <w:pPr>
              <w:pStyle w:val="Compact"/>
            </w:pPr>
          </w:p>
        </w:tc>
      </w:tr>
      <w:tr>
        <w:tc>
          <w:tcPr/>
          <w:p>
            <w:pPr>
              <w:pStyle w:val="Compact"/>
              <w:jc w:val="left"/>
            </w:pPr>
            <w:r>
              <w:t xml:space="preserve">ent_typeHead and Neck Cancer</w:t>
            </w:r>
          </w:p>
        </w:tc>
        <w:tc>
          <w:tcPr/>
          <w:p>
            <w:pPr>
              <w:pStyle w:val="Compact"/>
              <w:jc w:val="left"/>
            </w:pPr>
            <w:r>
              <w:t xml:space="preserve">0.83 (0.36-1.91)</w:t>
            </w:r>
          </w:p>
        </w:tc>
        <w:tc>
          <w:tcPr/>
          <w:p>
            <w:pPr>
              <w:pStyle w:val="Compact"/>
            </w:pPr>
          </w:p>
        </w:tc>
      </w:tr>
      <w:tr>
        <w:tc>
          <w:tcPr/>
          <w:p>
            <w:pPr>
              <w:pStyle w:val="Compact"/>
              <w:jc w:val="left"/>
            </w:pPr>
            <w:r>
              <w:t xml:space="preserve">p=0.661</w:t>
            </w:r>
          </w:p>
        </w:tc>
        <w:tc>
          <w:tcPr/>
          <w:p>
            <w:pPr>
              <w:pStyle w:val="Compact"/>
              <w:jc w:val="left"/>
            </w:pPr>
            <w:r>
              <w:t xml:space="preserve">1.26 (0.72-2.23)</w:t>
            </w:r>
          </w:p>
        </w:tc>
        <w:tc>
          <w:tcPr/>
          <w:p>
            <w:pPr>
              <w:pStyle w:val="Compact"/>
            </w:pPr>
          </w:p>
        </w:tc>
      </w:tr>
      <w:tr>
        <w:tc>
          <w:tcPr/>
          <w:p>
            <w:pPr>
              <w:pStyle w:val="Compact"/>
              <w:jc w:val="left"/>
            </w:pPr>
            <w:r>
              <w:t xml:space="preserve">p=0.421</w:t>
            </w:r>
          </w:p>
        </w:tc>
        <w:tc>
          <w:tcPr/>
          <w:p>
            <w:pPr>
              <w:pStyle w:val="Compact"/>
            </w:pPr>
          </w:p>
        </w:tc>
        <w:tc>
          <w:tcPr/>
          <w:p>
            <w:pPr>
              <w:pStyle w:val="Compact"/>
            </w:pPr>
          </w:p>
        </w:tc>
      </w:tr>
      <w:tr>
        <w:tc>
          <w:tcPr/>
          <w:p>
            <w:pPr>
              <w:pStyle w:val="Compact"/>
              <w:jc w:val="left"/>
            </w:pPr>
            <w:r>
              <w:t xml:space="preserve">ent_typeLaryngology</w:t>
            </w:r>
          </w:p>
        </w:tc>
        <w:tc>
          <w:tcPr/>
          <w:p>
            <w:pPr>
              <w:pStyle w:val="Compact"/>
              <w:jc w:val="left"/>
            </w:pPr>
            <w:r>
              <w:t xml:space="preserve">1.74 (0.50-6.08)</w:t>
            </w:r>
          </w:p>
        </w:tc>
        <w:tc>
          <w:tcPr/>
          <w:p>
            <w:pPr>
              <w:pStyle w:val="Compact"/>
            </w:pPr>
          </w:p>
        </w:tc>
      </w:tr>
      <w:tr>
        <w:tc>
          <w:tcPr/>
          <w:p>
            <w:pPr>
              <w:pStyle w:val="Compact"/>
              <w:jc w:val="left"/>
            </w:pPr>
            <w:r>
              <w:t xml:space="preserve">p=0.385</w:t>
            </w:r>
          </w:p>
        </w:tc>
        <w:tc>
          <w:tcPr/>
          <w:p>
            <w:pPr>
              <w:pStyle w:val="Compact"/>
              <w:jc w:val="left"/>
            </w:pPr>
            <w:r>
              <w:t xml:space="preserve">2.25 (1.13-4.46)</w:t>
            </w:r>
          </w:p>
        </w:tc>
        <w:tc>
          <w:tcPr/>
          <w:p>
            <w:pPr>
              <w:pStyle w:val="Compact"/>
            </w:pPr>
          </w:p>
        </w:tc>
      </w:tr>
      <w:tr>
        <w:tc>
          <w:tcPr/>
          <w:p>
            <w:pPr>
              <w:pStyle w:val="Compact"/>
              <w:jc w:val="left"/>
            </w:pPr>
            <w:r>
              <w:t xml:space="preserve">p=0.020</w:t>
            </w:r>
          </w:p>
        </w:tc>
        <w:tc>
          <w:tcPr/>
          <w:p>
            <w:pPr>
              <w:pStyle w:val="Compact"/>
            </w:pPr>
          </w:p>
        </w:tc>
        <w:tc>
          <w:tcPr/>
          <w:p>
            <w:pPr>
              <w:pStyle w:val="Compact"/>
            </w:pPr>
          </w:p>
        </w:tc>
      </w:tr>
      <w:tr>
        <w:tc>
          <w:tcPr/>
          <w:p>
            <w:pPr>
              <w:pStyle w:val="Compact"/>
              <w:jc w:val="left"/>
            </w:pPr>
            <w:r>
              <w:t xml:space="preserve">ent_typeOtology/neurotology</w:t>
            </w:r>
          </w:p>
        </w:tc>
        <w:tc>
          <w:tcPr/>
          <w:p>
            <w:pPr>
              <w:pStyle w:val="Compact"/>
              <w:jc w:val="left"/>
            </w:pPr>
            <w:r>
              <w:t xml:space="preserve">0.49 (0.23-1.07)</w:t>
            </w:r>
          </w:p>
        </w:tc>
        <w:tc>
          <w:tcPr/>
          <w:p>
            <w:pPr>
              <w:pStyle w:val="Compact"/>
            </w:pPr>
          </w:p>
        </w:tc>
      </w:tr>
      <w:tr>
        <w:tc>
          <w:tcPr/>
          <w:p>
            <w:pPr>
              <w:pStyle w:val="Compact"/>
              <w:jc w:val="left"/>
            </w:pPr>
            <w:r>
              <w:t xml:space="preserve">p=0.074</w:t>
            </w:r>
          </w:p>
        </w:tc>
        <w:tc>
          <w:tcPr/>
          <w:p>
            <w:pPr>
              <w:pStyle w:val="Compact"/>
              <w:jc w:val="left"/>
            </w:pPr>
            <w:r>
              <w:t xml:space="preserve">1.21 (0.64-2.26)</w:t>
            </w:r>
          </w:p>
        </w:tc>
        <w:tc>
          <w:tcPr/>
          <w:p>
            <w:pPr>
              <w:pStyle w:val="Compact"/>
            </w:pPr>
          </w:p>
        </w:tc>
      </w:tr>
      <w:tr>
        <w:tc>
          <w:tcPr/>
          <w:p>
            <w:pPr>
              <w:pStyle w:val="Compact"/>
              <w:jc w:val="left"/>
            </w:pPr>
            <w:r>
              <w:t xml:space="preserve">p=0.557</w:t>
            </w:r>
          </w:p>
        </w:tc>
        <w:tc>
          <w:tcPr/>
          <w:p>
            <w:pPr>
              <w:pStyle w:val="Compact"/>
            </w:pPr>
          </w:p>
        </w:tc>
        <w:tc>
          <w:tcPr/>
          <w:p>
            <w:pPr>
              <w:pStyle w:val="Compact"/>
            </w:pPr>
          </w:p>
        </w:tc>
      </w:tr>
      <w:tr>
        <w:tc>
          <w:tcPr/>
          <w:p>
            <w:pPr>
              <w:pStyle w:val="Compact"/>
              <w:jc w:val="left"/>
            </w:pPr>
            <w:r>
              <w:t xml:space="preserve">ent_typePediatrics</w:t>
            </w:r>
          </w:p>
        </w:tc>
        <w:tc>
          <w:tcPr/>
          <w:p>
            <w:pPr>
              <w:pStyle w:val="Compact"/>
              <w:jc w:val="left"/>
            </w:pPr>
            <w:r>
              <w:t xml:space="preserve">2.26 (1.08-4.75)</w:t>
            </w:r>
          </w:p>
        </w:tc>
        <w:tc>
          <w:tcPr/>
          <w:p>
            <w:pPr>
              <w:pStyle w:val="Compact"/>
            </w:pPr>
          </w:p>
        </w:tc>
      </w:tr>
      <w:tr>
        <w:tc>
          <w:tcPr/>
          <w:p>
            <w:pPr>
              <w:pStyle w:val="Compact"/>
              <w:jc w:val="left"/>
            </w:pPr>
            <w:r>
              <w:t xml:space="preserve">p=0.031</w:t>
            </w:r>
          </w:p>
        </w:tc>
        <w:tc>
          <w:tcPr/>
          <w:p>
            <w:pPr>
              <w:pStyle w:val="Compact"/>
              <w:jc w:val="left"/>
            </w:pPr>
            <w:r>
              <w:t xml:space="preserve">1.54 (1.04-2.28)</w:t>
            </w:r>
          </w:p>
        </w:tc>
        <w:tc>
          <w:tcPr/>
          <w:p>
            <w:pPr>
              <w:pStyle w:val="Compact"/>
            </w:pPr>
          </w:p>
        </w:tc>
      </w:tr>
      <w:tr>
        <w:tc>
          <w:tcPr/>
          <w:p>
            <w:pPr>
              <w:pStyle w:val="Compact"/>
              <w:jc w:val="left"/>
            </w:pPr>
            <w:r>
              <w:t xml:space="preserve">p=0.031</w:t>
            </w:r>
          </w:p>
        </w:tc>
        <w:tc>
          <w:tcPr/>
          <w:p>
            <w:pPr>
              <w:pStyle w:val="Compact"/>
            </w:pPr>
          </w:p>
        </w:tc>
        <w:tc>
          <w:tcPr/>
          <w:p>
            <w:pPr>
              <w:pStyle w:val="Compact"/>
            </w:pPr>
          </w:p>
        </w:tc>
      </w:tr>
      <w:tr>
        <w:tc>
          <w:tcPr/>
          <w:p>
            <w:pPr>
              <w:pStyle w:val="Compact"/>
              <w:jc w:val="left"/>
            </w:pPr>
            <w:r>
              <w:t xml:space="preserve">ent_typeRhinology</w:t>
            </w:r>
          </w:p>
        </w:tc>
        <w:tc>
          <w:tcPr/>
          <w:p>
            <w:pPr>
              <w:pStyle w:val="Compact"/>
              <w:jc w:val="left"/>
            </w:pPr>
            <w:r>
              <w:t xml:space="preserve">2.11 (0.72-6.17)</w:t>
            </w:r>
          </w:p>
        </w:tc>
        <w:tc>
          <w:tcPr/>
          <w:p>
            <w:pPr>
              <w:pStyle w:val="Compact"/>
            </w:pPr>
          </w:p>
        </w:tc>
      </w:tr>
      <w:tr>
        <w:tc>
          <w:tcPr/>
          <w:p>
            <w:pPr>
              <w:pStyle w:val="Compact"/>
              <w:jc w:val="left"/>
            </w:pPr>
            <w:r>
              <w:t xml:space="preserve">p=0.174</w:t>
            </w:r>
          </w:p>
        </w:tc>
        <w:tc>
          <w:tcPr/>
          <w:p>
            <w:pPr>
              <w:pStyle w:val="Compact"/>
              <w:jc w:val="left"/>
            </w:pPr>
            <w:r>
              <w:t xml:space="preserve">1.55 (0.89-2.68)</w:t>
            </w:r>
          </w:p>
        </w:tc>
        <w:tc>
          <w:tcPr/>
          <w:p>
            <w:pPr>
              <w:pStyle w:val="Compact"/>
            </w:pPr>
          </w:p>
        </w:tc>
      </w:tr>
      <w:tr>
        <w:tc>
          <w:tcPr/>
          <w:p>
            <w:pPr>
              <w:pStyle w:val="Compact"/>
              <w:jc w:val="left"/>
            </w:pPr>
            <w:r>
              <w:t xml:space="preserve">p=0.121</w:t>
            </w:r>
          </w:p>
        </w:tc>
        <w:tc>
          <w:tcPr/>
          <w:p>
            <w:pPr>
              <w:pStyle w:val="Compact"/>
            </w:pPr>
          </w:p>
        </w:tc>
        <w:tc>
          <w:tcPr/>
          <w:p>
            <w:pPr>
              <w:pStyle w:val="Compact"/>
            </w:pPr>
          </w:p>
        </w:tc>
      </w:tr>
      <w:tr>
        <w:tc>
          <w:tcPr/>
          <w:p>
            <w:pPr>
              <w:pStyle w:val="Compact"/>
              <w:jc w:val="left"/>
            </w:pPr>
            <w:r>
              <w:t xml:space="preserve">ent_typeSleep</w:t>
            </w:r>
          </w:p>
        </w:tc>
        <w:tc>
          <w:tcPr/>
          <w:p>
            <w:pPr>
              <w:pStyle w:val="Compact"/>
              <w:jc w:val="left"/>
            </w:pPr>
            <w:r>
              <w:t xml:space="preserve">1.66 (0.55-5.03)</w:t>
            </w:r>
          </w:p>
        </w:tc>
        <w:tc>
          <w:tcPr/>
          <w:p>
            <w:pPr>
              <w:pStyle w:val="Compact"/>
            </w:pPr>
          </w:p>
        </w:tc>
      </w:tr>
      <w:tr>
        <w:tc>
          <w:tcPr/>
          <w:p>
            <w:pPr>
              <w:pStyle w:val="Compact"/>
              <w:jc w:val="left"/>
            </w:pPr>
            <w:r>
              <w:t xml:space="preserve">p=0.371</w:t>
            </w:r>
          </w:p>
        </w:tc>
        <w:tc>
          <w:tcPr/>
          <w:p>
            <w:pPr>
              <w:pStyle w:val="Compact"/>
              <w:jc w:val="left"/>
            </w:pPr>
            <w:r>
              <w:t xml:space="preserve">1.17 (0.61-2.24)</w:t>
            </w:r>
          </w:p>
        </w:tc>
        <w:tc>
          <w:tcPr/>
          <w:p>
            <w:pPr>
              <w:pStyle w:val="Compact"/>
            </w:pPr>
          </w:p>
        </w:tc>
      </w:tr>
      <w:tr>
        <w:tc>
          <w:tcPr/>
          <w:p>
            <w:pPr>
              <w:pStyle w:val="Compact"/>
              <w:jc w:val="left"/>
            </w:pPr>
            <w:r>
              <w:t xml:space="preserve">p=0.646</w:t>
            </w:r>
          </w:p>
        </w:tc>
        <w:tc>
          <w:tcPr/>
          <w:p>
            <w:pPr>
              <w:pStyle w:val="Compact"/>
            </w:pPr>
          </w:p>
        </w:tc>
        <w:tc>
          <w:tcPr/>
          <w:p>
            <w:pPr>
              <w:pStyle w:val="Compact"/>
            </w:pPr>
          </w:p>
        </w:tc>
      </w:tr>
      <w:tr>
        <w:tc>
          <w:tcPr/>
          <w:p>
            <w:pPr>
              <w:pStyle w:val="Compact"/>
              <w:jc w:val="left"/>
            </w:pPr>
            <w:r>
              <w:t xml:space="preserve">ent_per_100k_z</w:t>
            </w:r>
          </w:p>
        </w:tc>
        <w:tc>
          <w:tcPr/>
          <w:p>
            <w:pPr>
              <w:pStyle w:val="Compact"/>
              <w:jc w:val="left"/>
            </w:pPr>
            <w:r>
              <w:t xml:space="preserve">0.96 (0.81-1.13)</w:t>
            </w:r>
          </w:p>
        </w:tc>
        <w:tc>
          <w:tcPr/>
          <w:p>
            <w:pPr>
              <w:pStyle w:val="Compact"/>
            </w:pPr>
          </w:p>
        </w:tc>
      </w:tr>
      <w:tr>
        <w:tc>
          <w:tcPr/>
          <w:p>
            <w:pPr>
              <w:pStyle w:val="Compact"/>
              <w:jc w:val="left"/>
            </w:pPr>
            <w:r>
              <w:t xml:space="preserve">p=0.603</w:t>
            </w:r>
          </w:p>
        </w:tc>
        <w:tc>
          <w:tcPr/>
          <w:p>
            <w:pPr>
              <w:pStyle w:val="Compact"/>
              <w:jc w:val="left"/>
            </w:pPr>
            <w:r>
              <w:t xml:space="preserve">0.95 (0.81-1.11)</w:t>
            </w:r>
          </w:p>
        </w:tc>
        <w:tc>
          <w:tcPr/>
          <w:p>
            <w:pPr>
              <w:pStyle w:val="Compact"/>
            </w:pPr>
          </w:p>
        </w:tc>
      </w:tr>
      <w:tr>
        <w:tc>
          <w:tcPr/>
          <w:p>
            <w:pPr>
              <w:pStyle w:val="Compact"/>
              <w:jc w:val="left"/>
            </w:pPr>
            <w:r>
              <w:t xml:space="preserve">p=0.499</w:t>
            </w:r>
          </w:p>
        </w:tc>
        <w:tc>
          <w:tcPr/>
          <w:p>
            <w:pPr>
              <w:pStyle w:val="Compact"/>
            </w:pPr>
          </w:p>
        </w:tc>
        <w:tc>
          <w:tcPr/>
          <w:p>
            <w:pPr>
              <w:pStyle w:val="Compact"/>
            </w:pPr>
          </w:p>
        </w:tc>
      </w:tr>
      <w:tr>
        <w:tc>
          <w:tcPr/>
          <w:p>
            <w:pPr>
              <w:pStyle w:val="Compact"/>
              <w:jc w:val="left"/>
            </w:pPr>
            <w:r>
              <w:t xml:space="preserve">medicaid_fee_index_z</w:t>
            </w:r>
          </w:p>
        </w:tc>
        <w:tc>
          <w:tcPr/>
          <w:p>
            <w:pPr>
              <w:pStyle w:val="Compact"/>
              <w:jc w:val="left"/>
            </w:pPr>
            <w:r>
              <w:t xml:space="preserve">0.91 (0.77-1.07)</w:t>
            </w:r>
          </w:p>
        </w:tc>
        <w:tc>
          <w:tcPr/>
          <w:p>
            <w:pPr>
              <w:pStyle w:val="Compact"/>
            </w:pPr>
          </w:p>
        </w:tc>
      </w:tr>
      <w:tr>
        <w:tc>
          <w:tcPr/>
          <w:p>
            <w:pPr>
              <w:pStyle w:val="Compact"/>
              <w:jc w:val="left"/>
            </w:pPr>
            <w:r>
              <w:t xml:space="preserve">p=0.250</w:t>
            </w:r>
          </w:p>
        </w:tc>
        <w:tc>
          <w:tcPr/>
          <w:p>
            <w:pPr>
              <w:pStyle w:val="Compact"/>
              <w:jc w:val="left"/>
            </w:pPr>
            <w:r>
              <w:t xml:space="preserve">0.96 (0.84-1.10)</w:t>
            </w:r>
          </w:p>
        </w:tc>
        <w:tc>
          <w:tcPr/>
          <w:p>
            <w:pPr>
              <w:pStyle w:val="Compact"/>
            </w:pPr>
          </w:p>
        </w:tc>
      </w:tr>
      <w:tr>
        <w:tc>
          <w:tcPr/>
          <w:p>
            <w:pPr>
              <w:pStyle w:val="Compact"/>
              <w:jc w:val="left"/>
            </w:pPr>
            <w:r>
              <w:t xml:space="preserve">p=0.545</w:t>
            </w:r>
          </w:p>
        </w:tc>
        <w:tc>
          <w:tcPr/>
          <w:p>
            <w:pPr>
              <w:pStyle w:val="Compact"/>
            </w:pPr>
          </w:p>
        </w:tc>
        <w:tc>
          <w:tcPr/>
          <w:p>
            <w:pPr>
              <w:pStyle w:val="Compact"/>
            </w:pPr>
          </w:p>
        </w:tc>
      </w:tr>
      <w:tr>
        <w:tc>
          <w:tcPr/>
          <w:p>
            <w:pPr>
              <w:pStyle w:val="Compact"/>
              <w:jc w:val="left"/>
            </w:pPr>
            <w:r>
              <w:t xml:space="preserve">svi_overall_z</w:t>
            </w:r>
          </w:p>
        </w:tc>
        <w:tc>
          <w:tcPr/>
          <w:p>
            <w:pPr>
              <w:pStyle w:val="Compact"/>
              <w:jc w:val="left"/>
            </w:pPr>
            <w:r>
              <w:t xml:space="preserve">0.95 (0.80-1.13)</w:t>
            </w:r>
          </w:p>
        </w:tc>
        <w:tc>
          <w:tcPr/>
          <w:p>
            <w:pPr>
              <w:pStyle w:val="Compact"/>
            </w:pPr>
          </w:p>
        </w:tc>
      </w:tr>
      <w:tr>
        <w:tc>
          <w:tcPr/>
          <w:p>
            <w:pPr>
              <w:pStyle w:val="Compact"/>
              <w:jc w:val="left"/>
            </w:pPr>
            <w:r>
              <w:t xml:space="preserve">p=0.583</w:t>
            </w:r>
          </w:p>
        </w:tc>
        <w:tc>
          <w:tcPr/>
          <w:p>
            <w:pPr>
              <w:pStyle w:val="Compact"/>
              <w:jc w:val="left"/>
            </w:pPr>
            <w:r>
              <w:t xml:space="preserve">0.95 (0.84-1.07)</w:t>
            </w:r>
          </w:p>
        </w:tc>
        <w:tc>
          <w:tcPr/>
          <w:p>
            <w:pPr>
              <w:pStyle w:val="Compact"/>
            </w:pPr>
          </w:p>
        </w:tc>
      </w:tr>
      <w:tr>
        <w:tc>
          <w:tcPr/>
          <w:p>
            <w:pPr>
              <w:pStyle w:val="Compact"/>
              <w:jc w:val="left"/>
            </w:pPr>
            <w:r>
              <w:t xml:space="preserve">p=0.423</w:t>
            </w:r>
          </w:p>
        </w:tc>
        <w:tc>
          <w:tcPr/>
          <w:p>
            <w:pPr>
              <w:pStyle w:val="Compact"/>
            </w:pPr>
          </w:p>
        </w:tc>
        <w:tc>
          <w:tcPr/>
          <w:p>
            <w:pPr>
              <w:pStyle w:val="Compact"/>
            </w:pPr>
          </w:p>
        </w:tc>
      </w:tr>
      <w:tr>
        <w:tc>
          <w:tcPr/>
          <w:p>
            <w:pPr>
              <w:pStyle w:val="Compact"/>
              <w:jc w:val="left"/>
            </w:pPr>
            <w:r>
              <w:t xml:space="preserve">dual_pct_z</w:t>
            </w:r>
          </w:p>
        </w:tc>
        <w:tc>
          <w:tcPr/>
          <w:p>
            <w:pPr>
              <w:pStyle w:val="Compact"/>
              <w:jc w:val="left"/>
            </w:pPr>
            <w:r>
              <w:t xml:space="preserve">1.00 (0.83-1.20)</w:t>
            </w:r>
          </w:p>
        </w:tc>
        <w:tc>
          <w:tcPr/>
          <w:p>
            <w:pPr>
              <w:pStyle w:val="Compact"/>
            </w:pPr>
          </w:p>
        </w:tc>
      </w:tr>
      <w:tr>
        <w:tc>
          <w:tcPr/>
          <w:p>
            <w:pPr>
              <w:pStyle w:val="Compact"/>
              <w:jc w:val="left"/>
            </w:pPr>
            <w:r>
              <w:t xml:space="preserve">p=0.975</w:t>
            </w:r>
          </w:p>
        </w:tc>
        <w:tc>
          <w:tcPr/>
          <w:p>
            <w:pPr>
              <w:pStyle w:val="Compact"/>
              <w:jc w:val="left"/>
            </w:pPr>
            <w:r>
              <w:t xml:space="preserve">0.98 (0.86-1.12)</w:t>
            </w:r>
          </w:p>
        </w:tc>
        <w:tc>
          <w:tcPr/>
          <w:p>
            <w:pPr>
              <w:pStyle w:val="Compact"/>
            </w:pPr>
          </w:p>
        </w:tc>
      </w:tr>
      <w:tr>
        <w:tc>
          <w:tcPr/>
          <w:p>
            <w:pPr>
              <w:pStyle w:val="Compact"/>
              <w:jc w:val="left"/>
            </w:pPr>
            <w:r>
              <w:t xml:space="preserve">p=0.801</w:t>
            </w:r>
          </w:p>
        </w:tc>
        <w:tc>
          <w:tcPr/>
          <w:p>
            <w:pPr>
              <w:pStyle w:val="Compact"/>
            </w:pPr>
          </w:p>
        </w:tc>
        <w:tc>
          <w:tcPr/>
          <w:p>
            <w:pPr>
              <w:pStyle w:val="Compact"/>
            </w:pPr>
          </w:p>
        </w:tc>
      </w:tr>
      <w:tr>
        <w:tc>
          <w:tcPr/>
          <w:p>
            <w:pPr>
              <w:pStyle w:val="Compact"/>
              <w:jc w:val="left"/>
            </w:pPr>
            <w:r>
              <w:t xml:space="preserve">ruralUrban</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ruralRural</w:t>
            </w:r>
          </w:p>
        </w:tc>
        <w:tc>
          <w:tcPr/>
          <w:p>
            <w:pPr>
              <w:pStyle w:val="Compact"/>
              <w:jc w:val="left"/>
            </w:pPr>
            <w:r>
              <w:t xml:space="preserve">0.93 (0.49-1.75)</w:t>
            </w:r>
          </w:p>
        </w:tc>
        <w:tc>
          <w:tcPr/>
          <w:p>
            <w:pPr>
              <w:pStyle w:val="Compact"/>
            </w:pPr>
          </w:p>
        </w:tc>
      </w:tr>
      <w:tr>
        <w:tc>
          <w:tcPr/>
          <w:p>
            <w:pPr>
              <w:pStyle w:val="Compact"/>
              <w:jc w:val="left"/>
            </w:pPr>
            <w:r>
              <w:t xml:space="preserve">p=0.823</w:t>
            </w:r>
          </w:p>
        </w:tc>
        <w:tc>
          <w:tcPr/>
          <w:p>
            <w:pPr>
              <w:pStyle w:val="Compact"/>
              <w:jc w:val="left"/>
            </w:pPr>
            <w:r>
              <w:t xml:space="preserve">1.14 (0.72-1.81)</w:t>
            </w:r>
          </w:p>
        </w:tc>
        <w:tc>
          <w:tcPr/>
          <w:p>
            <w:pPr>
              <w:pStyle w:val="Compact"/>
            </w:pPr>
          </w:p>
        </w:tc>
      </w:tr>
      <w:tr>
        <w:tc>
          <w:tcPr/>
          <w:p>
            <w:pPr>
              <w:pStyle w:val="Compact"/>
              <w:jc w:val="left"/>
            </w:pPr>
            <w:r>
              <w:t xml:space="preserve">p=0.579</w:t>
            </w:r>
          </w:p>
        </w:tc>
        <w:tc>
          <w:tcPr/>
          <w:p>
            <w:pPr>
              <w:pStyle w:val="Compact"/>
            </w:pPr>
          </w:p>
        </w:tc>
        <w:tc>
          <w:tcPr/>
          <w:p>
            <w:pPr>
              <w:pStyle w:val="Compact"/>
            </w:pPr>
          </w:p>
        </w:tc>
      </w:tr>
      <w:tr>
        <w:tc>
          <w:tcPr/>
          <w:p>
            <w:pPr>
              <w:pStyle w:val="Compact"/>
              <w:jc w:val="left"/>
            </w:pPr>
            <w:r>
              <w:t xml:space="preserve">ruralSuburban</w:t>
            </w:r>
          </w:p>
        </w:tc>
        <w:tc>
          <w:tcPr/>
          <w:p>
            <w:pPr>
              <w:pStyle w:val="Compact"/>
              <w:jc w:val="left"/>
            </w:pPr>
            <w:r>
              <w:t xml:space="preserve">1.03 (0.71-1.50)</w:t>
            </w:r>
          </w:p>
        </w:tc>
        <w:tc>
          <w:tcPr/>
          <w:p>
            <w:pPr>
              <w:pStyle w:val="Compact"/>
            </w:pPr>
          </w:p>
        </w:tc>
      </w:tr>
      <w:tr>
        <w:tc>
          <w:tcPr/>
          <w:p>
            <w:pPr>
              <w:pStyle w:val="Compact"/>
              <w:jc w:val="left"/>
            </w:pPr>
            <w:r>
              <w:t xml:space="preserve">p=0.857</w:t>
            </w:r>
          </w:p>
        </w:tc>
        <w:tc>
          <w:tcPr/>
          <w:p>
            <w:pPr>
              <w:pStyle w:val="Compact"/>
              <w:jc w:val="left"/>
            </w:pPr>
            <w:r>
              <w:t xml:space="preserve">1.08 (0.81-1.42)</w:t>
            </w:r>
          </w:p>
        </w:tc>
        <w:tc>
          <w:tcPr/>
          <w:p>
            <w:pPr>
              <w:pStyle w:val="Compact"/>
            </w:pPr>
          </w:p>
        </w:tc>
      </w:tr>
      <w:tr>
        <w:tc>
          <w:tcPr/>
          <w:p>
            <w:pPr>
              <w:pStyle w:val="Compact"/>
              <w:jc w:val="left"/>
            </w:pPr>
            <w:r>
              <w:t xml:space="preserve">p=0.606</w:t>
            </w:r>
          </w:p>
        </w:tc>
        <w:tc>
          <w:tcPr/>
          <w:p>
            <w:pPr>
              <w:pStyle w:val="Compact"/>
            </w:pPr>
          </w:p>
        </w:tc>
        <w:tc>
          <w:tcPr/>
          <w:p>
            <w:pPr>
              <w:pStyle w:val="Compact"/>
            </w:pPr>
          </w:p>
        </w:tc>
      </w:tr>
      <w:tr>
        <w:tc>
          <w:tcPr/>
          <w:p>
            <w:pPr>
              <w:pStyle w:val="Compact"/>
              <w:jc w:val="left"/>
            </w:pPr>
            <w:r>
              <w:t xml:space="preserve">caller_fRoesch</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caller_fDeol</w:t>
            </w:r>
          </w:p>
        </w:tc>
        <w:tc>
          <w:tcPr/>
          <w:p>
            <w:pPr>
              <w:pStyle w:val="Compact"/>
              <w:jc w:val="left"/>
            </w:pPr>
            <w:r>
              <w:t xml:space="preserve">2.34 (1.42-3.86)</w:t>
            </w:r>
          </w:p>
        </w:tc>
        <w:tc>
          <w:tcPr/>
          <w:p>
            <w:pPr>
              <w:pStyle w:val="Compact"/>
            </w:pPr>
          </w:p>
        </w:tc>
      </w:tr>
      <w:tr>
        <w:tc>
          <w:tcPr/>
          <w:p>
            <w:pPr>
              <w:pStyle w:val="Compact"/>
              <w:jc w:val="left"/>
            </w:pPr>
            <w:r>
              <w:t xml:space="preserve">p=&lt; 0.001</w:t>
            </w:r>
          </w:p>
        </w:tc>
        <w:tc>
          <w:tcPr/>
          <w:p>
            <w:pPr>
              <w:pStyle w:val="Compact"/>
              <w:jc w:val="left"/>
            </w:pPr>
            <w:r>
              <w:t xml:space="preserve">0.82 (0.59-1.14)</w:t>
            </w:r>
          </w:p>
        </w:tc>
        <w:tc>
          <w:tcPr/>
          <w:p>
            <w:pPr>
              <w:pStyle w:val="Compact"/>
            </w:pPr>
          </w:p>
        </w:tc>
      </w:tr>
      <w:tr>
        <w:tc>
          <w:tcPr/>
          <w:p>
            <w:pPr>
              <w:pStyle w:val="Compact"/>
              <w:jc w:val="left"/>
            </w:pPr>
            <w:r>
              <w:t xml:space="preserve">p=0.235</w:t>
            </w:r>
          </w:p>
        </w:tc>
        <w:tc>
          <w:tcPr/>
          <w:p>
            <w:pPr>
              <w:pStyle w:val="Compact"/>
            </w:pPr>
          </w:p>
        </w:tc>
        <w:tc>
          <w:tcPr/>
          <w:p>
            <w:pPr>
              <w:pStyle w:val="Compact"/>
            </w:pPr>
          </w:p>
        </w:tc>
      </w:tr>
      <w:tr>
        <w:tc>
          <w:tcPr/>
          <w:p>
            <w:pPr>
              <w:pStyle w:val="Compact"/>
              <w:jc w:val="left"/>
            </w:pPr>
            <w:r>
              <w:t xml:space="preserve">caller_fFalk</w:t>
            </w:r>
          </w:p>
        </w:tc>
        <w:tc>
          <w:tcPr/>
          <w:p>
            <w:pPr>
              <w:pStyle w:val="Compact"/>
              <w:jc w:val="left"/>
            </w:pPr>
            <w:r>
              <w:t xml:space="preserve">2.00 (1.13-3.53)</w:t>
            </w:r>
          </w:p>
        </w:tc>
        <w:tc>
          <w:tcPr/>
          <w:p>
            <w:pPr>
              <w:pStyle w:val="Compact"/>
            </w:pPr>
          </w:p>
        </w:tc>
      </w:tr>
      <w:tr>
        <w:tc>
          <w:tcPr/>
          <w:p>
            <w:pPr>
              <w:pStyle w:val="Compact"/>
              <w:jc w:val="left"/>
            </w:pPr>
            <w:r>
              <w:t xml:space="preserve">p=0.017</w:t>
            </w:r>
          </w:p>
        </w:tc>
        <w:tc>
          <w:tcPr/>
          <w:p>
            <w:pPr>
              <w:pStyle w:val="Compact"/>
              <w:jc w:val="left"/>
            </w:pPr>
            <w:r>
              <w:t xml:space="preserve">0.61 (0.41-0.91)</w:t>
            </w:r>
          </w:p>
        </w:tc>
        <w:tc>
          <w:tcPr/>
          <w:p>
            <w:pPr>
              <w:pStyle w:val="Compact"/>
            </w:pPr>
          </w:p>
        </w:tc>
      </w:tr>
      <w:tr>
        <w:tc>
          <w:tcPr/>
          <w:p>
            <w:pPr>
              <w:pStyle w:val="Compact"/>
              <w:jc w:val="left"/>
            </w:pPr>
            <w:r>
              <w:t xml:space="preserve">p=0.015</w:t>
            </w:r>
          </w:p>
        </w:tc>
        <w:tc>
          <w:tcPr/>
          <w:p>
            <w:pPr>
              <w:pStyle w:val="Compact"/>
            </w:pPr>
          </w:p>
        </w:tc>
        <w:tc>
          <w:tcPr/>
          <w:p>
            <w:pPr>
              <w:pStyle w:val="Compact"/>
            </w:pPr>
          </w:p>
        </w:tc>
      </w:tr>
      <w:tr>
        <w:tc>
          <w:tcPr/>
          <w:p>
            <w:pPr>
              <w:pStyle w:val="Compact"/>
              <w:jc w:val="left"/>
            </w:pPr>
            <w:r>
              <w:t xml:space="preserve">caller_fGregg</w:t>
            </w:r>
          </w:p>
        </w:tc>
        <w:tc>
          <w:tcPr/>
          <w:p>
            <w:pPr>
              <w:pStyle w:val="Compact"/>
              <w:jc w:val="left"/>
            </w:pPr>
            <w:r>
              <w:t xml:space="preserve">1.90 (1.15-3.12)</w:t>
            </w:r>
          </w:p>
        </w:tc>
        <w:tc>
          <w:tcPr/>
          <w:p>
            <w:pPr>
              <w:pStyle w:val="Compact"/>
            </w:pPr>
          </w:p>
        </w:tc>
      </w:tr>
      <w:tr>
        <w:tc>
          <w:tcPr/>
          <w:p>
            <w:pPr>
              <w:pStyle w:val="Compact"/>
              <w:jc w:val="left"/>
            </w:pPr>
            <w:r>
              <w:t xml:space="preserve">p=0.012</w:t>
            </w:r>
          </w:p>
        </w:tc>
        <w:tc>
          <w:tcPr/>
          <w:p>
            <w:pPr>
              <w:pStyle w:val="Compact"/>
              <w:jc w:val="left"/>
            </w:pPr>
            <w:r>
              <w:t xml:space="preserve">1.00 (0.71-1.40)</w:t>
            </w:r>
          </w:p>
        </w:tc>
        <w:tc>
          <w:tcPr/>
          <w:p>
            <w:pPr>
              <w:pStyle w:val="Compact"/>
            </w:pPr>
          </w:p>
        </w:tc>
      </w:tr>
      <w:tr>
        <w:tc>
          <w:tcPr/>
          <w:p>
            <w:pPr>
              <w:pStyle w:val="Compact"/>
              <w:jc w:val="left"/>
            </w:pPr>
            <w:r>
              <w:t xml:space="preserve">p=0.978</w:t>
            </w:r>
          </w:p>
        </w:tc>
        <w:tc>
          <w:tcPr/>
          <w:p>
            <w:pPr>
              <w:pStyle w:val="Compact"/>
            </w:pPr>
          </w:p>
        </w:tc>
        <w:tc>
          <w:tcPr/>
          <w:p>
            <w:pPr>
              <w:pStyle w:val="Compact"/>
            </w:pPr>
          </w:p>
        </w:tc>
      </w:tr>
      <w:tr>
        <w:tc>
          <w:tcPr/>
          <w:p>
            <w:pPr>
              <w:pStyle w:val="Compact"/>
              <w:jc w:val="left"/>
            </w:pPr>
            <w:r>
              <w:t xml:space="preserve">caller_fKim</w:t>
            </w:r>
          </w:p>
        </w:tc>
        <w:tc>
          <w:tcPr/>
          <w:p>
            <w:pPr>
              <w:pStyle w:val="Compact"/>
              <w:jc w:val="left"/>
            </w:pPr>
            <w:r>
              <w:t xml:space="preserve">1.98 (1.20-3.27)</w:t>
            </w:r>
          </w:p>
        </w:tc>
        <w:tc>
          <w:tcPr/>
          <w:p>
            <w:pPr>
              <w:pStyle w:val="Compact"/>
            </w:pPr>
          </w:p>
        </w:tc>
      </w:tr>
      <w:tr>
        <w:tc>
          <w:tcPr/>
          <w:p>
            <w:pPr>
              <w:pStyle w:val="Compact"/>
              <w:jc w:val="left"/>
            </w:pPr>
            <w:r>
              <w:t xml:space="preserve">p=0.007</w:t>
            </w:r>
          </w:p>
        </w:tc>
        <w:tc>
          <w:tcPr/>
          <w:p>
            <w:pPr>
              <w:pStyle w:val="Compact"/>
              <w:jc w:val="left"/>
            </w:pPr>
            <w:r>
              <w:t xml:space="preserve">1.00 (0.71-1.42)</w:t>
            </w:r>
          </w:p>
        </w:tc>
        <w:tc>
          <w:tcPr/>
          <w:p>
            <w:pPr>
              <w:pStyle w:val="Compact"/>
            </w:pPr>
          </w:p>
        </w:tc>
      </w:tr>
      <w:tr>
        <w:tc>
          <w:tcPr/>
          <w:p>
            <w:pPr>
              <w:pStyle w:val="Compact"/>
              <w:jc w:val="left"/>
            </w:pPr>
            <w:r>
              <w:t xml:space="preserve">p=0.999</w:t>
            </w:r>
          </w:p>
        </w:tc>
        <w:tc>
          <w:tcPr/>
          <w:p>
            <w:pPr>
              <w:pStyle w:val="Compact"/>
            </w:pPr>
          </w:p>
        </w:tc>
        <w:tc>
          <w:tcPr/>
          <w:p>
            <w:pPr>
              <w:pStyle w:val="Compact"/>
            </w:pPr>
          </w:p>
        </w:tc>
      </w:tr>
      <w:tr>
        <w:tc>
          <w:tcPr/>
          <w:p>
            <w:pPr>
              <w:pStyle w:val="Compact"/>
              <w:jc w:val="left"/>
            </w:pPr>
            <w:r>
              <w:t xml:space="preserve">caller_fOther</w:t>
            </w:r>
          </w:p>
        </w:tc>
        <w:tc>
          <w:tcPr/>
          <w:p>
            <w:pPr>
              <w:pStyle w:val="Compact"/>
              <w:jc w:val="left"/>
            </w:pPr>
            <w:r>
              <w:t xml:space="preserve">0.50 (0.14-1.73)</w:t>
            </w:r>
          </w:p>
        </w:tc>
        <w:tc>
          <w:tcPr/>
          <w:p>
            <w:pPr>
              <w:pStyle w:val="Compact"/>
            </w:pPr>
          </w:p>
        </w:tc>
      </w:tr>
      <w:tr>
        <w:tc>
          <w:tcPr/>
          <w:p>
            <w:pPr>
              <w:pStyle w:val="Compact"/>
              <w:jc w:val="left"/>
            </w:pPr>
            <w:r>
              <w:t xml:space="preserve">p=0.274</w:t>
            </w:r>
          </w:p>
        </w:tc>
        <w:tc>
          <w:tcPr/>
          <w:p>
            <w:pPr>
              <w:pStyle w:val="Compact"/>
              <w:jc w:val="left"/>
            </w:pPr>
            <w:r>
              <w:t xml:space="preserve">0.73 (0.26-2.10)</w:t>
            </w:r>
          </w:p>
        </w:tc>
        <w:tc>
          <w:tcPr/>
          <w:p>
            <w:pPr>
              <w:pStyle w:val="Compact"/>
            </w:pPr>
          </w:p>
        </w:tc>
      </w:tr>
      <w:tr>
        <w:tc>
          <w:tcPr/>
          <w:p>
            <w:pPr>
              <w:pStyle w:val="Compact"/>
              <w:jc w:val="left"/>
            </w:pPr>
            <w:r>
              <w:t xml:space="preserve">p=0.565</w:t>
            </w:r>
          </w:p>
        </w:tc>
        <w:tc>
          <w:tcPr/>
          <w:p>
            <w:pPr>
              <w:pStyle w:val="Compact"/>
            </w:pPr>
          </w:p>
        </w:tc>
        <w:tc>
          <w:tcPr/>
          <w:p>
            <w:pPr>
              <w:pStyle w:val="Compact"/>
            </w:pPr>
          </w:p>
        </w:tc>
      </w:tr>
      <w:tr>
        <w:tc>
          <w:tcPr/>
          <w:p>
            <w:pPr>
              <w:pStyle w:val="Compact"/>
              <w:jc w:val="left"/>
            </w:pPr>
            <w:r>
              <w:t xml:space="preserve">caller_fWalsh</w:t>
            </w:r>
          </w:p>
        </w:tc>
        <w:tc>
          <w:tcPr/>
          <w:p>
            <w:pPr>
              <w:pStyle w:val="Compact"/>
              <w:jc w:val="left"/>
            </w:pPr>
            <w:r>
              <w:t xml:space="preserve">2.25 (1.38-3.67)</w:t>
            </w:r>
          </w:p>
        </w:tc>
        <w:tc>
          <w:tcPr/>
          <w:p>
            <w:pPr>
              <w:pStyle w:val="Compact"/>
            </w:pPr>
          </w:p>
        </w:tc>
      </w:tr>
      <w:tr>
        <w:tc>
          <w:tcPr/>
          <w:p>
            <w:pPr>
              <w:pStyle w:val="Compact"/>
              <w:jc w:val="left"/>
            </w:pPr>
            <w:r>
              <w:t xml:space="preserve">p=0.001</w:t>
            </w:r>
          </w:p>
        </w:tc>
        <w:tc>
          <w:tcPr/>
          <w:p>
            <w:pPr>
              <w:pStyle w:val="Compact"/>
              <w:jc w:val="left"/>
            </w:pPr>
            <w:r>
              <w:t xml:space="preserve">0.86 (0.62-1.20)</w:t>
            </w:r>
          </w:p>
        </w:tc>
        <w:tc>
          <w:tcPr/>
          <w:p>
            <w:pPr>
              <w:pStyle w:val="Compact"/>
            </w:pPr>
          </w:p>
        </w:tc>
      </w:tr>
      <w:tr>
        <w:tc>
          <w:tcPr/>
          <w:p>
            <w:pPr>
              <w:pStyle w:val="Compact"/>
              <w:jc w:val="left"/>
            </w:pPr>
            <w:r>
              <w:t xml:space="preserve">p=0.379</w:t>
            </w:r>
          </w:p>
        </w:tc>
        <w:tc>
          <w:tcPr/>
          <w:p>
            <w:pPr>
              <w:pStyle w:val="Compact"/>
            </w:pPr>
          </w:p>
        </w:tc>
        <w:tc>
          <w:tcPr/>
          <w:p>
            <w:pPr>
              <w:pStyle w:val="Compact"/>
            </w:pPr>
          </w:p>
        </w:tc>
      </w:tr>
      <w:tr>
        <w:tc>
          <w:tcPr/>
          <w:p>
            <w:pPr>
              <w:pStyle w:val="Compact"/>
              <w:jc w:val="left"/>
            </w:pPr>
            <w:r>
              <w:t xml:space="preserve">N</w:t>
            </w:r>
          </w:p>
        </w:tc>
        <w:tc>
          <w:tcPr/>
          <w:p>
            <w:pPr>
              <w:pStyle w:val="Compact"/>
              <w:jc w:val="left"/>
            </w:pPr>
            <w:r>
              <w:t xml:space="preserve">731</w:t>
            </w:r>
          </w:p>
        </w:tc>
        <w:tc>
          <w:tcPr/>
          <w:p>
            <w:pPr>
              <w:pStyle w:val="Compact"/>
              <w:jc w:val="left"/>
            </w:pPr>
            <w:r>
              <w:t xml:space="preserve">430</w:t>
            </w:r>
          </w:p>
        </w:tc>
      </w:tr>
      <w:tr>
        <w:tc>
          <w:tcPr/>
          <w:p>
            <w:pPr>
              <w:pStyle w:val="Compact"/>
              <w:jc w:val="left"/>
            </w:pPr>
            <w:r>
              <w:t xml:space="preserve">AIC</w:t>
            </w:r>
          </w:p>
        </w:tc>
        <w:tc>
          <w:tcPr/>
          <w:p>
            <w:pPr>
              <w:pStyle w:val="Compact"/>
              <w:jc w:val="left"/>
            </w:pPr>
            <w:r>
              <w:t xml:space="preserve">991.2</w:t>
            </w:r>
          </w:p>
        </w:tc>
        <w:tc>
          <w:tcPr/>
          <w:p>
            <w:pPr>
              <w:pStyle w:val="Compact"/>
              <w:jc w:val="left"/>
            </w:pPr>
            <w:r>
              <w:t xml:space="preserve">3572.6</w:t>
            </w:r>
          </w:p>
        </w:tc>
      </w:tr>
    </w:tbl>
    <w:bookmarkEnd w:id="40"/>
    <w:bookmarkStart w:id="59" w:name="supplementary-figures"/>
    <w:p>
      <w:pPr>
        <w:pStyle w:val="Heading2"/>
      </w:pPr>
      <w:r>
        <w:t xml:space="preserve">Supplementary Figures</w:t>
      </w:r>
    </w:p>
    <w:p>
      <w:pPr>
        <w:pStyle w:val="FirstParagraph"/>
      </w:pPr>
      <w:r>
        <w:rPr>
          <w:b/>
          <w:bCs/>
        </w:rPr>
        <w:t xml:space="preserve">Figure S1. Kaplan–Meier time to secured appointment, by subspecialty.</w:t>
      </w:r>
    </w:p>
    <w:p>
      <w:pPr>
        <w:pStyle w:val="BodyText"/>
      </w:pPr>
      <w:r>
        <w:drawing>
          <wp:inline>
            <wp:extent cx="5334000" cy="4148666"/>
            <wp:effectExtent b="0" l="0" r="0" t="0"/>
            <wp:docPr descr="" title="" id="42" name="Picture"/>
            <a:graphic>
              <a:graphicData uri="http://schemas.openxmlformats.org/drawingml/2006/picture">
                <pic:pic>
                  <pic:nvPicPr>
                    <pic:cNvPr descr="model_output/supp/figS1_km_time_to_appointment.png" id="43" name="Picture"/>
                    <pic:cNvPicPr>
                      <a:picLocks noChangeArrowheads="1" noChangeAspect="1"/>
                    </pic:cNvPicPr>
                  </pic:nvPicPr>
                  <pic:blipFill>
                    <a:blip r:embed="rId41"/>
                    <a:stretch>
                      <a:fillRect/>
                    </a:stretch>
                  </pic:blipFill>
                  <pic:spPr bwMode="auto">
                    <a:xfrm>
                      <a:off x="0" y="0"/>
                      <a:ext cx="5334000" cy="4148666"/>
                    </a:xfrm>
                    <a:prstGeom prst="rect">
                      <a:avLst/>
                    </a:prstGeom>
                    <a:noFill/>
                    <a:ln w="9525">
                      <a:noFill/>
                      <a:headEnd/>
                      <a:tailEnd/>
                    </a:ln>
                  </pic:spPr>
                </pic:pic>
              </a:graphicData>
            </a:graphic>
          </wp:inline>
        </w:drawing>
      </w:r>
    </w:p>
    <w:p>
      <w:pPr>
        <w:pStyle w:val="BodyText"/>
      </w:pPr>
      <w:r>
        <w:rPr>
          <w:b/>
          <w:bCs/>
        </w:rPr>
        <w:t xml:space="preserve">Figure S2. Business-day wait-time distribution by subspecialty.</w:t>
      </w:r>
    </w:p>
    <w:p>
      <w:pPr>
        <w:pStyle w:val="BodyText"/>
      </w:pPr>
      <w:r>
        <w:drawing>
          <wp:inline>
            <wp:extent cx="5334000" cy="3333750"/>
            <wp:effectExtent b="0" l="0" r="0" t="0"/>
            <wp:docPr descr="" title="" id="45" name="Picture"/>
            <a:graphic>
              <a:graphicData uri="http://schemas.openxmlformats.org/drawingml/2006/picture">
                <pic:pic>
                  <pic:nvPicPr>
                    <pic:cNvPr descr="model_output/supp/figS2_wait_distribution.png" id="46" name="Picture"/>
                    <pic:cNvPicPr>
                      <a:picLocks noChangeArrowheads="1" noChangeAspect="1"/>
                    </pic:cNvPicPr>
                  </pic:nvPicPr>
                  <pic:blipFill>
                    <a:blip r:embed="rId44"/>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S3. Negative binomial model diagnostics (DHARMa).</w:t>
      </w:r>
    </w:p>
    <w:p>
      <w:pPr>
        <w:pStyle w:val="BodyText"/>
      </w:pPr>
      <w:r>
        <w:drawing>
          <wp:inline>
            <wp:extent cx="5334000" cy="2667000"/>
            <wp:effectExtent b="0" l="0" r="0" t="0"/>
            <wp:docPr descr="" title="" id="48" name="Picture"/>
            <a:graphic>
              <a:graphicData uri="http://schemas.openxmlformats.org/drawingml/2006/picture">
                <pic:pic>
                  <pic:nvPicPr>
                    <pic:cNvPr descr="model_output/supp/figS3_nb_diagnostics.png" id="49" name="Picture"/>
                    <pic:cNvPicPr>
                      <a:picLocks noChangeArrowheads="1" noChangeAspect="1"/>
                    </pic:cNvPicPr>
                  </pic:nvPicPr>
                  <pic:blipFill>
                    <a:blip r:embed="rId4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S4a. Appointment offer rate by AAO-HNS region.</w:t>
      </w:r>
    </w:p>
    <w:p>
      <w:pPr>
        <w:pStyle w:val="BodyText"/>
      </w:pPr>
      <w:r>
        <w:drawing>
          <wp:inline>
            <wp:extent cx="5334000" cy="3333750"/>
            <wp:effectExtent b="0" l="0" r="0" t="0"/>
            <wp:docPr descr="" title="" id="51" name="Picture"/>
            <a:graphic>
              <a:graphicData uri="http://schemas.openxmlformats.org/drawingml/2006/picture">
                <pic:pic>
                  <pic:nvPicPr>
                    <pic:cNvPr descr="model_output/supp/figS4_choropleth_offer_rate.png" id="52" name="Picture"/>
                    <pic:cNvPicPr>
                      <a:picLocks noChangeArrowheads="1" noChangeAspect="1"/>
                    </pic:cNvPicPr>
                  </pic:nvPicPr>
                  <pic:blipFill>
                    <a:blip r:embed="rId50"/>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S4b. Median business-day wait by AAO-HNS region.</w:t>
      </w:r>
    </w:p>
    <w:p>
      <w:pPr>
        <w:pStyle w:val="BodyText"/>
      </w:pPr>
      <w:r>
        <w:drawing>
          <wp:inline>
            <wp:extent cx="5334000" cy="3333750"/>
            <wp:effectExtent b="0" l="0" r="0" t="0"/>
            <wp:docPr descr="" title="" id="54" name="Picture"/>
            <a:graphic>
              <a:graphicData uri="http://schemas.openxmlformats.org/drawingml/2006/picture">
                <pic:pic>
                  <pic:nvPicPr>
                    <pic:cNvPr descr="model_output/supp/figS4_choropleth_median_wait.png" id="55" name="Picture"/>
                    <pic:cNvPicPr>
                      <a:picLocks noChangeArrowheads="1" noChangeAspect="1"/>
                    </pic:cNvPicPr>
                  </pic:nvPicPr>
                  <pic:blipFill>
                    <a:blip r:embed="rId5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S5. Appointment offer rate by state (mysterymaps).</w:t>
      </w:r>
    </w:p>
    <w:p>
      <w:pPr>
        <w:pStyle w:val="BodyText"/>
      </w:pPr>
      <w:r>
        <w:drawing>
          <wp:inline>
            <wp:extent cx="5334000" cy="3556000"/>
            <wp:effectExtent b="0" l="0" r="0" t="0"/>
            <wp:docPr descr="" title="" id="57" name="Picture"/>
            <a:graphic>
              <a:graphicData uri="http://schemas.openxmlformats.org/drawingml/2006/picture">
                <pic:pic>
                  <pic:nvPicPr>
                    <pic:cNvPr descr="model_output/supp/figS4b_offer_rate_by_state.png" id="58" name="Picture"/>
                    <pic:cNvPicPr>
                      <a:picLocks noChangeArrowheads="1" noChangeAspect="1"/>
                    </pic:cNvPicPr>
                  </pic:nvPicPr>
                  <pic:blipFill>
                    <a:blip r:embed="rId56"/>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i/>
          <w:iCs/>
        </w:rPr>
        <w:t xml:space="preserve">Full legends for all supplementary items are in</w:t>
      </w:r>
      <w:r>
        <w:rPr>
          <w:i/>
          <w:iCs/>
        </w:rPr>
        <w:t xml:space="preserve"> </w:t>
      </w:r>
      <w:r>
        <w:rPr>
          <w:rStyle w:val="VerbatimChar"/>
          <w:i/>
          <w:iCs/>
        </w:rPr>
        <w:t xml:space="preserve">docs/supplementary_legends.md</w:t>
      </w:r>
      <w:r>
        <w:rPr>
          <w:i/>
          <w:iCs/>
        </w:rPr>
        <w:t xml:space="preserve">.</w:t>
      </w:r>
    </w:p>
    <w:p>
      <w:r>
        <w:br w:type="page"/>
      </w:r>
    </w:p>
    <w:bookmarkEnd w:id="59"/>
    <w:bookmarkEnd w:id="60"/>
    <w:bookmarkStart w:id="74" w:name="references"/>
    <w:p>
      <w:pPr>
        <w:pStyle w:val="Heading1"/>
      </w:pPr>
      <w:r>
        <w:t xml:space="preserve">References</w:t>
      </w:r>
    </w:p>
    <w:bookmarkStart w:id="73" w:name="refs"/>
    <w:bookmarkStart w:id="61" w:name="ref-PLACEHOLDER_access"/>
    <w:p>
      <w:pPr>
        <w:pStyle w:val="Bibliography"/>
      </w:pPr>
      <w:r>
        <w:t xml:space="preserve">1.</w:t>
      </w:r>
      <w:r>
        <w:t xml:space="preserve"> </w:t>
      </w:r>
      <w:r>
        <w:t xml:space="preserve">	</w:t>
      </w:r>
      <w:r>
        <w:t xml:space="preserve">A. Author, B. Author. [PLACEHOLDER] prior mystery-caller study of specialty access.</w:t>
      </w:r>
      <w:r>
        <w:t xml:space="preserve"> </w:t>
      </w:r>
      <w:r>
        <w:rPr>
          <w:i/>
          <w:iCs/>
        </w:rPr>
        <w:t xml:space="preserve">[Journal]</w:t>
      </w:r>
      <w:r>
        <w:t xml:space="preserve">. Published online 2020.</w:t>
      </w:r>
    </w:p>
    <w:bookmarkEnd w:id="61"/>
    <w:bookmarkStart w:id="62" w:name="ref-PLACEHOLDER_ent_supply"/>
    <w:p>
      <w:pPr>
        <w:pStyle w:val="Bibliography"/>
      </w:pPr>
      <w:r>
        <w:t xml:space="preserve">2.</w:t>
      </w:r>
      <w:r>
        <w:t xml:space="preserve"> </w:t>
      </w:r>
      <w:r>
        <w:t xml:space="preserve">	</w:t>
      </w:r>
      <w:r>
        <w:t xml:space="preserve">C. Author. [PLACEHOLDER] geographic distribution of the otolaryngology workforce.</w:t>
      </w:r>
      <w:r>
        <w:t xml:space="preserve"> </w:t>
      </w:r>
      <w:r>
        <w:rPr>
          <w:i/>
          <w:iCs/>
        </w:rPr>
        <w:t xml:space="preserve">[Journal]</w:t>
      </w:r>
      <w:r>
        <w:t xml:space="preserve">. Published online 2021.</w:t>
      </w:r>
    </w:p>
    <w:bookmarkEnd w:id="62"/>
    <w:bookmarkStart w:id="63" w:name="ref-kfffee"/>
    <w:p>
      <w:pPr>
        <w:pStyle w:val="Bibliography"/>
      </w:pPr>
      <w:r>
        <w:t xml:space="preserve">3.</w:t>
      </w:r>
      <w:r>
        <w:t xml:space="preserve"> </w:t>
      </w:r>
      <w:r>
        <w:t xml:space="preserve">	</w:t>
      </w:r>
      <w:r>
        <w:t xml:space="preserve">Kaiser Family Foundation. Medicaid-to-medicare fee index. Published online 2024.</w:t>
      </w:r>
    </w:p>
    <w:bookmarkEnd w:id="63"/>
    <w:bookmarkStart w:id="64" w:name="ref-cdcsvi"/>
    <w:p>
      <w:pPr>
        <w:pStyle w:val="Bibliography"/>
      </w:pPr>
      <w:r>
        <w:t xml:space="preserve">4.</w:t>
      </w:r>
      <w:r>
        <w:t xml:space="preserve"> </w:t>
      </w:r>
      <w:r>
        <w:t xml:space="preserve">	</w:t>
      </w:r>
      <w:r>
        <w:t xml:space="preserve">Agency for Toxic Substances and Disease Registry.</w:t>
      </w:r>
      <w:r>
        <w:t xml:space="preserve"> </w:t>
      </w:r>
      <w:r>
        <w:t xml:space="preserve">CDC/ATSDR</w:t>
      </w:r>
      <w:r>
        <w:t xml:space="preserve"> </w:t>
      </w:r>
      <w:r>
        <w:t xml:space="preserve">social vulnerability index (2022 database). Published online 2022.</w:t>
      </w:r>
    </w:p>
    <w:bookmarkEnd w:id="64"/>
    <w:bookmarkStart w:id="66" w:name="ref-emmeans"/>
    <w:p>
      <w:pPr>
        <w:pStyle w:val="Bibliography"/>
      </w:pPr>
      <w:r>
        <w:t xml:space="preserve">5.</w:t>
      </w:r>
      <w:r>
        <w:t xml:space="preserve"> </w:t>
      </w:r>
      <w:r>
        <w:t xml:space="preserve">	</w:t>
      </w:r>
      <w:r>
        <w:t xml:space="preserve">Russell V. Lenth.</w:t>
      </w:r>
      <w:r>
        <w:t xml:space="preserve"> </w:t>
      </w:r>
      <w:r>
        <w:rPr>
          <w:i/>
          <w:iCs/>
        </w:rPr>
        <w:t xml:space="preserve">Emmeans: Estimated Marginal Means, Aka Least-Squares Means</w:t>
      </w:r>
      <w:r>
        <w:t xml:space="preserve">. 2024.</w:t>
      </w:r>
      <w:r>
        <w:t xml:space="preserve"> </w:t>
      </w:r>
      <w:hyperlink r:id="rId65">
        <w:r>
          <w:rPr>
            <w:rStyle w:val="Hyperlink"/>
          </w:rPr>
          <w:t xml:space="preserve">https://CRAN.R-project.org/package=emmeans</w:t>
        </w:r>
      </w:hyperlink>
    </w:p>
    <w:bookmarkEnd w:id="66"/>
    <w:bookmarkStart w:id="68" w:name="ref-rcoreteam"/>
    <w:p>
      <w:pPr>
        <w:pStyle w:val="Bibliography"/>
      </w:pPr>
      <w:r>
        <w:t xml:space="preserve">6.</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2024.</w:t>
      </w:r>
      <w:r>
        <w:t xml:space="preserve"> </w:t>
      </w:r>
      <w:hyperlink r:id="rId67">
        <w:r>
          <w:rPr>
            <w:rStyle w:val="Hyperlink"/>
          </w:rPr>
          <w:t xml:space="preserve">https://www.R-project.org/</w:t>
        </w:r>
      </w:hyperlink>
    </w:p>
    <w:bookmarkEnd w:id="68"/>
    <w:bookmarkStart w:id="70" w:name="ref-glmmTMB"/>
    <w:p>
      <w:pPr>
        <w:pStyle w:val="Bibliography"/>
      </w:pPr>
      <w:r>
        <w:t xml:space="preserve">7.</w:t>
      </w:r>
      <w:r>
        <w:t xml:space="preserve"> </w:t>
      </w:r>
      <w:r>
        <w:t xml:space="preserve">	</w:t>
      </w:r>
      <w:r>
        <w:t xml:space="preserve">Mollie E. Brooks, Kasper Kristensen, Koen J. van Benthem, Arni Magnusson, Casper W. Berg, Anders Nielsen, Hans J. Skaug, Martin Maechler, Benjamin M. Bolker.</w:t>
      </w:r>
      <w:r>
        <w:t xml:space="preserve"> </w:t>
      </w:r>
      <w:r>
        <w:t xml:space="preserve">glmmTMB</w:t>
      </w:r>
      <w:r>
        <w:t xml:space="preserve"> </w:t>
      </w:r>
      <w:r>
        <w:t xml:space="preserve">balances speed and flexibility among packages for zero-inflated generalized linear mixed models.</w:t>
      </w:r>
      <w:r>
        <w:t xml:space="preserve"> </w:t>
      </w:r>
      <w:r>
        <w:rPr>
          <w:i/>
          <w:iCs/>
        </w:rPr>
        <w:t xml:space="preserve">The R Journal</w:t>
      </w:r>
      <w:r>
        <w:t xml:space="preserve">. 2017;9(2):378-400. doi:</w:t>
      </w:r>
      <w:hyperlink r:id="rId69">
        <w:r>
          <w:rPr>
            <w:rStyle w:val="Hyperlink"/>
          </w:rPr>
          <w:t xml:space="preserve">10.32614/RJ-2017-066</w:t>
        </w:r>
      </w:hyperlink>
    </w:p>
    <w:bookmarkEnd w:id="70"/>
    <w:bookmarkStart w:id="72" w:name="ref-strobe"/>
    <w:p>
      <w:pPr>
        <w:pStyle w:val="Bibliography"/>
      </w:pPr>
      <w:r>
        <w:t xml:space="preserve">8.</w:t>
      </w:r>
      <w:r>
        <w:t xml:space="preserve"> </w:t>
      </w:r>
      <w:r>
        <w:t xml:space="preserve">	</w:t>
      </w:r>
      <w:r>
        <w:t xml:space="preserve">Erik von Elm, Douglas G. Altman, Matthias Egger, Stuart J. Pocock, Peter C. Gøtzsche, Jan P. Vandenbroucke. The</w:t>
      </w:r>
      <w:r>
        <w:t xml:space="preserve"> </w:t>
      </w:r>
      <w:r>
        <w:t xml:space="preserve">Strengthening</w:t>
      </w:r>
      <w:r>
        <w:t xml:space="preserve"> </w:t>
      </w:r>
      <w:r>
        <w:t xml:space="preserve">the</w:t>
      </w:r>
      <w:r>
        <w:t xml:space="preserve"> </w:t>
      </w:r>
      <w:r>
        <w:t xml:space="preserve">Reporting</w:t>
      </w:r>
      <w:r>
        <w:t xml:space="preserve"> </w:t>
      </w:r>
      <w:r>
        <w:t xml:space="preserve">of</w:t>
      </w:r>
      <w:r>
        <w:t xml:space="preserve"> </w:t>
      </w:r>
      <w:r>
        <w:t xml:space="preserve">Observational</w:t>
      </w:r>
      <w:r>
        <w:t xml:space="preserve"> </w:t>
      </w:r>
      <w:r>
        <w:t xml:space="preserve">Studies</w:t>
      </w:r>
      <w:r>
        <w:t xml:space="preserve"> </w:t>
      </w:r>
      <w:r>
        <w:t xml:space="preserve">in</w:t>
      </w:r>
      <w:r>
        <w:t xml:space="preserve"> </w:t>
      </w:r>
      <w:r>
        <w:t xml:space="preserve">Epidemiology</w:t>
      </w:r>
      <w:r>
        <w:t xml:space="preserve"> </w:t>
      </w:r>
      <w:r>
        <w:t xml:space="preserve">(</w:t>
      </w:r>
      <w:r>
        <w:t xml:space="preserve">STROBE</w:t>
      </w:r>
      <w:r>
        <w:t xml:space="preserve">) statement: Guidelines for reporting observational studies.</w:t>
      </w:r>
      <w:r>
        <w:t xml:space="preserve"> </w:t>
      </w:r>
      <w:r>
        <w:rPr>
          <w:i/>
          <w:iCs/>
        </w:rPr>
        <w:t xml:space="preserve">Annals of Internal Medicine</w:t>
      </w:r>
      <w:r>
        <w:t xml:space="preserve">. 2007;147(8):573-577. doi:</w:t>
      </w:r>
      <w:hyperlink r:id="rId71">
        <w:r>
          <w:rPr>
            <w:rStyle w:val="Hyperlink"/>
          </w:rPr>
          <w:t xml:space="preserve">10.7326/0003-4819-147-8-200710160-00010</w:t>
        </w:r>
      </w:hyperlink>
    </w:p>
    <w:bookmarkEnd w:id="72"/>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50" Target="media/rId50.png" /><Relationship Type="http://schemas.openxmlformats.org/officeDocument/2006/relationships/image" Id="rId56" Target="media/rId56.png" /><Relationship Type="http://schemas.openxmlformats.org/officeDocument/2006/relationships/hyperlink" Id="rId65" Target="https://CRAN.R-project.org/package=emmeans" TargetMode="External" /><Relationship Type="http://schemas.openxmlformats.org/officeDocument/2006/relationships/hyperlink" Id="rId69" Target="https://doi.org/10.32614/RJ-2017-066" TargetMode="External" /><Relationship Type="http://schemas.openxmlformats.org/officeDocument/2006/relationships/hyperlink" Id="rId71" Target="https://doi.org/10.7326/0003-4819-147-8-200710160-00010" TargetMode="External" /><Relationship Type="http://schemas.openxmlformats.org/officeDocument/2006/relationships/hyperlink" Id="rId67"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65" Target="https://CRAN.R-project.org/package=emmeans" TargetMode="External" /><Relationship Type="http://schemas.openxmlformats.org/officeDocument/2006/relationships/hyperlink" Id="rId69" Target="https://doi.org/10.32614/RJ-2017-066" TargetMode="External" /><Relationship Type="http://schemas.openxmlformats.org/officeDocument/2006/relationships/hyperlink" Id="rId71" Target="https://doi.org/10.7326/0003-4819-147-8-200710160-00010" TargetMode="External" /><Relationship Type="http://schemas.openxmlformats.org/officeDocument/2006/relationships/hyperlink" Id="rId67"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Subspecialty and Geographic Determinants of New-Patient Appointment Access and Wait Times in Otolaryngology: A National Mystery-Caller Study</dc:title>
  <dc:creator>[Author list]</dc:creator>
  <cp:keywords/>
  <dcterms:created xsi:type="dcterms:W3CDTF">2026-07-16T02:39:48Z</dcterms:created>
  <dcterms:modified xsi:type="dcterms:W3CDTF">2026-07-16T02:39:48Z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manuscript/references.bib</vt:lpwstr>
  </property>
  <property fmtid="{D5CDD505-2E9C-101B-9397-08002B2CF9AE}" pid="3" name="csl">
    <vt:lpwstr>manuscript/american-medical-association.csl</vt:lpwstr>
  </property>
  <property fmtid="{D5CDD505-2E9C-101B-9397-08002B2CF9AE}" pid="4" name="date">
    <vt:lpwstr>July 2026</vt:lpwstr>
  </property>
  <property fmtid="{D5CDD505-2E9C-101B-9397-08002B2CF9AE}" pid="5" name="link-citations">
    <vt:lpwstr>True</vt:lpwstr>
  </property>
  <property fmtid="{D5CDD505-2E9C-101B-9397-08002B2CF9AE}" pid="6" name="output">
    <vt:lpwstr/>
  </property>
</Properties>
</file>