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Correlates of New-Patient Appointment Access and Wait Times in Otolaryngology: A National Mystery-Caller Study</w:t>
      </w:r>
    </w:p>
    <w:p>
      <w:pPr>
        <w:pStyle w:val="Author"/>
      </w:pPr>
      <w:r>
        <w:t xml:space="preserve">Grace E. Falk; Eric J. Dobratz, MD; [RA co-authors,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characterize subspecialty- and geography-related differences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rurality-balanced sample of board-certified otolaryngologists using subspecialty-matched scripts. Two outcomes were modeled with a two-part (hurdle) approach, whether any appointment was</w:t>
      </w:r>
      <w:r>
        <w:t xml:space="preserve"> </w:t>
      </w:r>
      <w:r>
        <w:rPr>
          <w:i/>
          <w:iCs/>
        </w:rPr>
        <w:t xml:space="preserve">offered</w:t>
      </w:r>
      <w:r>
        <w:t xml:space="preserve"> </w:t>
      </w:r>
      <w:r>
        <w:t xml:space="preserve">and the</w:t>
      </w:r>
      <w:r>
        <w:t xml:space="preserve"> </w:t>
      </w:r>
      <w:r>
        <w:rPr>
          <w:i/>
          <w:iCs/>
        </w:rPr>
        <w:t xml:space="preserve">business-day wait</w:t>
      </w:r>
      <w:r>
        <w:t xml:space="preserve"> </w:t>
      </w:r>
      <w:r>
        <w:t xml:space="preserve">among offers, adjusting for subspecialty, geographic and payer context, and rurality, with a market-level random intercept. Subspecialty and caller were tested jointly, not by reference-category contrasts alone.</w:t>
      </w:r>
    </w:p>
    <w:p>
      <w:pPr>
        <w:pStyle w:val="BodyText"/>
      </w:pPr>
      <w:r>
        <w:rPr>
          <w:b/>
          <w:bCs/>
        </w:rPr>
        <w:t xml:space="preserve">Results.</w:t>
      </w:r>
      <w:r>
        <w:t xml:space="preserve"> </w:t>
      </w:r>
      <w:r>
        <w:t xml:space="preserve">Of 960 calls, 731 complete calls with a known subspecialty were analyzed. An appointment was offered in 436 (59.6%), but only 370 (50.6%) were with the physician requested; the median wait was 14 business days (IQR 5–30). Subspecialty was</w:t>
      </w:r>
      <w:r>
        <w:t xml:space="preserve"> </w:t>
      </w:r>
      <w:r>
        <w:rPr>
          <w:b/>
          <w:bCs/>
        </w:rPr>
        <w:t xml:space="preserve">not</w:t>
      </w:r>
      <w:r>
        <w:t xml:space="preserve"> </w:t>
      </w:r>
      <w:r>
        <w:t xml:space="preserve">jointly associated with either outcome (offer p = 0.09, wait p = 0.08). In the primary any-offer model the only nominally significant subspecialty contrast was pediatric otolaryngology (OR 2.29 (95% CI 1.09–4.80; p = 0.028)), which did not carry to the with-the-requested-physician outcome or survive multiplicity adjustment. No geographic covariate was associated with either outcome. Appointment offers instead varied clearly by trained caller (joint p = 0.005), clearer statistical evidence of association than subspecialty; conditional wait time was associated with none of caller (p = 0.376), subspecialty, or geography.</w:t>
      </w:r>
    </w:p>
    <w:p>
      <w:pPr>
        <w:pStyle w:val="BodyText"/>
      </w:pPr>
      <w:r>
        <w:rPr>
          <w:b/>
          <w:bCs/>
        </w:rPr>
        <w:t xml:space="preserve">Conclusions.</w:t>
      </w:r>
      <w:r>
        <w:t xml:space="preserve"> </w:t>
      </w:r>
      <w:r>
        <w:t xml:space="preserve">The clearest finding was attrition: only about half of calls to board-certified otolaryngologists yielded an appointment with the physician sought. Whether an appointment was offered varied more clearly by caller than by measured subspecialty or geography, while wait times were not conclusively associated with either. Availability and timeliness are distinct dimensions of access and should be measured separately.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281 words; main text 4,810 words (excluding abstract, references, tables, and figure legends). Tables: 2 main and 18 supplementary (S1–S15, with S4/S12/S14 sub-parts). Figures: 2 main and 7 supplementary (S1–S6, with S4a/S4b).</w:t>
      </w:r>
    </w:p>
    <w:bookmarkEnd w:id="20"/>
    <w:bookmarkStart w:id="21" w:name="introduction"/>
    <w:p>
      <w:pPr>
        <w:pStyle w:val="Heading2"/>
      </w:pPr>
      <w:r>
        <w:t xml:space="preserve">Introduction</w:t>
      </w:r>
    </w:p>
    <w:p>
      <w:pPr>
        <w:pStyle w:val="FirstParagraph"/>
      </w:pPr>
      <w:r>
        <w:t xml:space="preserve">Otolaryngologic conditions, from chronic rhinosinusitis and otitis media to airway disorders and head-and-neck malignancy, 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 whether a new-patient appointment is offered at all, and</w:t>
      </w:r>
      <w:r>
        <w:t xml:space="preserve"> </w:t>
      </w:r>
      <w:r>
        <w:rPr>
          <w:i/>
          <w:iCs/>
        </w:rPr>
        <w:t xml:space="preserve">timeliness</w:t>
      </w:r>
      <w:r>
        <w:t xml:space="preserve">, 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correlates of new-patient access remain incompletely characterized. Two classes of factor are plausible: the</w:t>
      </w:r>
      <w:r>
        <w:t xml:space="preserve"> </w:t>
      </w:r>
      <w:r>
        <w:rPr>
          <w:i/>
          <w:iCs/>
        </w:rPr>
        <w:t xml:space="preserve">clinical</w:t>
      </w:r>
      <w:r>
        <w:t xml:space="preserve"> </w:t>
      </w:r>
      <w:r>
        <w:t xml:space="preserve">nature of the request, the requested subspecialty (general otolaryngology versus pediatric otolaryngology, laryngology, head-and-neck oncology, and others), and the</w:t>
      </w:r>
      <w:r>
        <w:t xml:space="preserve"> </w:t>
      </w:r>
      <w:r>
        <w:rPr>
          <w:i/>
          <w:iCs/>
        </w:rPr>
        <w:t xml:space="preserve">contextual</w:t>
      </w:r>
      <w:r>
        <w:t xml:space="preserve"> </w:t>
      </w:r>
      <w:r>
        <w:t xml:space="preserve">environment of the practice, local physician supply, the state Medicaid fee level, community social vulnerability, the share of dual-eligible beneficiaries, and rurality</w:t>
      </w:r>
      <w:hyperlink w:anchor="ref-vickery2016">
        <w:r>
          <w:rPr>
            <w:rStyle w:val="Hyperlink"/>
            <w:vertAlign w:val="superscript"/>
          </w:rPr>
          <w:t xml:space="preserve">3</w:t>
        </w:r>
      </w:hyperlink>
      <w:r>
        <w:t xml:space="preserve">. Because each subspecialty was approached with its own clinically appropriate vignette, the requested subspecialty and the clinical scenario are inseparable in this design; we therefore treat subspecialty as a combined</w:t>
      </w:r>
      <w:r>
        <w:t xml:space="preserve"> </w:t>
      </w:r>
      <w:r>
        <w:t xml:space="preserve">“who is asked, for what”</w:t>
      </w:r>
      <w:r>
        <w:t xml:space="preserve"> </w:t>
      </w:r>
      <w:r>
        <w:t xml:space="preserve">exposure rather than a property of the physician alone.</w:t>
      </w:r>
    </w:p>
    <w:p>
      <w:pPr>
        <w:pStyle w:val="BodyText"/>
      </w:pPr>
      <w:r>
        <w:t xml:space="preserve">We conducted a national mystery-caller study of board-certified otolaryngologists to characterize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 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 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 for example, surveys of offices aware of being observed, 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primary</w:t>
      </w:r>
      <w:r>
        <w:t xml:space="preserve"> </w:t>
      </w:r>
      <w:r>
        <w:rPr>
          <w:i/>
          <w:iCs/>
        </w:rPr>
        <w:t xml:space="preserve">access</w:t>
      </w:r>
      <w:r>
        <w:t xml:space="preserve"> </w:t>
      </w:r>
      <w:r>
        <w:t xml:space="preserve">outcome was whether the office offered any new-patient appointment (binary), counting an appointment with the sampled physician, with another physician in the same practice, or with an advanced practice provider; a call was coded as no offer when no appointment date was offered, including cases in which the sampled physician had retired, left, or was not accepting new patients and no alternative appointment date was offered. Because</w:t>
      </w:r>
      <w:r>
        <w:t xml:space="preserve"> </w:t>
      </w:r>
      <w:r>
        <w:t xml:space="preserve">“getting in the door”</w:t>
      </w:r>
      <w:r>
        <w:t xml:space="preserve"> </w:t>
      </w:r>
      <w:r>
        <w:t xml:space="preserve">and</w:t>
      </w:r>
      <w:r>
        <w:t xml:space="preserve"> </w:t>
      </w:r>
      <w:r>
        <w:t xml:space="preserve">“seeing the specific specialist sought”</w:t>
      </w:r>
      <w:r>
        <w:t xml:space="preserve"> </w:t>
      </w:r>
      <w:r>
        <w:t xml:space="preserve">are not the same, we also analyzed a stricter secondary outcome, an appointment specifically with the sampled physician, and report both (</w:t>
      </w:r>
      <w:r>
        <w:rPr>
          <w:b/>
          <w:bCs/>
        </w:rPr>
        <w:t xml:space="preserve">Table S13</w:t>
      </w:r>
      <w:r>
        <w:t xml:space="preserve">). The</w:t>
      </w:r>
      <w:r>
        <w:t xml:space="preserve"> </w:t>
      </w:r>
      <w:r>
        <w:rPr>
          <w:i/>
          <w:iCs/>
        </w:rPr>
        <w:t xml:space="preserve">timeliness</w:t>
      </w:r>
      <w:r>
        <w:t xml:space="preserve"> </w:t>
      </w:r>
      <w:r>
        <w:t xml:space="preserve">outcome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 Of the appointment offers, a small number lacked a recorded next-available date; these contribute to the access analysis but not the timeliness analysis, which is noted where the analytic denominators are reported.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wait time is defined only after an appointment offer, we modeled the two components separately: appointment</w:t>
      </w:r>
      <w:r>
        <w:t xml:space="preserve"> </w:t>
      </w:r>
      <w:r>
        <w:rPr>
          <w:i/>
          <w:iCs/>
        </w:rPr>
        <w:t xml:space="preserve">offer</w:t>
      </w:r>
      <w:r>
        <w:t xml:space="preserve"> </w:t>
      </w:r>
      <w:r>
        <w:t xml:space="preserve">among all analytic calls (mixed-effects logistic regression) and</w:t>
      </w:r>
      <w:r>
        <w:t xml:space="preserve"> </w:t>
      </w:r>
      <w:r>
        <w:rPr>
          <w:i/>
          <w:iCs/>
        </w:rPr>
        <w:t xml:space="preserve">conditional wait time</w:t>
      </w:r>
      <w:r>
        <w:t xml:space="preserve"> </w:t>
      </w:r>
      <w:r>
        <w:t xml:space="preserve">among calls receiving an offer (mixed-effects negative binomial regression). The timeliness component is therefore explicitly conditional on an offer, and its estimates describe waits among those offered rather than the unselected population.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effect. Continuous covariates were standardized and, for the few missing values (&lt;3%), median-imputed.</w:t>
      </w:r>
    </w:p>
    <w:p>
      <w:pPr>
        <w:pStyle w:val="BodyText"/>
      </w:pPr>
      <w:r>
        <w:t xml:space="preserve">Because subspecialty and caller are multi-level factors, each was assessed with a joint (multi–degree-of-freedom) likelihood-ratio test of the whole factor, reported before any reference-category contrast; pairwise subspecialty differences were adjusted for multiplicity by the Tukey method. Reference-category odds ratios and rate ratios are reported for completeness but interpreted only in light of the joint tests. To avoid conflating</w:t>
      </w:r>
      <w:r>
        <w:t xml:space="preserve"> </w:t>
      </w:r>
      <w:r>
        <w:t xml:space="preserve">“getting any appointment”</w:t>
      </w:r>
      <w:r>
        <w:t xml:space="preserve"> </w:t>
      </w:r>
      <w:r>
        <w:t xml:space="preserve">with</w:t>
      </w:r>
      <w:r>
        <w:t xml:space="preserve"> </w:t>
      </w:r>
      <w:r>
        <w:t xml:space="preserve">“seeing the specialist sought,”</w:t>
      </w:r>
      <w:r>
        <w:t xml:space="preserve"> </w:t>
      </w:r>
      <w:r>
        <w:t xml:space="preserve">access was modeled for both the primary any-offer outcome and the stricter with-the-sampled-physician outcome (</w:t>
      </w:r>
      <w:r>
        <w:rPr>
          <w:b/>
          <w:bCs/>
        </w:rPr>
        <w:t xml:space="preserve">Table S13</w:t>
      </w:r>
      <w:r>
        <w:t xml:space="preserve">). Because the caller factor proved jointly significant rather than a mere nuisance, caller odds ratios are reported in full (</w:t>
      </w:r>
      <w:r>
        <w:rPr>
          <w:b/>
          <w:bCs/>
        </w:rPr>
        <w:t xml:space="preserve">Table S12</w:t>
      </w:r>
      <w:r>
        <w:t xml:space="preserve">), the balance of callers across subspecialty, rurality, and region is tabulated (</w:t>
      </w:r>
      <w:r>
        <w:rPr>
          <w:b/>
          <w:bCs/>
        </w:rPr>
        <w:t xml:space="preserve">Table S12c</w:t>
      </w:r>
      <w:r>
        <w:t xml:space="preserve">), and the headline subspecialty estimate was re-examined in a leave-one-caller-out analysis (</w:t>
      </w:r>
      <w:r>
        <w:rPr>
          <w:b/>
          <w:bCs/>
        </w:rPr>
        <w:t xml:space="preserve">Table S12b</w:t>
      </w:r>
      <w:r>
        <w:t xml:space="preserve">). Although each physician was sampled once, some calls reached a shared practice telephone number (670 distinct numbers among the analytic calls); for</w:t>
      </w:r>
      <w:r>
        <w:t xml:space="preserve"> </w:t>
      </w:r>
      <w:r>
        <w:rPr>
          <w:b/>
          <w:bCs/>
        </w:rPr>
        <w:t xml:space="preserve">both</w:t>
      </w:r>
      <w:r>
        <w:t xml:space="preserve"> </w:t>
      </w:r>
      <w:r>
        <w:t xml:space="preserve">outcomes we confirmed that adding a practice–telephone random intercept and refitting on one call per number left the estimates essentially unchanged (</w:t>
      </w:r>
      <w:r>
        <w:rPr>
          <w:b/>
          <w:bCs/>
        </w:rPr>
        <w:t xml:space="preserve">Table S11</w:t>
      </w:r>
      <w:r>
        <w:t xml:space="preserve">). Because the rurality-balanced design over-samples rural practices, offer rates and waits are reported both unweighted (describing the analytic sample) and design-weighted to the frame’s rural prevalence (</w:t>
      </w:r>
      <w:r>
        <w:rPr>
          <w:b/>
          <w:bCs/>
        </w:rPr>
        <w:t xml:space="preserve">Table S15</w:t>
      </w:r>
      <w:r>
        <w:t xml:space="preserve">). As bounding sensitivity analyses for the excluded incomplete calls, we recomputed the offer rate treating all incomplete calls first as offers and then as non-offers.</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power analysis was pre-specified before data collection, implemented in a purpose-built simulation application, and targeted 800 completed calls with the rural-versus-urban difference in business-day wait time as the primary contrast; to allow for incomplete calls, we sampled 960 physicians (480 urban and 480 rural), anticipating roughly 20% attrition to leave approximately 800 analyzable calls.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800 completed calls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an unbalanced allocation at the ~15% rural prevalence reported in those source datasets still yielded 83% power. Rural otolaryngologists were in fact even scarcer in the present frame (791 of 11,333; 7.0%), so an unbalanced natural-prevalence sample would have produced very few rural calls; we therefore over-sampled rural physicians to the balanced 50/50 design.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Any new-patient appointment was offered in 436 of 731 (59.6%; 60.1% when design-weighted to the frame’s rural prevalence), but only 370 (50.6%) were with the specific physician requested; the median next-available wait among offers was 14 business days (IQR 5–30). Of the 960 physicians sampled, 731 yielded a complete call with a determinable subspecialty; a further 18 calls were completed but the subspecialty could not be determined (all 18 were no-offer), and 211 calls were incomplete. Because incompleteness may itself represent an access barrier, we bounded its effect on the overall offer rate across all 960 sampled physicians: 45% if none of the 211 incomplete calls would have produced an offer and 67% if all would have.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Requested subspecialty was</w:t>
      </w:r>
      <w:r>
        <w:t xml:space="preserve"> </w:t>
      </w:r>
      <w:r>
        <w:rPr>
          <w:b/>
          <w:bCs/>
        </w:rPr>
        <w:t xml:space="preserve">not</w:t>
      </w:r>
      <w:r>
        <w:t xml:space="preserve"> </w:t>
      </w:r>
      <w:r>
        <w:t xml:space="preserve">jointly associated with whether an appointment was offered (joint likelihood-ratio test across all subspecialties, χ² = 12.2, df = 7, p = 0.09). Among the individual reference-category contrasts, only pediatric otolaryngology differed nominally from general otolaryngology, with roughly twice the odds of an offer (OR 2.29 (95% CI 1.09–4.80; p = 0.028)); otology/neurotology trended lower (OR 0.58 (95% CI 0.27–1.25; p = 0.167)). This single contrast was not robust. It did not carry to the stricter with-the-requested-physician outcome (OR 1.41 (0.73-2.73); p = 0.30), under which a different subspecialty (rhinology) was instead nominally significant (</w:t>
      </w:r>
      <w:r>
        <w:rPr>
          <w:b/>
          <w:bCs/>
        </w:rPr>
        <w:t xml:space="preserve">Table S13</w:t>
      </w:r>
      <w:r>
        <w:t xml:space="preserve">), an inconsistency in</w:t>
      </w:r>
      <w:r>
        <w:t xml:space="preserve"> </w:t>
      </w:r>
      <w:r>
        <w:rPr>
          <w:i/>
          <w:iCs/>
        </w:rPr>
        <w:t xml:space="preserve">which</w:t>
      </w:r>
      <w:r>
        <w:t xml:space="preserve"> </w:t>
      </w:r>
      <w:r>
        <w:t xml:space="preserve">subspecialty stands out that argues against a genuine subspecialty gradient. Across leave-one-caller-out refits the pediatric estimate stayed similar in magnitude (OR 2.1–2.7) but varied in nominal significance and in the joint subspecialty test (</w:t>
      </w:r>
      <w:r>
        <w:rPr>
          <w:b/>
          <w:bCs/>
        </w:rPr>
        <w:t xml:space="preserve">Table S12b</w:t>
      </w:r>
      <w:r>
        <w:t xml:space="preserve">), and no subspecialty pair reached significance after Tukey adjustment (Robustness and missing data).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p>
      <w:pPr>
        <w:pStyle w:val="BodyText"/>
      </w:pPr>
      <w:r>
        <w:t xml:space="preserve">By contrast, whether an appointment was offered was</w:t>
      </w:r>
      <w:r>
        <w:t xml:space="preserve"> </w:t>
      </w:r>
      <w:r>
        <w:rPr>
          <w:b/>
          <w:bCs/>
        </w:rPr>
        <w:t xml:space="preserve">jointly associated with the trained caller</w:t>
      </w:r>
      <w:r>
        <w:t xml:space="preserve"> </w:t>
      </w:r>
      <w:r>
        <w:t xml:space="preserve">(χ² = 18.6, df = 6, p = 0.005;</w:t>
      </w:r>
      <w:r>
        <w:t xml:space="preserve"> </w:t>
      </w:r>
      <w:r>
        <w:rPr>
          <w:b/>
          <w:bCs/>
        </w:rPr>
        <w:t xml:space="preserve">Table S12</w:t>
      </w:r>
      <w:r>
        <w:t xml:space="preserve">), which showed clearer statistical evidence of association than the subspecialty factor. 5 callers had roughly two-fold higher adjusted odds of an offer than the reference caller (OR 1.9 to 2.3). This is unlikely to be a confounded exposure: the callers’ caseloads were balanced across subspecialty and rurality (Monte Carlo χ² tests, caller × subspecialty p = 0.92, caller × rurality p = 0.28; full distribution in</w:t>
      </w:r>
      <w:r>
        <w:t xml:space="preserve"> </w:t>
      </w:r>
      <w:r>
        <w:rPr>
          <w:b/>
          <w:bCs/>
        </w:rPr>
        <w:t xml:space="preserve">Table S12c</w:t>
      </w:r>
      <w:r>
        <w:t xml:space="preserve">). The pattern is most consistent with encounter-level implementation, how the identical script was delivered and how ambiguous responses were recorded, although unmeasured differences in call timing cannot be fully excluded, and it bounds how finely a single simulated call can resolve true differences between practices. The caller association was specific to obtaining an offer; conditional wait time was not associated with caller (χ² = 6.4, df = 6, p = 0.376).</w:t>
      </w:r>
    </w:p>
    <w:bookmarkEnd w:id="29"/>
    <w:bookmarkStart w:id="30" w:name="timeliness-of-appointments"/>
    <w:p>
      <w:pPr>
        <w:pStyle w:val="Heading3"/>
      </w:pPr>
      <w:r>
        <w:t xml:space="preserve">Timeliness of appointments</w:t>
      </w:r>
    </w:p>
    <w:p>
      <w:pPr>
        <w:pStyle w:val="FirstParagraph"/>
      </w:pPr>
      <w:r>
        <w:t xml:space="preserve">Among offering offices, subspecialty was not jointly associated with wait time (joint likelihood-ratio test, χ² = 12.6, df = 7, p = 0.08), though the overall test approached significance. In the reference-category contrasts, waits were longer for laryngology (IRR 2.24 (95% CI 1.13–4.41; p = 0.020)) and pediatric otolaryngology (IRR 1.62 (95% CI 1.11–2.38; p = 0.013)) relative to general otolaryngology. These differences are also visible descriptively in the observed subspecialty medians (</w:t>
      </w:r>
      <w:r>
        <w:rPr>
          <w:b/>
          <w:bCs/>
        </w:rPr>
        <w:t xml:space="preserve">Table S3</w:t>
      </w:r>
      <w:r>
        <w:t xml:space="preserve">), which are the most reliable summary given the sparse counts in several subspecialties; we do not convert the rate ratios into calendar-week estimates, because an incidence-rate ratio scales a mean rather than the reported median. No geographic covariate was associated with wait time (</w:t>
      </w:r>
      <w:r>
        <w:rPr>
          <w:b/>
          <w:bCs/>
        </w:rPr>
        <w:t xml:space="preserve">Figure 2</w:t>
      </w:r>
      <w:r>
        <w:t xml:space="preserve">;</w:t>
      </w:r>
      <w:r>
        <w:t xml:space="preserve"> </w:t>
      </w:r>
      <w:r>
        <w:rPr>
          <w:b/>
          <w:bCs/>
        </w:rPr>
        <w:t xml:space="preserve">Table 2</w:t>
      </w:r>
      <w:r>
        <w:t xml:space="preserve">). Combining both access dimensions, the cumulative probability that a call secured an appointment, counting calls with no offer as never obtaining one, was 30% within 14 business days, 44% within 30, and 54% within 60 (</w:t>
      </w:r>
      <w:r>
        <w:rPr>
          <w:b/>
          <w:bCs/>
        </w:rPr>
        <w:t xml:space="preserve">Figure S1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several other steps of the access pathway (</w:t>
      </w:r>
      <w:r>
        <w:rPr>
          <w:b/>
          <w:bCs/>
        </w:rPr>
        <w:t xml:space="preserve">Table S10</w:t>
      </w:r>
      <w:r>
        <w:t xml:space="preserve">,</w:t>
      </w:r>
      <w:r>
        <w:t xml:space="preserve"> </w:t>
      </w:r>
      <w:r>
        <w:rPr>
          <w:b/>
          <w:bCs/>
        </w:rPr>
        <w:t xml:space="preserve">Figure S6</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The 436 offers comprised 370 with the sampled physician, 54 (12%) with a different physician in the practice, 9 with an advanced practice provider only, and 3 for which the provider category was not recorded (370 + 54 + 9 + 3 = 436); the four calls in which the sampled physician had retired, left, or was full and only a different physician was mentioned without an appointment being made were counted as no offer. Of the 436 offers, 10 lacked an analyzable next-available date (9 never recorded and one with an erroneous appointment year, excluded) and so entered the access but not the timeliness analysis (426 waits analyzed). These are overlapping measures of the same calls rather than a strictly nested funnel, a small number of offices offered an appointment without having affirmed on the call that they see the presented complaint, so the counts are not perfectly monotonic;</w:t>
      </w:r>
      <w:r>
        <w:t xml:space="preserve"> </w:t>
      </w:r>
      <w:r>
        <w:rPr>
          <w:b/>
          <w:bCs/>
        </w:rPr>
        <w:t xml:space="preserve">Figure S6</w:t>
      </w:r>
      <w:r>
        <w:t xml:space="preserve"> </w:t>
      </w:r>
      <w:r>
        <w:t xml:space="preserve">orders them by frequency for readability.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 pointing to an apparent mismatch between roster listing and same-call schedulability at the contacted practice.</w:t>
      </w:r>
    </w:p>
    <w:bookmarkEnd w:id="31"/>
    <w:bookmarkStart w:id="32" w:name="robustness-and-missing-data"/>
    <w:p>
      <w:pPr>
        <w:pStyle w:val="Heading3"/>
      </w:pPr>
      <w:r>
        <w:t xml:space="preserve">Robustness and missing data</w:t>
      </w:r>
    </w:p>
    <w:p>
      <w:pPr>
        <w:pStyle w:val="FirstParagraph"/>
      </w:pPr>
      <w:r>
        <w:t xml:space="preserve">Consistent with the joint tests, no subspecialty pair reached significance under Tukey-adjusted pairwise comparison, and the subspecialty effect did not vary by rurality or supply (interaction likelihood-ratio tests, both non-significant). 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Because some calls reached a shared practice telephone number, we refit</w:t>
      </w:r>
      <w:r>
        <w:t xml:space="preserve"> </w:t>
      </w:r>
      <w:r>
        <w:rPr>
          <w:b/>
          <w:bCs/>
        </w:rPr>
        <w:t xml:space="preserve">both</w:t>
      </w:r>
      <w:r>
        <w:t xml:space="preserve"> </w:t>
      </w:r>
      <w:r>
        <w:t xml:space="preserve">the access and timeliness models with an added practice–telephone random intercept and, separately, on a single call per number; the practice-telephone variance was negligible and the estimates were essentially unchanged (</w:t>
      </w:r>
      <w:r>
        <w:rPr>
          <w:b/>
          <w:bCs/>
        </w:rPr>
        <w:t xml:space="preserve">Table S11</w:t>
      </w:r>
      <w:r>
        <w:t xml:space="preserve">), confirming that the CBSA-only model does not materially understate uncertainty from repeated practices. In a metropolitan sensitivity model, greater hospital-market concentration was associated with a borderline increase in wait time (HHI IRR 1.20 per SD; p = 0.058). Call incompleteness was unrelated to the measured practice geography; however, the recorded reasons for incompleteness were themselves missing for most incomplete calls, so we cannot fully characterize the missingness mechanism and treat the missing-at-random assumption as an approximation rather than an established fact (Supplement). The main findings were stable across two sensitivity analyses (</w:t>
      </w:r>
      <w:r>
        <w:rPr>
          <w:b/>
          <w:bCs/>
        </w:rPr>
        <w:t xml:space="preserve">Table S8</w:t>
      </w:r>
      <w:r>
        <w:t xml:space="preserve">). Under a three-level rurality specification (urban, RUCA 1–3; suburban, 4–6; rural, 7–10), no urban-to-rural gradient emerged, neither suburban (wait IRR 1.15) nor the sparse rural stratum (IRR 1.29) differed significantly from urban, while the subspecialty contrasts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most consistent finding was attrition along the access pathway: although a new-patient appointment was offered on roughly three-fifths of completed calls, only about half reached the specific board-certified otolaryngologist requested. Point estimates for individual subspecialty contrasts were sometimes sizeable but were imprecisely estimated and did not survive joint testing or multiplicity adjustment, and none of the measured contextual factors, county physician supply, Medicaid fee level, social vulnerability, dual-eligibility, or rurality, was associated with either outcome.</w:t>
      </w:r>
    </w:p>
    <w:p>
      <w:pPr>
        <w:pStyle w:val="BodyText"/>
      </w:pPr>
      <w:r>
        <w:t xml:space="preserve">Three observations follow. First,</w:t>
      </w:r>
      <w:r>
        <w:t xml:space="preserve"> </w:t>
      </w:r>
      <w:r>
        <w:rPr>
          <w:b/>
          <w:bCs/>
        </w:rPr>
        <w:t xml:space="preserve">the gap between the listed and the reachable specialist is the most consistent signal.</w:t>
      </w:r>
      <w:r>
        <w:t xml:space="preserve"> </w:t>
      </w:r>
      <w:r>
        <w:t xml:space="preserve">Only half of calls to rostered, board-certified otolaryngologists yielded an appointment with the physician sought; among offers, nearly one in seven was with a different physician and additional offers were with an advanced practice provider only. Together with the frequency of</w:t>
      </w:r>
      <w:r>
        <w:t xml:space="preserve"> </w:t>
      </w:r>
      <w:r>
        <w:t xml:space="preserve">“retired or left,”</w:t>
      </w:r>
      <w:r>
        <w:t xml:space="preserve"> </w:t>
      </w:r>
      <w:r>
        <w:t xml:space="preserve">“practice full,”</w:t>
      </w:r>
      <w:r>
        <w:t xml:space="preserve"> </w:t>
      </w:r>
      <w:r>
        <w:t xml:space="preserve">and</w:t>
      </w:r>
      <w:r>
        <w:t xml:space="preserve"> </w:t>
      </w:r>
      <w:r>
        <w:t xml:space="preserve">“not accepting”</w:t>
      </w:r>
      <w:r>
        <w:t xml:space="preserve"> </w:t>
      </w:r>
      <w:r>
        <w:t xml:space="preserve">responses, this identifies an apparent mismatch between roster listing and same-call schedulability at the contacted practice. We are careful not to equate this with directory error: a call may fail to reach the sampled physician because the physician is temporarily unavailable, requires a referral or records first, practices at another location, is not accepting new patients, or redirects the complaint to a partner, in addition to genuinely outdated listings, and front-desk statements were not independently verified. Even so, this same-call schedulability gap was documented more consistently than any subspecialty or geographic gradient, and independent validation of how much reflects outdated directory information versus current scheduling or referral policy is a clear next step.</w:t>
      </w:r>
    </w:p>
    <w:p>
      <w:pPr>
        <w:pStyle w:val="BodyText"/>
      </w:pPr>
      <w:r>
        <w:t xml:space="preserve">Second,</w:t>
      </w:r>
      <w:r>
        <w:t xml:space="preserve"> </w:t>
      </w:r>
      <w:r>
        <w:rPr>
          <w:b/>
          <w:bCs/>
        </w:rPr>
        <w:t xml:space="preserve">availability and timeliness are distinct dimensions that can diverge.</w:t>
      </w:r>
      <w:r>
        <w:t xml:space="preserve"> </w:t>
      </w:r>
      <w:r>
        <w:t xml:space="preserve">Descriptively, 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because an intervention aimed at one will not necessarily improve the other. We emphasize, however, that these subspecialty differences were not statistically robust (below) and are best treated as hypothesis-generating.</w:t>
      </w:r>
    </w:p>
    <w:p>
      <w:pPr>
        <w:pStyle w:val="BodyText"/>
      </w:pPr>
      <w:r>
        <w:t xml:space="preserve">Third,</w:t>
      </w:r>
      <w:r>
        <w:t xml:space="preserve"> </w:t>
      </w:r>
      <w:r>
        <w:rPr>
          <w:b/>
          <w:bCs/>
        </w:rPr>
        <w:t xml:space="preserve">the apparent subspecialty and geographic differences did not survive formal testing, and encounter-level implementation showed clearer evidence of association with obtaining an offer than either.</w:t>
      </w:r>
      <w:r>
        <w:t xml:space="preserve"> </w:t>
      </w:r>
      <w:r>
        <w:t xml:space="preserve">No subspecialty was jointly associated with access or timeliness; the single nominally significant contrast (pediatric otolaryngology for any offer) did not carry to the stricter with-the-requested-physician outcome (under which a different subspecialty was instead nominally significant) or to Tukey adjustment, and although its magnitude was stable across leave-one-caller-out refits its nominal significance and the joint subspecialty test were sensitive to which caller was excluded. By contrast, the caller factor was jointly significant for obtaining an offer (χ² = 18.6, df = 6, p = 0.005), clearer statistical evidence of association than the subspecialty factor, with individual callers differing roughly two-fold in the odds of an offer; the caller association was specific to the offer and absent for conditional wait time (χ² = 6.4, df = 6, p = 0.376). We do not read the caller differences as effect magnitudes to be compared with the subspecialty coefficients, only as evidence that how a single call is conducted materially shapes the measured offer. Because each subspecialty was also tied to its own clinical vignette, any subspecialty difference additionally confounds the clinical scenario, and cannot be attributed to the physician’s subspecialty alone. We therefore do not interpret subspecialty or geography as determinants of access. The null contextual findings argue against a simple supply-gradient model but are also compatible with the study being underpowered for modest gradients, particularly in the sparse rural stratum; absence of evidence here is not evidence of absence. Distinguishing this</w:t>
      </w:r>
      <w:r>
        <w:t xml:space="preserve"> </w:t>
      </w:r>
      <w:r>
        <w:rPr>
          <w:i/>
          <w:iCs/>
        </w:rPr>
        <w:t xml:space="preserve">contextual gradient</w:t>
      </w:r>
      <w:r>
        <w:t xml:space="preserve"> </w:t>
      </w:r>
      <w:r>
        <w:t xml:space="preserve">from the geographic</w:t>
      </w:r>
      <w:r>
        <w:t xml:space="preserve"> </w:t>
      </w:r>
      <w:r>
        <w:rPr>
          <w:i/>
          <w:iCs/>
        </w:rPr>
        <w:t xml:space="preserve">reach</w:t>
      </w:r>
      <w:r>
        <w:t xml:space="preserve"> </w:t>
      </w:r>
      <w:r>
        <w:t xml:space="preserve">of care, the travel burden a patient must overcome to arrive at a practice at all, is the subject of a companion geospatial analysis.</w:t>
      </w:r>
    </w:p>
    <w:p>
      <w:pPr>
        <w:pStyle w:val="BodyText"/>
      </w:pPr>
      <w:r>
        <w:t xml:space="preserve">These findings point less toward a subspecialty- or region-specific intervention than toward the gap between being listed and being schedulable: the distinction between</w:t>
      </w:r>
      <w:r>
        <w:t xml:space="preserve"> </w:t>
      </w:r>
      <w:r>
        <w:t xml:space="preserve">“a physician is listed”</w:t>
      </w:r>
      <w:r>
        <w:t xml:space="preserve"> </w:t>
      </w:r>
      <w:r>
        <w:t xml:space="preserve">and</w:t>
      </w:r>
      <w:r>
        <w:t xml:space="preserve"> </w:t>
      </w:r>
      <w:r>
        <w:t xml:space="preserve">“a new patient can actually be seen by that physician”</w:t>
      </w:r>
      <w:r>
        <w:t xml:space="preserve"> </w:t>
      </w:r>
      <w:r>
        <w:t xml:space="preserve">deserves attention from directory maintainers, referral systems, and access researchers, once its causes are validated. That the measured contextual factors did not predict access does not exclude disparities not measured here, including patient insurance type, which this phase held constant.</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Of the 436 offers, 10 lacked an analyzable next-available date, 9 never recorded and one with an implausible appointment year (a wait exceeding two years from a data-entry error), leaving 426 waits. The study was modestly underpowered for its primary rural-versus-urban timeliness contrast, and the realized negative-binomial dispersion (φ = 6.22) substantially exceeded the planned value, further reducing power; the observed rural–urban difference was small (about two business days) and non-significant, and its confidence interval (Table 2) conveys the remaining uncertainty.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 Several further limitations temper the subspecialty and geographic comparisons. Because each subspecialty was approached with its own clinically appropriate vignette (differing in patient age, urgency, and cancer risk), the requested subspecialty is confounded with the clinical scenario and cannot be isolated as a property of the physician; sleep-medicine physicians, moreover, were approached with the general script. Several subspecialty strata were sparse (for example, only 13 laryngology and 16 sleep physicians, with correspondingly few rural observations), limiting power for subspecialty-specific and subspecialty-by-rurality contrasts and making those estimates unstable. The caller factor was jointly significant for obtaining an offer, with clearer statistical evidence of association than subspecialty (</w:t>
      </w:r>
      <w:r>
        <w:rPr>
          <w:b/>
          <w:bCs/>
        </w:rPr>
        <w:t xml:space="preserve">Table S12</w:t>
      </w:r>
      <w:r>
        <w:t xml:space="preserve">,</w:t>
      </w:r>
      <w:r>
        <w:t xml:space="preserve"> </w:t>
      </w:r>
      <w:r>
        <w:rPr>
          <w:b/>
          <w:bCs/>
        </w:rPr>
        <w:t xml:space="preserve">S14b</w:t>
      </w:r>
      <w:r>
        <w:t xml:space="preserve">); because callers were well balanced across subspecialty and rurality (</w:t>
      </w:r>
      <w:r>
        <w:rPr>
          <w:b/>
          <w:bCs/>
        </w:rPr>
        <w:t xml:space="preserve">Table S12c</w:t>
      </w:r>
      <w:r>
        <w:t xml:space="preserve">), this most likely reflects encounter-level implementation rather than a confounded exposure, though unmeasured differences in call timing cannot be excluded, and it cautions against over-interpreting modest between-practice differences from a single call. Drop-one likelihood-ratio statistics with differing degrees of freedom index the strength of statistical evidence, not comparative effect magnitude, and we interpret them accordingly. Although the sample spanned 48 states, it was drawn with a deliberate 50/50 rural/urban over-sample rather than in proportion to the workforce (which is ~93% urban); design-weighting to the frame’s rural prevalence changed the offer rate only marginally (</w:t>
      </w:r>
      <w:r>
        <w:rPr>
          <w:b/>
          <w:bCs/>
        </w:rPr>
        <w:t xml:space="preserve">Table S15</w:t>
      </w:r>
      <w:r>
        <w:t xml:space="preserve">) because offer rates were similar across strata, but the reported figures nonetheless describe this stratified sample and should not be read as nationally representative population estimates. Finally, the study measured whether an appointment was offered and how long the wait was, but did not adjudicate the accuracy of front-desk statements, so the schedulability gap we describe is an observation from the call log rather than an independently verified measure of directory accuracy.</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 whether front-desk statements (that a practice does not see a complaint, or that a physician is unavailable) are accurate, 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 head-and-neck cancer red flags, for instance, 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only about half of calls to rostered board-certified otolaryngologists secured an appointment with the specific physician sought, while differences by subspecialty and by local supply, Medicaid fee level, or social vulnerability were imprecisely estimated and not robust to joint testing or multiplicity adjustment. Availability and timeliness were distinct dimensions of access, and both were shaped as much by how the request was handled as by where the patient lived. Future access studies should distinguish being listed from being schedulable,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p>
      <w:pPr>
        <w:sectPr>
          <w:pgSz w:w="12240" w:h="15840"/>
          <w:pgMar w:top="1440" w:bottom="1440" w:left="1440" w:right="1440" w:header="720" w:footer="720" w:gutter="0"/>
        </w:sectPr>
      </w:pPr>
    </w:p>
    <w:bookmarkStart w:id="46" w:name="supplementary-tables"/>
    <w:p>
      <w:pPr>
        <w:pStyle w:val="Heading2"/>
      </w:pPr>
      <w:r>
        <w:t xml:space="preserve">Supplementary Tables</w:t>
      </w:r>
    </w:p>
    <w:p>
      <w:pPr>
        <w:pStyle w:val="FirstParagraph"/>
      </w:pPr>
      <w:r>
        <w:rPr>
          <w:i/>
          <w:iCs/>
        </w:rPr>
        <w:t xml:space="preserve">Supplementary tables are presented in landscape orientation for legibility.</w:t>
      </w:r>
    </w:p>
    <w:p>
      <w:pPr>
        <w:pStyle w:val="TableCaption"/>
      </w:pPr>
      <w:r>
        <w:t xml:space="preserve">Table S1. Full access model (all odds ratios).</w:t>
      </w:r>
    </w:p>
    <w:tbl>
      <w:tblPr>
        <w:tblStyle w:val="Table"/>
        <w:tblW w:type="auto" w:w="0"/>
        <w:tblLook w:firstRow="1" w:lastRow="0" w:firstColumn="0" w:lastColumn="0" w:noHBand="0" w:noVBand="0" w:val="0020"/>
        <w:tblCaption w:val="Table S1. Full access model (all odds ratios)."/>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Odds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0.79</w:t>
            </w:r>
          </w:p>
        </w:tc>
        <w:tc>
          <w:tcPr/>
          <w:p>
            <w:pPr>
              <w:pStyle w:val="Compact"/>
              <w:jc w:val="left"/>
            </w:pPr>
            <w:r>
              <w:t xml:space="preserve">0.54-1.15</w:t>
            </w:r>
          </w:p>
        </w:tc>
        <w:tc>
          <w:tcPr/>
          <w:p>
            <w:pPr>
              <w:pStyle w:val="Compact"/>
              <w:jc w:val="left"/>
            </w:pPr>
            <w:r>
              <w:t xml:space="preserve">0.211</w:t>
            </w:r>
          </w:p>
        </w:tc>
      </w:tr>
      <w:tr>
        <w:tc>
          <w:tcPr/>
          <w:p>
            <w:pPr>
              <w:pStyle w:val="Compact"/>
              <w:jc w:val="left"/>
            </w:pPr>
            <w:r>
              <w:t xml:space="preserve">Facial plastic surgery</w:t>
            </w:r>
          </w:p>
        </w:tc>
        <w:tc>
          <w:tcPr/>
          <w:p>
            <w:pPr>
              <w:pStyle w:val="Compact"/>
              <w:jc w:val="right"/>
            </w:pPr>
            <w:r>
              <w:t xml:space="preserve">1.00</w:t>
            </w:r>
          </w:p>
        </w:tc>
        <w:tc>
          <w:tcPr/>
          <w:p>
            <w:pPr>
              <w:pStyle w:val="Compact"/>
              <w:jc w:val="left"/>
            </w:pPr>
            <w:r>
              <w:t xml:space="preserve">0.59-1.69</w:t>
            </w:r>
          </w:p>
        </w:tc>
        <w:tc>
          <w:tcPr/>
          <w:p>
            <w:pPr>
              <w:pStyle w:val="Compact"/>
              <w:jc w:val="left"/>
            </w:pPr>
            <w:r>
              <w:t xml:space="preserve">0.995</w:t>
            </w:r>
          </w:p>
        </w:tc>
      </w:tr>
      <w:tr>
        <w:tc>
          <w:tcPr/>
          <w:p>
            <w:pPr>
              <w:pStyle w:val="Compact"/>
              <w:jc w:val="left"/>
            </w:pPr>
            <w:r>
              <w:t xml:space="preserve">Head and neck oncology</w:t>
            </w:r>
          </w:p>
        </w:tc>
        <w:tc>
          <w:tcPr/>
          <w:p>
            <w:pPr>
              <w:pStyle w:val="Compact"/>
              <w:jc w:val="right"/>
            </w:pPr>
            <w:r>
              <w:t xml:space="preserve">0.82</w:t>
            </w:r>
          </w:p>
        </w:tc>
        <w:tc>
          <w:tcPr/>
          <w:p>
            <w:pPr>
              <w:pStyle w:val="Compact"/>
              <w:jc w:val="left"/>
            </w:pPr>
            <w:r>
              <w:t xml:space="preserve">0.36-1.90</w:t>
            </w:r>
          </w:p>
        </w:tc>
        <w:tc>
          <w:tcPr/>
          <w:p>
            <w:pPr>
              <w:pStyle w:val="Compact"/>
              <w:jc w:val="left"/>
            </w:pPr>
            <w:r>
              <w:t xml:space="preserve">0.650</w:t>
            </w:r>
          </w:p>
        </w:tc>
      </w:tr>
      <w:tr>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left"/>
            </w:pPr>
            <w:r>
              <w:t xml:space="preserve">0.357</w:t>
            </w:r>
          </w:p>
        </w:tc>
      </w:tr>
      <w:tr>
        <w:tc>
          <w:tcPr/>
          <w:p>
            <w:pPr>
              <w:pStyle w:val="Compact"/>
              <w:jc w:val="left"/>
            </w:pPr>
            <w:r>
              <w:t xml:space="preserve">Otology/neurotology</w:t>
            </w:r>
          </w:p>
        </w:tc>
        <w:tc>
          <w:tcPr/>
          <w:p>
            <w:pPr>
              <w:pStyle w:val="Compact"/>
              <w:jc w:val="right"/>
            </w:pPr>
            <w:r>
              <w:t xml:space="preserve">0.58</w:t>
            </w:r>
          </w:p>
        </w:tc>
        <w:tc>
          <w:tcPr/>
          <w:p>
            <w:pPr>
              <w:pStyle w:val="Compact"/>
              <w:jc w:val="left"/>
            </w:pPr>
            <w:r>
              <w:t xml:space="preserve">0.27-1.25</w:t>
            </w:r>
          </w:p>
        </w:tc>
        <w:tc>
          <w:tcPr/>
          <w:p>
            <w:pPr>
              <w:pStyle w:val="Compact"/>
              <w:jc w:val="left"/>
            </w:pPr>
            <w:r>
              <w:t xml:space="preserve">0.167</w:t>
            </w:r>
          </w:p>
        </w:tc>
      </w:tr>
      <w:tr>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left"/>
            </w:pPr>
            <w:r>
              <w:t xml:space="preserve">0.028</w:t>
            </w:r>
          </w:p>
        </w:tc>
      </w:tr>
      <w:tr>
        <w:tc>
          <w:tcPr/>
          <w:p>
            <w:pPr>
              <w:pStyle w:val="Compact"/>
              <w:jc w:val="left"/>
            </w:pPr>
            <w:r>
              <w:t xml:space="preserve">Rhinology</w:t>
            </w:r>
          </w:p>
        </w:tc>
        <w:tc>
          <w:tcPr/>
          <w:p>
            <w:pPr>
              <w:pStyle w:val="Compact"/>
              <w:jc w:val="right"/>
            </w:pPr>
            <w:r>
              <w:t xml:space="preserve">2.21</w:t>
            </w:r>
          </w:p>
        </w:tc>
        <w:tc>
          <w:tcPr/>
          <w:p>
            <w:pPr>
              <w:pStyle w:val="Compact"/>
              <w:jc w:val="left"/>
            </w:pPr>
            <w:r>
              <w:t xml:space="preserve">0.75-6.50</w:t>
            </w:r>
          </w:p>
        </w:tc>
        <w:tc>
          <w:tcPr/>
          <w:p>
            <w:pPr>
              <w:pStyle w:val="Compact"/>
              <w:jc w:val="left"/>
            </w:pPr>
            <w:r>
              <w:t xml:space="preserve">0.151</w:t>
            </w:r>
          </w:p>
        </w:tc>
      </w:tr>
      <w:tr>
        <w:tc>
          <w:tcPr/>
          <w:p>
            <w:pPr>
              <w:pStyle w:val="Compact"/>
              <w:jc w:val="left"/>
            </w:pPr>
            <w:r>
              <w:t xml:space="preserve">Sleep medicine</w:t>
            </w:r>
          </w:p>
        </w:tc>
        <w:tc>
          <w:tcPr/>
          <w:p>
            <w:pPr>
              <w:pStyle w:val="Compact"/>
              <w:jc w:val="right"/>
            </w:pPr>
            <w:r>
              <w:t xml:space="preserve">1.71</w:t>
            </w:r>
          </w:p>
        </w:tc>
        <w:tc>
          <w:tcPr/>
          <w:p>
            <w:pPr>
              <w:pStyle w:val="Compact"/>
              <w:jc w:val="left"/>
            </w:pPr>
            <w:r>
              <w:t xml:space="preserve">0.56-5.21</w:t>
            </w:r>
          </w:p>
        </w:tc>
        <w:tc>
          <w:tcPr/>
          <w:p>
            <w:pPr>
              <w:pStyle w:val="Compact"/>
              <w:jc w:val="left"/>
            </w:pPr>
            <w:r>
              <w:t xml:space="preserve">0.344</w:t>
            </w:r>
          </w:p>
        </w:tc>
      </w:tr>
      <w:tr>
        <w:tc>
          <w:tcPr/>
          <w:p>
            <w:pPr>
              <w:pStyle w:val="Compact"/>
              <w:jc w:val="left"/>
            </w:pPr>
            <w:r>
              <w:t xml:space="preserve">Otolaryngologist density (per SD)</w:t>
            </w:r>
          </w:p>
        </w:tc>
        <w:tc>
          <w:tcPr/>
          <w:p>
            <w:pPr>
              <w:pStyle w:val="Compact"/>
              <w:jc w:val="right"/>
            </w:pPr>
            <w:r>
              <w:t xml:space="preserve">0.96</w:t>
            </w:r>
          </w:p>
        </w:tc>
        <w:tc>
          <w:tcPr/>
          <w:p>
            <w:pPr>
              <w:pStyle w:val="Compact"/>
              <w:jc w:val="left"/>
            </w:pPr>
            <w:r>
              <w:t xml:space="preserve">0.81-1.13</w:t>
            </w:r>
          </w:p>
        </w:tc>
        <w:tc>
          <w:tcPr/>
          <w:p>
            <w:pPr>
              <w:pStyle w:val="Compact"/>
              <w:jc w:val="left"/>
            </w:pPr>
            <w:r>
              <w:t xml:space="preserve">0.617</w:t>
            </w:r>
          </w:p>
        </w:tc>
      </w:tr>
      <w:tr>
        <w:tc>
          <w:tcPr/>
          <w:p>
            <w:pPr>
              <w:pStyle w:val="Compact"/>
              <w:jc w:val="left"/>
            </w:pPr>
            <w:r>
              <w:t xml:space="preserve">Medicaid fee index (per SD)</w:t>
            </w:r>
          </w:p>
        </w:tc>
        <w:tc>
          <w:tcPr/>
          <w:p>
            <w:pPr>
              <w:pStyle w:val="Compact"/>
              <w:jc w:val="right"/>
            </w:pPr>
            <w:r>
              <w:t xml:space="preserve">0.90</w:t>
            </w:r>
          </w:p>
        </w:tc>
        <w:tc>
          <w:tcPr/>
          <w:p>
            <w:pPr>
              <w:pStyle w:val="Compact"/>
              <w:jc w:val="left"/>
            </w:pPr>
            <w:r>
              <w:t xml:space="preserve">0.76-1.06</w:t>
            </w:r>
          </w:p>
        </w:tc>
        <w:tc>
          <w:tcPr/>
          <w:p>
            <w:pPr>
              <w:pStyle w:val="Compact"/>
              <w:jc w:val="left"/>
            </w:pPr>
            <w:r>
              <w:t xml:space="preserve">0.191</w:t>
            </w:r>
          </w:p>
        </w:tc>
      </w:tr>
      <w:tr>
        <w:tc>
          <w:tcPr/>
          <w:p>
            <w:pPr>
              <w:pStyle w:val="Compact"/>
              <w:jc w:val="left"/>
            </w:pPr>
            <w:r>
              <w:t xml:space="preserve">Social Vulnerability Index (per SD)</w:t>
            </w:r>
          </w:p>
        </w:tc>
        <w:tc>
          <w:tcPr/>
          <w:p>
            <w:pPr>
              <w:pStyle w:val="Compact"/>
              <w:jc w:val="right"/>
            </w:pPr>
            <w:r>
              <w:t xml:space="preserve">0.93</w:t>
            </w:r>
          </w:p>
        </w:tc>
        <w:tc>
          <w:tcPr/>
          <w:p>
            <w:pPr>
              <w:pStyle w:val="Compact"/>
              <w:jc w:val="left"/>
            </w:pPr>
            <w:r>
              <w:t xml:space="preserve">0.78-1.11</w:t>
            </w:r>
          </w:p>
        </w:tc>
        <w:tc>
          <w:tcPr/>
          <w:p>
            <w:pPr>
              <w:pStyle w:val="Compact"/>
              <w:jc w:val="left"/>
            </w:pPr>
            <w:r>
              <w:t xml:space="preserve">0.425</w:t>
            </w:r>
          </w:p>
        </w:tc>
      </w:tr>
      <w:tr>
        <w:tc>
          <w:tcPr/>
          <w:p>
            <w:pPr>
              <w:pStyle w:val="Compact"/>
              <w:jc w:val="left"/>
            </w:pPr>
            <w:r>
              <w:t xml:space="preserve">Dual-eligible share (per SD)</w:t>
            </w:r>
          </w:p>
        </w:tc>
        <w:tc>
          <w:tcPr/>
          <w:p>
            <w:pPr>
              <w:pStyle w:val="Compact"/>
              <w:jc w:val="right"/>
            </w:pPr>
            <w:r>
              <w:t xml:space="preserve">0.98</w:t>
            </w:r>
          </w:p>
        </w:tc>
        <w:tc>
          <w:tcPr/>
          <w:p>
            <w:pPr>
              <w:pStyle w:val="Compact"/>
              <w:jc w:val="left"/>
            </w:pPr>
            <w:r>
              <w:t xml:space="preserve">0.82-1.17</w:t>
            </w:r>
          </w:p>
        </w:tc>
        <w:tc>
          <w:tcPr/>
          <w:p>
            <w:pPr>
              <w:pStyle w:val="Compact"/>
              <w:jc w:val="left"/>
            </w:pPr>
            <w:r>
              <w:t xml:space="preserve">0.816</w:t>
            </w:r>
          </w:p>
        </w:tc>
      </w:tr>
      <w:tr>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left"/>
            </w:pPr>
            <w:r>
              <w:t xml:space="preserve">0.830</w:t>
            </w:r>
          </w:p>
        </w:tc>
      </w:tr>
      <w:tr>
        <w:tc>
          <w:tcPr/>
          <w:p>
            <w:pPr>
              <w:pStyle w:val="Compact"/>
              <w:jc w:val="left"/>
            </w:pPr>
            <w:r>
              <w:t xml:space="preserve">Caller: Deol</w:t>
            </w:r>
          </w:p>
        </w:tc>
        <w:tc>
          <w:tcPr/>
          <w:p>
            <w:pPr>
              <w:pStyle w:val="Compact"/>
              <w:jc w:val="right"/>
            </w:pPr>
            <w:r>
              <w:t xml:space="preserve">2.25</w:t>
            </w:r>
          </w:p>
        </w:tc>
        <w:tc>
          <w:tcPr/>
          <w:p>
            <w:pPr>
              <w:pStyle w:val="Compact"/>
              <w:jc w:val="left"/>
            </w:pPr>
            <w:r>
              <w:t xml:space="preserve">1.37-3.71</w:t>
            </w:r>
          </w:p>
        </w:tc>
        <w:tc>
          <w:tcPr/>
          <w:p>
            <w:pPr>
              <w:pStyle w:val="Compact"/>
              <w:jc w:val="left"/>
            </w:pPr>
            <w:r>
              <w:t xml:space="preserve">0.001</w:t>
            </w:r>
          </w:p>
        </w:tc>
      </w:tr>
      <w:tr>
        <w:tc>
          <w:tcPr/>
          <w:p>
            <w:pPr>
              <w:pStyle w:val="Compact"/>
              <w:jc w:val="left"/>
            </w:pPr>
            <w:r>
              <w:t xml:space="preserve">Caller: Falk</w:t>
            </w:r>
          </w:p>
        </w:tc>
        <w:tc>
          <w:tcPr/>
          <w:p>
            <w:pPr>
              <w:pStyle w:val="Compact"/>
              <w:jc w:val="right"/>
            </w:pPr>
            <w:r>
              <w:t xml:space="preserve">1.88</w:t>
            </w:r>
          </w:p>
        </w:tc>
        <w:tc>
          <w:tcPr/>
          <w:p>
            <w:pPr>
              <w:pStyle w:val="Compact"/>
              <w:jc w:val="left"/>
            </w:pPr>
            <w:r>
              <w:t xml:space="preserve">1.07-3.31</w:t>
            </w:r>
          </w:p>
        </w:tc>
        <w:tc>
          <w:tcPr/>
          <w:p>
            <w:pPr>
              <w:pStyle w:val="Compact"/>
              <w:jc w:val="left"/>
            </w:pPr>
            <w:r>
              <w:t xml:space="preserve">0.029</w:t>
            </w:r>
          </w:p>
        </w:tc>
      </w:tr>
      <w:tr>
        <w:tc>
          <w:tcPr/>
          <w:p>
            <w:pPr>
              <w:pStyle w:val="Compact"/>
              <w:jc w:val="left"/>
            </w:pPr>
            <w:r>
              <w:t xml:space="preserve">Caller: Gregg</w:t>
            </w:r>
          </w:p>
        </w:tc>
        <w:tc>
          <w:tcPr/>
          <w:p>
            <w:pPr>
              <w:pStyle w:val="Compact"/>
              <w:jc w:val="right"/>
            </w:pPr>
            <w:r>
              <w:t xml:space="preserve">1.89</w:t>
            </w:r>
          </w:p>
        </w:tc>
        <w:tc>
          <w:tcPr/>
          <w:p>
            <w:pPr>
              <w:pStyle w:val="Compact"/>
              <w:jc w:val="left"/>
            </w:pPr>
            <w:r>
              <w:t xml:space="preserve">1.14-3.11</w:t>
            </w:r>
          </w:p>
        </w:tc>
        <w:tc>
          <w:tcPr/>
          <w:p>
            <w:pPr>
              <w:pStyle w:val="Compact"/>
              <w:jc w:val="left"/>
            </w:pPr>
            <w:r>
              <w:t xml:space="preserve">0.013</w:t>
            </w:r>
          </w:p>
        </w:tc>
      </w:tr>
      <w:tr>
        <w:tc>
          <w:tcPr/>
          <w:p>
            <w:pPr>
              <w:pStyle w:val="Compact"/>
              <w:jc w:val="left"/>
            </w:pPr>
            <w:r>
              <w:t xml:space="preserve">Caller: Kim</w:t>
            </w:r>
          </w:p>
        </w:tc>
        <w:tc>
          <w:tcPr/>
          <w:p>
            <w:pPr>
              <w:pStyle w:val="Compact"/>
              <w:jc w:val="right"/>
            </w:pPr>
            <w:r>
              <w:t xml:space="preserve">2.06</w:t>
            </w:r>
          </w:p>
        </w:tc>
        <w:tc>
          <w:tcPr/>
          <w:p>
            <w:pPr>
              <w:pStyle w:val="Compact"/>
              <w:jc w:val="left"/>
            </w:pPr>
            <w:r>
              <w:t xml:space="preserve">1.25-3.41</w:t>
            </w:r>
          </w:p>
        </w:tc>
        <w:tc>
          <w:tcPr/>
          <w:p>
            <w:pPr>
              <w:pStyle w:val="Compact"/>
              <w:jc w:val="left"/>
            </w:pPr>
            <w:r>
              <w:t xml:space="preserve">0.005</w:t>
            </w:r>
          </w:p>
        </w:tc>
      </w:tr>
      <w:tr>
        <w:tc>
          <w:tcPr/>
          <w:p>
            <w:pPr>
              <w:pStyle w:val="Compact"/>
              <w:jc w:val="left"/>
            </w:pPr>
            <w:r>
              <w:t xml:space="preserve">Caller: Other</w:t>
            </w:r>
          </w:p>
        </w:tc>
        <w:tc>
          <w:tcPr/>
          <w:p>
            <w:pPr>
              <w:pStyle w:val="Compact"/>
              <w:jc w:val="right"/>
            </w:pPr>
            <w:r>
              <w:t xml:space="preserve">1.31</w:t>
            </w:r>
          </w:p>
        </w:tc>
        <w:tc>
          <w:tcPr/>
          <w:p>
            <w:pPr>
              <w:pStyle w:val="Compact"/>
              <w:jc w:val="left"/>
            </w:pPr>
            <w:r>
              <w:t xml:space="preserve">0.41-4.21</w:t>
            </w:r>
          </w:p>
        </w:tc>
        <w:tc>
          <w:tcPr/>
          <w:p>
            <w:pPr>
              <w:pStyle w:val="Compact"/>
              <w:jc w:val="left"/>
            </w:pPr>
            <w:r>
              <w:t xml:space="preserve">0.648</w:t>
            </w:r>
          </w:p>
        </w:tc>
      </w:tr>
      <w:tr>
        <w:tc>
          <w:tcPr/>
          <w:p>
            <w:pPr>
              <w:pStyle w:val="Compact"/>
              <w:jc w:val="left"/>
            </w:pPr>
            <w:r>
              <w:t xml:space="preserve">Caller: Walsh</w:t>
            </w:r>
          </w:p>
        </w:tc>
        <w:tc>
          <w:tcPr/>
          <w:p>
            <w:pPr>
              <w:pStyle w:val="Compact"/>
              <w:jc w:val="right"/>
            </w:pPr>
            <w:r>
              <w:t xml:space="preserve">2.32</w:t>
            </w:r>
          </w:p>
        </w:tc>
        <w:tc>
          <w:tcPr/>
          <w:p>
            <w:pPr>
              <w:pStyle w:val="Compact"/>
              <w:jc w:val="left"/>
            </w:pPr>
            <w:r>
              <w:t xml:space="preserve">1.42-3.80</w:t>
            </w:r>
          </w:p>
        </w:tc>
        <w:tc>
          <w:tcPr/>
          <w:p>
            <w:pPr>
              <w:pStyle w:val="Compact"/>
              <w:jc w:val="left"/>
            </w:pPr>
            <w:r>
              <w:t xml:space="preserve">&lt;0.001</w:t>
            </w:r>
          </w:p>
        </w:tc>
      </w:tr>
    </w:tbl>
    <w:p/>
    <w:p>
      <w:pPr>
        <w:pStyle w:val="TableCaption"/>
      </w:pPr>
      <w:r>
        <w:t xml:space="preserve">Table S2. Full timeliness model (all rate ratios).</w:t>
      </w:r>
    </w:p>
    <w:tbl>
      <w:tblPr>
        <w:tblStyle w:val="Table"/>
        <w:tblW w:type="pct" w:w="5000"/>
        <w:tblLayout w:type="fixed"/>
        <w:tblLook w:firstRow="1" w:lastRow="0" w:firstColumn="0" w:lastColumn="0" w:noHBand="0" w:noVBand="0" w:val="0020"/>
        <w:tblCaption w:val="Table S2. Full timeliness model (all rate ratios)."/>
      </w:tblPr>
      <w:tblGrid>
        <w:gridCol w:w="3702"/>
        <w:gridCol w:w="2160"/>
        <w:gridCol w:w="1234"/>
        <w:gridCol w:w="822"/>
      </w:tblGrid>
      <w:tr>
        <w:trPr>
          <w:tblHeader w:val="on"/>
        </w:trPr>
        <w:tc>
          <w:tcPr/>
          <w:p>
            <w:pPr>
              <w:pStyle w:val="Compact"/>
              <w:jc w:val="left"/>
            </w:pPr>
            <w:r>
              <w:t xml:space="preserve">Term</w:t>
            </w:r>
          </w:p>
        </w:tc>
        <w:tc>
          <w:tcPr/>
          <w:p>
            <w:pPr>
              <w:pStyle w:val="Compact"/>
              <w:jc w:val="right"/>
            </w:pPr>
            <w:r>
              <w:t xml:space="preserve">Incidence rate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19.19</w:t>
            </w:r>
          </w:p>
        </w:tc>
        <w:tc>
          <w:tcPr/>
          <w:p>
            <w:pPr>
              <w:pStyle w:val="Compact"/>
              <w:jc w:val="left"/>
            </w:pPr>
            <w:r>
              <w:t xml:space="preserve">14.43-25.54</w:t>
            </w:r>
          </w:p>
        </w:tc>
        <w:tc>
          <w:tcPr/>
          <w:p>
            <w:pPr>
              <w:pStyle w:val="Compact"/>
              <w:jc w:val="left"/>
            </w:pPr>
            <w:r>
              <w:t xml:space="preserve">&lt;0.001</w:t>
            </w:r>
          </w:p>
        </w:tc>
      </w:tr>
      <w:tr>
        <w:tc>
          <w:tcPr/>
          <w:p>
            <w:pPr>
              <w:pStyle w:val="Compact"/>
              <w:jc w:val="left"/>
            </w:pPr>
            <w:r>
              <w:t xml:space="preserve">Facial plastic surgery</w:t>
            </w:r>
          </w:p>
        </w:tc>
        <w:tc>
          <w:tcPr/>
          <w:p>
            <w:pPr>
              <w:pStyle w:val="Compact"/>
              <w:jc w:val="right"/>
            </w:pPr>
            <w:r>
              <w:t xml:space="preserve">1.06</w:t>
            </w:r>
          </w:p>
        </w:tc>
        <w:tc>
          <w:tcPr/>
          <w:p>
            <w:pPr>
              <w:pStyle w:val="Compact"/>
              <w:jc w:val="left"/>
            </w:pPr>
            <w:r>
              <w:t xml:space="preserve">0.74-1.52</w:t>
            </w:r>
          </w:p>
        </w:tc>
        <w:tc>
          <w:tcPr/>
          <w:p>
            <w:pPr>
              <w:pStyle w:val="Compact"/>
              <w:jc w:val="left"/>
            </w:pPr>
            <w:r>
              <w:t xml:space="preserve">0.743</w:t>
            </w:r>
          </w:p>
        </w:tc>
      </w:tr>
      <w:tr>
        <w:tc>
          <w:tcPr/>
          <w:p>
            <w:pPr>
              <w:pStyle w:val="Compact"/>
              <w:jc w:val="left"/>
            </w:pPr>
            <w:r>
              <w:t xml:space="preserve">Head and neck oncology</w:t>
            </w:r>
          </w:p>
        </w:tc>
        <w:tc>
          <w:tcPr/>
          <w:p>
            <w:pPr>
              <w:pStyle w:val="Compact"/>
              <w:jc w:val="right"/>
            </w:pPr>
            <w:r>
              <w:t xml:space="preserve">1.29</w:t>
            </w:r>
          </w:p>
        </w:tc>
        <w:tc>
          <w:tcPr/>
          <w:p>
            <w:pPr>
              <w:pStyle w:val="Compact"/>
              <w:jc w:val="left"/>
            </w:pPr>
            <w:r>
              <w:t xml:space="preserve">0.74-2.26</w:t>
            </w:r>
          </w:p>
        </w:tc>
        <w:tc>
          <w:tcPr/>
          <w:p>
            <w:pPr>
              <w:pStyle w:val="Compact"/>
              <w:jc w:val="left"/>
            </w:pPr>
            <w:r>
              <w:t xml:space="preserve">0.369</w:t>
            </w:r>
          </w:p>
        </w:tc>
      </w:tr>
      <w:tr>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left"/>
            </w:pPr>
            <w:r>
              <w:t xml:space="preserve">0.020</w:t>
            </w:r>
          </w:p>
        </w:tc>
      </w:tr>
      <w:tr>
        <w:tc>
          <w:tcPr/>
          <w:p>
            <w:pPr>
              <w:pStyle w:val="Compact"/>
              <w:jc w:val="left"/>
            </w:pPr>
            <w:r>
              <w:t xml:space="preserve">Otology/neurotology</w:t>
            </w:r>
          </w:p>
        </w:tc>
        <w:tc>
          <w:tcPr/>
          <w:p>
            <w:pPr>
              <w:pStyle w:val="Compact"/>
              <w:jc w:val="right"/>
            </w:pPr>
            <w:r>
              <w:t xml:space="preserve">1.31</w:t>
            </w:r>
          </w:p>
        </w:tc>
        <w:tc>
          <w:tcPr/>
          <w:p>
            <w:pPr>
              <w:pStyle w:val="Compact"/>
              <w:jc w:val="left"/>
            </w:pPr>
            <w:r>
              <w:t xml:space="preserve">0.72-2.41</w:t>
            </w:r>
          </w:p>
        </w:tc>
        <w:tc>
          <w:tcPr/>
          <w:p>
            <w:pPr>
              <w:pStyle w:val="Compact"/>
              <w:jc w:val="left"/>
            </w:pPr>
            <w:r>
              <w:t xml:space="preserve">0.377</w:t>
            </w:r>
          </w:p>
        </w:tc>
      </w:tr>
      <w:tr>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left"/>
            </w:pPr>
            <w:r>
              <w:t xml:space="preserve">0.013</w:t>
            </w:r>
          </w:p>
        </w:tc>
      </w:tr>
      <w:tr>
        <w:tc>
          <w:tcPr/>
          <w:p>
            <w:pPr>
              <w:pStyle w:val="Compact"/>
              <w:jc w:val="left"/>
            </w:pPr>
            <w:r>
              <w:t xml:space="preserve">Rhinology</w:t>
            </w:r>
          </w:p>
        </w:tc>
        <w:tc>
          <w:tcPr/>
          <w:p>
            <w:pPr>
              <w:pStyle w:val="Compact"/>
              <w:jc w:val="right"/>
            </w:pPr>
            <w:r>
              <w:t xml:space="preserve">1.56</w:t>
            </w:r>
          </w:p>
        </w:tc>
        <w:tc>
          <w:tcPr/>
          <w:p>
            <w:pPr>
              <w:pStyle w:val="Compact"/>
              <w:jc w:val="left"/>
            </w:pPr>
            <w:r>
              <w:t xml:space="preserve">0.90-2.68</w:t>
            </w:r>
          </w:p>
        </w:tc>
        <w:tc>
          <w:tcPr/>
          <w:p>
            <w:pPr>
              <w:pStyle w:val="Compact"/>
              <w:jc w:val="left"/>
            </w:pPr>
            <w:r>
              <w:t xml:space="preserve">0.110</w:t>
            </w:r>
          </w:p>
        </w:tc>
      </w:tr>
      <w:tr>
        <w:tc>
          <w:tcPr/>
          <w:p>
            <w:pPr>
              <w:pStyle w:val="Compact"/>
              <w:jc w:val="left"/>
            </w:pPr>
            <w:r>
              <w:t xml:space="preserve">Sleep medicine</w:t>
            </w:r>
          </w:p>
        </w:tc>
        <w:tc>
          <w:tcPr/>
          <w:p>
            <w:pPr>
              <w:pStyle w:val="Compact"/>
              <w:jc w:val="right"/>
            </w:pPr>
            <w:r>
              <w:t xml:space="preserve">1.21</w:t>
            </w:r>
          </w:p>
        </w:tc>
        <w:tc>
          <w:tcPr/>
          <w:p>
            <w:pPr>
              <w:pStyle w:val="Compact"/>
              <w:jc w:val="left"/>
            </w:pPr>
            <w:r>
              <w:t xml:space="preserve">0.64-2.30</w:t>
            </w:r>
          </w:p>
        </w:tc>
        <w:tc>
          <w:tcPr/>
          <w:p>
            <w:pPr>
              <w:pStyle w:val="Compact"/>
              <w:jc w:val="left"/>
            </w:pPr>
            <w:r>
              <w:t xml:space="preserve">0.551</w:t>
            </w:r>
          </w:p>
        </w:tc>
      </w:tr>
      <w:tr>
        <w:tc>
          <w:tcPr/>
          <w:p>
            <w:pPr>
              <w:pStyle w:val="Compact"/>
              <w:jc w:val="left"/>
            </w:pPr>
            <w:r>
              <w:t xml:space="preserve">Otolaryngologist density (per SD)</w:t>
            </w:r>
          </w:p>
        </w:tc>
        <w:tc>
          <w:tcPr/>
          <w:p>
            <w:pPr>
              <w:pStyle w:val="Compact"/>
              <w:jc w:val="right"/>
            </w:pPr>
            <w:r>
              <w:t xml:space="preserve">0.94</w:t>
            </w:r>
          </w:p>
        </w:tc>
        <w:tc>
          <w:tcPr/>
          <w:p>
            <w:pPr>
              <w:pStyle w:val="Compact"/>
              <w:jc w:val="left"/>
            </w:pPr>
            <w:r>
              <w:t xml:space="preserve">0.82-1.08</w:t>
            </w:r>
          </w:p>
        </w:tc>
        <w:tc>
          <w:tcPr/>
          <w:p>
            <w:pPr>
              <w:pStyle w:val="Compact"/>
              <w:jc w:val="left"/>
            </w:pPr>
            <w:r>
              <w:t xml:space="preserve">0.391</w:t>
            </w:r>
          </w:p>
        </w:tc>
      </w:tr>
      <w:tr>
        <w:tc>
          <w:tcPr/>
          <w:p>
            <w:pPr>
              <w:pStyle w:val="Compact"/>
              <w:jc w:val="left"/>
            </w:pPr>
            <w:r>
              <w:t xml:space="preserve">Medicaid fee index (per SD)</w:t>
            </w:r>
          </w:p>
        </w:tc>
        <w:tc>
          <w:tcPr/>
          <w:p>
            <w:pPr>
              <w:pStyle w:val="Compact"/>
              <w:jc w:val="right"/>
            </w:pPr>
            <w:r>
              <w:t xml:space="preserve">0.94</w:t>
            </w:r>
          </w:p>
        </w:tc>
        <w:tc>
          <w:tcPr/>
          <w:p>
            <w:pPr>
              <w:pStyle w:val="Compact"/>
              <w:jc w:val="left"/>
            </w:pPr>
            <w:r>
              <w:t xml:space="preserve">0.83-1.06</w:t>
            </w:r>
          </w:p>
        </w:tc>
        <w:tc>
          <w:tcPr/>
          <w:p>
            <w:pPr>
              <w:pStyle w:val="Compact"/>
              <w:jc w:val="left"/>
            </w:pPr>
            <w:r>
              <w:t xml:space="preserve">0.318</w:t>
            </w:r>
          </w:p>
        </w:tc>
      </w:tr>
      <w:tr>
        <w:tc>
          <w:tcPr/>
          <w:p>
            <w:pPr>
              <w:pStyle w:val="Compact"/>
              <w:jc w:val="left"/>
            </w:pPr>
            <w:r>
              <w:t xml:space="preserve">Social Vulnerability Index (per SD)</w:t>
            </w:r>
          </w:p>
        </w:tc>
        <w:tc>
          <w:tcPr/>
          <w:p>
            <w:pPr>
              <w:pStyle w:val="Compact"/>
              <w:jc w:val="right"/>
            </w:pPr>
            <w:r>
              <w:t xml:space="preserve">0.96</w:t>
            </w:r>
          </w:p>
        </w:tc>
        <w:tc>
          <w:tcPr/>
          <w:p>
            <w:pPr>
              <w:pStyle w:val="Compact"/>
              <w:jc w:val="left"/>
            </w:pPr>
            <w:r>
              <w:t xml:space="preserve">0.85-1.08</w:t>
            </w:r>
          </w:p>
        </w:tc>
        <w:tc>
          <w:tcPr/>
          <w:p>
            <w:pPr>
              <w:pStyle w:val="Compact"/>
              <w:jc w:val="left"/>
            </w:pPr>
            <w:r>
              <w:t xml:space="preserve">0.489</w:t>
            </w:r>
          </w:p>
        </w:tc>
      </w:tr>
      <w:tr>
        <w:tc>
          <w:tcPr/>
          <w:p>
            <w:pPr>
              <w:pStyle w:val="Compact"/>
              <w:jc w:val="left"/>
            </w:pPr>
            <w:r>
              <w:t xml:space="preserve">Dual-eligible share (per SD)</w:t>
            </w:r>
          </w:p>
        </w:tc>
        <w:tc>
          <w:tcPr/>
          <w:p>
            <w:pPr>
              <w:pStyle w:val="Compact"/>
              <w:jc w:val="right"/>
            </w:pPr>
            <w:r>
              <w:t xml:space="preserve">0.99</w:t>
            </w:r>
          </w:p>
        </w:tc>
        <w:tc>
          <w:tcPr/>
          <w:p>
            <w:pPr>
              <w:pStyle w:val="Compact"/>
              <w:jc w:val="left"/>
            </w:pPr>
            <w:r>
              <w:t xml:space="preserve">0.87-1.12</w:t>
            </w:r>
          </w:p>
        </w:tc>
        <w:tc>
          <w:tcPr/>
          <w:p>
            <w:pPr>
              <w:pStyle w:val="Compact"/>
              <w:jc w:val="left"/>
            </w:pPr>
            <w:r>
              <w:t xml:space="preserve">0.832</w:t>
            </w:r>
          </w:p>
        </w:tc>
      </w:tr>
      <w:tr>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left"/>
            </w:pPr>
            <w:r>
              <w:t xml:space="preserve">0.191</w:t>
            </w:r>
          </w:p>
        </w:tc>
      </w:tr>
      <w:tr>
        <w:tc>
          <w:tcPr/>
          <w:p>
            <w:pPr>
              <w:pStyle w:val="Compact"/>
              <w:jc w:val="left"/>
            </w:pPr>
            <w:r>
              <w:t xml:space="preserve">Caller: Deol</w:t>
            </w:r>
          </w:p>
        </w:tc>
        <w:tc>
          <w:tcPr/>
          <w:p>
            <w:pPr>
              <w:pStyle w:val="Compact"/>
              <w:jc w:val="right"/>
            </w:pPr>
            <w:r>
              <w:t xml:space="preserve">0.83</w:t>
            </w:r>
          </w:p>
        </w:tc>
        <w:tc>
          <w:tcPr/>
          <w:p>
            <w:pPr>
              <w:pStyle w:val="Compact"/>
              <w:jc w:val="left"/>
            </w:pPr>
            <w:r>
              <w:t xml:space="preserve">0.60-1.14</w:t>
            </w:r>
          </w:p>
        </w:tc>
        <w:tc>
          <w:tcPr/>
          <w:p>
            <w:pPr>
              <w:pStyle w:val="Compact"/>
              <w:jc w:val="left"/>
            </w:pPr>
            <w:r>
              <w:t xml:space="preserve">0.258</w:t>
            </w:r>
          </w:p>
        </w:tc>
      </w:tr>
      <w:tr>
        <w:tc>
          <w:tcPr/>
          <w:p>
            <w:pPr>
              <w:pStyle w:val="Compact"/>
              <w:jc w:val="left"/>
            </w:pPr>
            <w:r>
              <w:t xml:space="preserve">Caller: Falk</w:t>
            </w:r>
          </w:p>
        </w:tc>
        <w:tc>
          <w:tcPr/>
          <w:p>
            <w:pPr>
              <w:pStyle w:val="Compact"/>
              <w:jc w:val="right"/>
            </w:pPr>
            <w:r>
              <w:t xml:space="preserve">0.64</w:t>
            </w:r>
          </w:p>
        </w:tc>
        <w:tc>
          <w:tcPr/>
          <w:p>
            <w:pPr>
              <w:pStyle w:val="Compact"/>
              <w:jc w:val="left"/>
            </w:pPr>
            <w:r>
              <w:t xml:space="preserve">0.43-0.93</w:t>
            </w:r>
          </w:p>
        </w:tc>
        <w:tc>
          <w:tcPr/>
          <w:p>
            <w:pPr>
              <w:pStyle w:val="Compact"/>
              <w:jc w:val="left"/>
            </w:pPr>
            <w:r>
              <w:t xml:space="preserve">0.020</w:t>
            </w:r>
          </w:p>
        </w:tc>
      </w:tr>
      <w:tr>
        <w:tc>
          <w:tcPr/>
          <w:p>
            <w:pPr>
              <w:pStyle w:val="Compact"/>
              <w:jc w:val="left"/>
            </w:pPr>
            <w:r>
              <w:t xml:space="preserve">Caller: Gregg</w:t>
            </w:r>
          </w:p>
        </w:tc>
        <w:tc>
          <w:tcPr/>
          <w:p>
            <w:pPr>
              <w:pStyle w:val="Compact"/>
              <w:jc w:val="right"/>
            </w:pPr>
            <w:r>
              <w:t xml:space="preserve">0.90</w:t>
            </w:r>
          </w:p>
        </w:tc>
        <w:tc>
          <w:tcPr/>
          <w:p>
            <w:pPr>
              <w:pStyle w:val="Compact"/>
              <w:jc w:val="left"/>
            </w:pPr>
            <w:r>
              <w:t xml:space="preserve">0.65-1.25</w:t>
            </w:r>
          </w:p>
        </w:tc>
        <w:tc>
          <w:tcPr/>
          <w:p>
            <w:pPr>
              <w:pStyle w:val="Compact"/>
              <w:jc w:val="left"/>
            </w:pPr>
            <w:r>
              <w:t xml:space="preserve">0.528</w:t>
            </w:r>
          </w:p>
        </w:tc>
      </w:tr>
      <w:tr>
        <w:tc>
          <w:tcPr/>
          <w:p>
            <w:pPr>
              <w:pStyle w:val="Compact"/>
              <w:jc w:val="left"/>
            </w:pPr>
            <w:r>
              <w:t xml:space="preserve">Caller: Kim</w:t>
            </w:r>
          </w:p>
        </w:tc>
        <w:tc>
          <w:tcPr/>
          <w:p>
            <w:pPr>
              <w:pStyle w:val="Compact"/>
              <w:jc w:val="right"/>
            </w:pPr>
            <w:r>
              <w:t xml:space="preserve">0.98</w:t>
            </w:r>
          </w:p>
        </w:tc>
        <w:tc>
          <w:tcPr/>
          <w:p>
            <w:pPr>
              <w:pStyle w:val="Compact"/>
              <w:jc w:val="left"/>
            </w:pPr>
            <w:r>
              <w:t xml:space="preserve">0.70-1.37</w:t>
            </w:r>
          </w:p>
        </w:tc>
        <w:tc>
          <w:tcPr/>
          <w:p>
            <w:pPr>
              <w:pStyle w:val="Compact"/>
              <w:jc w:val="left"/>
            </w:pPr>
            <w:r>
              <w:t xml:space="preserve">0.896</w:t>
            </w:r>
          </w:p>
        </w:tc>
      </w:tr>
      <w:tr>
        <w:tc>
          <w:tcPr/>
          <w:p>
            <w:pPr>
              <w:pStyle w:val="Compact"/>
              <w:jc w:val="left"/>
            </w:pPr>
            <w:r>
              <w:t xml:space="preserve">Caller: Other</w:t>
            </w:r>
          </w:p>
        </w:tc>
        <w:tc>
          <w:tcPr/>
          <w:p>
            <w:pPr>
              <w:pStyle w:val="Compact"/>
              <w:jc w:val="right"/>
            </w:pPr>
            <w:r>
              <w:t xml:space="preserve">0.66</w:t>
            </w:r>
          </w:p>
        </w:tc>
        <w:tc>
          <w:tcPr/>
          <w:p>
            <w:pPr>
              <w:pStyle w:val="Compact"/>
              <w:jc w:val="left"/>
            </w:pPr>
            <w:r>
              <w:t xml:space="preserve">0.23-1.87</w:t>
            </w:r>
          </w:p>
        </w:tc>
        <w:tc>
          <w:tcPr/>
          <w:p>
            <w:pPr>
              <w:pStyle w:val="Compact"/>
              <w:jc w:val="left"/>
            </w:pPr>
            <w:r>
              <w:t xml:space="preserve">0.436</w:t>
            </w:r>
          </w:p>
        </w:tc>
      </w:tr>
      <w:tr>
        <w:tc>
          <w:tcPr/>
          <w:p>
            <w:pPr>
              <w:pStyle w:val="Compact"/>
              <w:jc w:val="left"/>
            </w:pPr>
            <w:r>
              <w:t xml:space="preserve">Caller: Walsh</w:t>
            </w:r>
          </w:p>
        </w:tc>
        <w:tc>
          <w:tcPr/>
          <w:p>
            <w:pPr>
              <w:pStyle w:val="Compact"/>
              <w:jc w:val="right"/>
            </w:pPr>
            <w:r>
              <w:t xml:space="preserve">0.89</w:t>
            </w:r>
          </w:p>
        </w:tc>
        <w:tc>
          <w:tcPr/>
          <w:p>
            <w:pPr>
              <w:pStyle w:val="Compact"/>
              <w:jc w:val="left"/>
            </w:pPr>
            <w:r>
              <w:t xml:space="preserve">0.64-1.23</w:t>
            </w:r>
          </w:p>
        </w:tc>
        <w:tc>
          <w:tcPr/>
          <w:p>
            <w:pPr>
              <w:pStyle w:val="Compact"/>
              <w:jc w:val="lef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753"/>
        <w:gridCol w:w="961"/>
        <w:gridCol w:w="1697"/>
        <w:gridCol w:w="1018"/>
        <w:gridCol w:w="565"/>
        <w:gridCol w:w="452"/>
        <w:gridCol w:w="622"/>
        <w:gridCol w:w="848"/>
      </w:tblGrid>
      <w:tr>
        <w:trPr>
          <w:tblHeader w:val="on"/>
        </w:trPr>
        <w:tc>
          <w:tcPr/>
          <w:p>
            <w:pPr>
              <w:pStyle w:val="Compact"/>
              <w:jc w:val="left"/>
            </w:pPr>
            <w:r>
              <w:t xml:space="preserve">Specification</w:t>
            </w:r>
          </w:p>
        </w:tc>
        <w:tc>
          <w:tcPr/>
          <w:p>
            <w:pPr>
              <w:pStyle w:val="Compact"/>
              <w:jc w:val="left"/>
            </w:pPr>
            <w:r>
              <w:t xml:space="preserve">Model part</w:t>
            </w:r>
          </w:p>
        </w:tc>
        <w:tc>
          <w:tcPr/>
          <w:p>
            <w:pPr>
              <w:pStyle w:val="Compact"/>
              <w:jc w:val="left"/>
            </w:pPr>
            <w:r>
              <w:t xml:space="preserve">Term</w:t>
            </w:r>
          </w:p>
        </w:tc>
        <w:tc>
          <w:tcPr/>
          <w:p>
            <w:pPr>
              <w:pStyle w:val="Compact"/>
              <w:jc w:val="right"/>
            </w:pPr>
            <w:r>
              <w:t xml:space="preserve">Estimate (OR/IRR)</w:t>
            </w:r>
          </w:p>
        </w:tc>
        <w:tc>
          <w:tcPr/>
          <w:p>
            <w:pPr>
              <w:pStyle w:val="Compact"/>
              <w:jc w:val="left"/>
            </w:pPr>
            <w:r>
              <w:t xml:space="preserve">95% CI</w:t>
            </w:r>
          </w:p>
        </w:tc>
        <w:tc>
          <w:tcPr/>
          <w:p>
            <w:pPr>
              <w:pStyle w:val="Compact"/>
              <w:jc w:val="right"/>
            </w:pPr>
            <w:r>
              <w:t xml:space="preserve">p-value</w:t>
            </w:r>
          </w:p>
        </w:tc>
        <w:tc>
          <w:tcPr/>
          <w:p>
            <w:pPr>
              <w:pStyle w:val="Compact"/>
              <w:jc w:val="right"/>
            </w:pPr>
            <w:r>
              <w:t xml:space="preserve">N (access)</w:t>
            </w:r>
          </w:p>
        </w:tc>
        <w:tc>
          <w:tcPr/>
          <w:p>
            <w:pPr>
              <w:pStyle w:val="Compact"/>
              <w:jc w:val="right"/>
            </w:pPr>
            <w:r>
              <w:t xml:space="preserve">N (timeliness)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across the call pathway,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ross the call pathway,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54</w:t>
            </w:r>
          </w:p>
        </w:tc>
        <w:tc>
          <w:tcPr/>
          <w:p>
            <w:pPr>
              <w:pStyle w:val="Compact"/>
              <w:jc w:val="right"/>
            </w:pPr>
            <w:r>
              <w:t xml:space="preserve">436</w:t>
            </w:r>
          </w:p>
        </w:tc>
        <w:tc>
          <w:tcPr/>
          <w:p>
            <w:pPr>
              <w:pStyle w:val="Compact"/>
              <w:jc w:val="right"/>
            </w:pPr>
            <w:r>
              <w:t xml:space="preserve">12.4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r>
        <w:tc>
          <w:tcPr/>
          <w:p>
            <w:pPr>
              <w:pStyle w:val="Compact"/>
              <w:jc w:val="left"/>
            </w:pPr>
            <w:r>
              <w:t xml:space="preserve">Whom the appointment was with (% of offers)</w:t>
            </w:r>
          </w:p>
        </w:tc>
        <w:tc>
          <w:tcPr/>
          <w:p>
            <w:pPr>
              <w:pStyle w:val="Compact"/>
              <w:jc w:val="left"/>
            </w:pPr>
            <w:r>
              <w:t xml:space="preserve">Provider type not recorded</w:t>
            </w:r>
          </w:p>
        </w:tc>
        <w:tc>
          <w:tcPr/>
          <w:p>
            <w:pPr>
              <w:pStyle w:val="Compact"/>
              <w:jc w:val="right"/>
            </w:pPr>
            <w:r>
              <w:t xml:space="preserve">3</w:t>
            </w:r>
          </w:p>
        </w:tc>
        <w:tc>
          <w:tcPr/>
          <w:p>
            <w:pPr>
              <w:pStyle w:val="Compact"/>
              <w:jc w:val="right"/>
            </w:pPr>
            <w:r>
              <w:t xml:space="preserve">436</w:t>
            </w:r>
          </w:p>
        </w:tc>
        <w:tc>
          <w:tcPr/>
          <w:p>
            <w:pPr>
              <w:pStyle w:val="Compact"/>
              <w:jc w:val="right"/>
            </w:pPr>
            <w:r>
              <w:t xml:space="preserve">0.7</w:t>
            </w:r>
          </w:p>
        </w:tc>
      </w:tr>
    </w:tbl>
    <w:p/>
    <w:p>
      <w:pPr>
        <w:pStyle w:val="TableCaption"/>
      </w:pPr>
      <w:r>
        <w:t xml:space="preserve">Table S11. Practice-clustering sensitivity: CBSA-only vs. CBSA + practice-telephone random intercept vs. one-call-per-telephone. The one-call-per-telephone analysis retains 686 observations (670 distinct telephone numbers plus 16 calls with no recorded number, each kept as a unique observation); the joint subspecialty p-value is not defined (NA) for the added-random-intercept model because it is not a nested single-factor comparison.</w:t>
      </w:r>
    </w:p>
    <w:tbl>
      <w:tblPr>
        <w:tblStyle w:val="Table"/>
        <w:tblW w:type="pct" w:w="5000"/>
        <w:tblLayout w:type="fixed"/>
        <w:tblLook w:firstRow="1" w:lastRow="0" w:firstColumn="0" w:lastColumn="0" w:noHBand="0" w:noVBand="0" w:val="0020"/>
        <w:tblCaption w:val="Table S11. Practice-clustering sensitivity: CBSA-only vs. CBSA + practice-telephone random intercept vs. one-call-per-telephone. The one-call-per-telephone analysis retains 686 observations (670 distinct telephone numbers plus 16 calls with no recorded number, each kept as a unique observation); the joint subspecialty p-value is not defined (NA) for the added-random-intercept model because it is not a nested single-factor comparison."/>
      </w:tblPr>
      <w:tblGrid>
        <w:gridCol w:w="2225"/>
        <w:gridCol w:w="465"/>
        <w:gridCol w:w="1552"/>
        <w:gridCol w:w="672"/>
        <w:gridCol w:w="1552"/>
        <w:gridCol w:w="1449"/>
      </w:tblGrid>
      <w:tr>
        <w:trPr>
          <w:tblHeader w:val="on"/>
        </w:trPr>
        <w:tc>
          <w:tcPr/>
          <w:p>
            <w:pPr>
              <w:pStyle w:val="Compact"/>
              <w:jc w:val="left"/>
            </w:pPr>
            <w:r>
              <w:t xml:space="preserve">Model</w:t>
            </w:r>
          </w:p>
        </w:tc>
        <w:tc>
          <w:tcPr/>
          <w:p>
            <w:pPr>
              <w:pStyle w:val="Compact"/>
              <w:jc w:val="right"/>
            </w:pPr>
            <w:r>
              <w:t xml:space="preserve">N access</w:t>
            </w:r>
          </w:p>
        </w:tc>
        <w:tc>
          <w:tcPr/>
          <w:p>
            <w:pPr>
              <w:pStyle w:val="Compact"/>
              <w:jc w:val="left"/>
            </w:pPr>
            <w:r>
              <w:t xml:space="preserve">Pediatrics access OR (95% CI)</w:t>
            </w:r>
          </w:p>
        </w:tc>
        <w:tc>
          <w:tcPr/>
          <w:p>
            <w:pPr>
              <w:pStyle w:val="Compact"/>
              <w:jc w:val="right"/>
            </w:pPr>
            <w:r>
              <w:t xml:space="preserve">N timeliness</w:t>
            </w:r>
          </w:p>
        </w:tc>
        <w:tc>
          <w:tcPr/>
          <w:p>
            <w:pPr>
              <w:pStyle w:val="Compact"/>
              <w:jc w:val="left"/>
            </w:pPr>
            <w:r>
              <w:t xml:space="preserve">Laryngology wait IRR (95% CI)</w:t>
            </w:r>
          </w:p>
        </w:tc>
        <w:tc>
          <w:tcPr/>
          <w:p>
            <w:pPr>
              <w:pStyle w:val="Compact"/>
              <w:jc w:val="right"/>
            </w:pPr>
            <w:r>
              <w:t xml:space="preserve">Subspecialty access joint p</w:t>
            </w:r>
          </w:p>
        </w:tc>
      </w:tr>
      <w:tr>
        <w:tc>
          <w:tcPr/>
          <w:p>
            <w:pPr>
              <w:pStyle w:val="Compact"/>
              <w:jc w:val="left"/>
            </w:pPr>
            <w:r>
              <w:t xml:space="preserve">Primary (CBSA random intercept only)</w:t>
            </w:r>
          </w:p>
        </w:tc>
        <w:tc>
          <w:tcPr/>
          <w:p>
            <w:pPr>
              <w:pStyle w:val="Compact"/>
              <w:jc w:val="right"/>
            </w:pPr>
            <w:r>
              <w:t xml:space="preserve">731</w:t>
            </w:r>
          </w:p>
        </w:tc>
        <w:tc>
          <w:tcPr/>
          <w:p>
            <w:pPr>
              <w:pStyle w:val="Compact"/>
              <w:jc w:val="left"/>
            </w:pPr>
            <w:r>
              <w:t xml:space="preserve">2.29 (1.09-4.80)</w:t>
            </w:r>
          </w:p>
        </w:tc>
        <w:tc>
          <w:tcPr/>
          <w:p>
            <w:pPr>
              <w:pStyle w:val="Compact"/>
              <w:jc w:val="right"/>
            </w:pPr>
            <w:r>
              <w:t xml:space="preserve">426</w:t>
            </w:r>
          </w:p>
        </w:tc>
        <w:tc>
          <w:tcPr/>
          <w:p>
            <w:pPr>
              <w:pStyle w:val="Compact"/>
              <w:jc w:val="left"/>
            </w:pPr>
            <w:r>
              <w:t xml:space="preserve">2.24 (1.13-4.41)</w:t>
            </w:r>
          </w:p>
        </w:tc>
        <w:tc>
          <w:tcPr/>
          <w:p>
            <w:pPr>
              <w:pStyle w:val="Compact"/>
              <w:jc w:val="right"/>
            </w:pPr>
            <w:r>
              <w:t xml:space="preserve">0.094</w:t>
            </w:r>
          </w:p>
        </w:tc>
      </w:tr>
      <w:tr>
        <w:tc>
          <w:tcPr/>
          <w:p>
            <w:pPr>
              <w:pStyle w:val="Compact"/>
              <w:jc w:val="left"/>
            </w:pPr>
            <w:r>
              <w:t xml:space="preserve">CBSA + practice-telephone random intercept</w:t>
            </w:r>
          </w:p>
        </w:tc>
        <w:tc>
          <w:tcPr/>
          <w:p>
            <w:pPr>
              <w:pStyle w:val="Compact"/>
              <w:jc w:val="right"/>
            </w:pPr>
            <w:r>
              <w:t xml:space="preserve">731</w:t>
            </w:r>
          </w:p>
        </w:tc>
        <w:tc>
          <w:tcPr/>
          <w:p>
            <w:pPr>
              <w:pStyle w:val="Compact"/>
              <w:jc w:val="left"/>
            </w:pPr>
            <w:r>
              <w:t xml:space="preserve">2.29 (1.09-4.80)</w:t>
            </w:r>
          </w:p>
        </w:tc>
        <w:tc>
          <w:tcPr/>
          <w:p>
            <w:pPr>
              <w:pStyle w:val="Compact"/>
              <w:jc w:val="right"/>
            </w:pPr>
            <w:r>
              <w:t xml:space="preserve">426</w:t>
            </w:r>
          </w:p>
        </w:tc>
        <w:tc>
          <w:tcPr/>
          <w:p>
            <w:pPr>
              <w:pStyle w:val="Compact"/>
              <w:jc w:val="left"/>
            </w:pPr>
            <w:r>
              <w:t xml:space="preserve">2.34 (1.15-4.77)</w:t>
            </w:r>
          </w:p>
        </w:tc>
        <w:tc>
          <w:tcPr/>
          <w:p>
            <w:pPr>
              <w:pStyle w:val="Compact"/>
              <w:jc w:val="right"/>
            </w:pPr>
            <w:r>
              <w:t xml:space="preserve">NA</w:t>
            </w:r>
          </w:p>
        </w:tc>
      </w:tr>
      <w:tr>
        <w:tc>
          <w:tcPr/>
          <w:p>
            <w:pPr>
              <w:pStyle w:val="Compact"/>
              <w:jc w:val="left"/>
            </w:pPr>
            <w:r>
              <w:t xml:space="preserve">One call per telephone number</w:t>
            </w:r>
          </w:p>
        </w:tc>
        <w:tc>
          <w:tcPr/>
          <w:p>
            <w:pPr>
              <w:pStyle w:val="Compact"/>
              <w:jc w:val="right"/>
            </w:pPr>
            <w:r>
              <w:t xml:space="preserve">686</w:t>
            </w:r>
          </w:p>
        </w:tc>
        <w:tc>
          <w:tcPr/>
          <w:p>
            <w:pPr>
              <w:pStyle w:val="Compact"/>
              <w:jc w:val="left"/>
            </w:pPr>
            <w:r>
              <w:t xml:space="preserve">2.36 (1.10-5.08)</w:t>
            </w:r>
          </w:p>
        </w:tc>
        <w:tc>
          <w:tcPr/>
          <w:p>
            <w:pPr>
              <w:pStyle w:val="Compact"/>
              <w:jc w:val="right"/>
            </w:pPr>
            <w:r>
              <w:t xml:space="preserve">398</w:t>
            </w:r>
          </w:p>
        </w:tc>
        <w:tc>
          <w:tcPr/>
          <w:p>
            <w:pPr>
              <w:pStyle w:val="Compact"/>
              <w:jc w:val="left"/>
            </w:pPr>
            <w:r>
              <w:t xml:space="preserve">2.18 (1.08-4.40)</w:t>
            </w:r>
          </w:p>
        </w:tc>
        <w:tc>
          <w:tcPr/>
          <w:p>
            <w:pPr>
              <w:pStyle w:val="Compact"/>
              <w:jc w:val="right"/>
            </w:pPr>
            <w:r>
              <w:t xml:space="preserve">0.116</w:t>
            </w:r>
          </w:p>
        </w:tc>
      </w:tr>
    </w:tbl>
    <w:p/>
    <w:p>
      <w:pPr>
        <w:pStyle w:val="TableCaption"/>
      </w:pPr>
      <w:r>
        <w:t xml:space="preserve">Table S12. Access odds ratios for each trained caller (vs. the reference caller).</w:t>
      </w:r>
    </w:p>
    <w:tbl>
      <w:tblPr>
        <w:tblStyle w:val="Table"/>
        <w:tblW w:type="auto" w:w="0"/>
        <w:tblLook w:firstRow="1" w:lastRow="0" w:firstColumn="0" w:lastColumn="0" w:noHBand="0" w:noVBand="0" w:val="0020"/>
        <w:tblCaption w:val="Table S12. Access odds ratios for each trained caller (vs. the reference caller)."/>
      </w:tblPr>
      <w:tblGrid>
        <w:gridCol w:w="2640"/>
        <w:gridCol w:w="2640"/>
        <w:gridCol w:w="2640"/>
      </w:tblGrid>
      <w:tr>
        <w:trPr>
          <w:tblHeader w:val="on"/>
        </w:trPr>
        <w:tc>
          <w:tcPr/>
          <w:p>
            <w:pPr>
              <w:pStyle w:val="Compact"/>
              <w:jc w:val="left"/>
            </w:pPr>
            <w:r>
              <w:t xml:space="preserve">Caller</w:t>
            </w:r>
          </w:p>
        </w:tc>
        <w:tc>
          <w:tcPr/>
          <w:p>
            <w:pPr>
              <w:pStyle w:val="Compact"/>
              <w:jc w:val="left"/>
            </w:pPr>
            <w:r>
              <w:t xml:space="preserve">Access OR (95% CI)</w:t>
            </w:r>
          </w:p>
        </w:tc>
        <w:tc>
          <w:tcPr/>
          <w:p>
            <w:pPr>
              <w:pStyle w:val="Compact"/>
              <w:jc w:val="right"/>
            </w:pPr>
            <w:r>
              <w:t xml:space="preserve">p-value</w:t>
            </w:r>
          </w:p>
        </w:tc>
      </w:tr>
      <w:tr>
        <w:tc>
          <w:tcPr/>
          <w:p>
            <w:pPr>
              <w:pStyle w:val="Compact"/>
              <w:jc w:val="left"/>
            </w:pPr>
            <w:r>
              <w:t xml:space="preserve">Deol</w:t>
            </w:r>
          </w:p>
        </w:tc>
        <w:tc>
          <w:tcPr/>
          <w:p>
            <w:pPr>
              <w:pStyle w:val="Compact"/>
              <w:jc w:val="left"/>
            </w:pPr>
            <w:r>
              <w:t xml:space="preserve">2.25 (1.37-3.71)</w:t>
            </w:r>
          </w:p>
        </w:tc>
        <w:tc>
          <w:tcPr/>
          <w:p>
            <w:pPr>
              <w:pStyle w:val="Compact"/>
              <w:jc w:val="right"/>
            </w:pPr>
            <w:r>
              <w:t xml:space="preserve">0.001</w:t>
            </w:r>
          </w:p>
        </w:tc>
      </w:tr>
      <w:tr>
        <w:tc>
          <w:tcPr/>
          <w:p>
            <w:pPr>
              <w:pStyle w:val="Compact"/>
              <w:jc w:val="left"/>
            </w:pPr>
            <w:r>
              <w:t xml:space="preserve">Falk</w:t>
            </w:r>
          </w:p>
        </w:tc>
        <w:tc>
          <w:tcPr/>
          <w:p>
            <w:pPr>
              <w:pStyle w:val="Compact"/>
              <w:jc w:val="left"/>
            </w:pPr>
            <w:r>
              <w:t xml:space="preserve">1.88 (1.07-3.31)</w:t>
            </w:r>
          </w:p>
        </w:tc>
        <w:tc>
          <w:tcPr/>
          <w:p>
            <w:pPr>
              <w:pStyle w:val="Compact"/>
              <w:jc w:val="right"/>
            </w:pPr>
            <w:r>
              <w:t xml:space="preserve">0.029</w:t>
            </w:r>
          </w:p>
        </w:tc>
      </w:tr>
      <w:tr>
        <w:tc>
          <w:tcPr/>
          <w:p>
            <w:pPr>
              <w:pStyle w:val="Compact"/>
              <w:jc w:val="left"/>
            </w:pPr>
            <w:r>
              <w:t xml:space="preserve">Gregg</w:t>
            </w:r>
          </w:p>
        </w:tc>
        <w:tc>
          <w:tcPr/>
          <w:p>
            <w:pPr>
              <w:pStyle w:val="Compact"/>
              <w:jc w:val="left"/>
            </w:pPr>
            <w:r>
              <w:t xml:space="preserve">1.89 (1.14-3.11)</w:t>
            </w:r>
          </w:p>
        </w:tc>
        <w:tc>
          <w:tcPr/>
          <w:p>
            <w:pPr>
              <w:pStyle w:val="Compact"/>
              <w:jc w:val="right"/>
            </w:pPr>
            <w:r>
              <w:t xml:space="preserve">0.013</w:t>
            </w:r>
          </w:p>
        </w:tc>
      </w:tr>
      <w:tr>
        <w:tc>
          <w:tcPr/>
          <w:p>
            <w:pPr>
              <w:pStyle w:val="Compact"/>
              <w:jc w:val="left"/>
            </w:pPr>
            <w:r>
              <w:t xml:space="preserve">Kim</w:t>
            </w:r>
          </w:p>
        </w:tc>
        <w:tc>
          <w:tcPr/>
          <w:p>
            <w:pPr>
              <w:pStyle w:val="Compact"/>
              <w:jc w:val="left"/>
            </w:pPr>
            <w:r>
              <w:t xml:space="preserve">2.06 (1.25-3.41)</w:t>
            </w:r>
          </w:p>
        </w:tc>
        <w:tc>
          <w:tcPr/>
          <w:p>
            <w:pPr>
              <w:pStyle w:val="Compact"/>
              <w:jc w:val="right"/>
            </w:pPr>
            <w:r>
              <w:t xml:space="preserve">0.005</w:t>
            </w:r>
          </w:p>
        </w:tc>
      </w:tr>
      <w:tr>
        <w:tc>
          <w:tcPr/>
          <w:p>
            <w:pPr>
              <w:pStyle w:val="Compact"/>
              <w:jc w:val="left"/>
            </w:pPr>
            <w:r>
              <w:t xml:space="preserve">Other</w:t>
            </w:r>
          </w:p>
        </w:tc>
        <w:tc>
          <w:tcPr/>
          <w:p>
            <w:pPr>
              <w:pStyle w:val="Compact"/>
              <w:jc w:val="left"/>
            </w:pPr>
            <w:r>
              <w:t xml:space="preserve">1.31 (0.41-4.21)</w:t>
            </w:r>
          </w:p>
        </w:tc>
        <w:tc>
          <w:tcPr/>
          <w:p>
            <w:pPr>
              <w:pStyle w:val="Compact"/>
              <w:jc w:val="right"/>
            </w:pPr>
            <w:r>
              <w:t xml:space="preserve">0.648</w:t>
            </w:r>
          </w:p>
        </w:tc>
      </w:tr>
      <w:tr>
        <w:tc>
          <w:tcPr/>
          <w:p>
            <w:pPr>
              <w:pStyle w:val="Compact"/>
              <w:jc w:val="left"/>
            </w:pPr>
            <w:r>
              <w:t xml:space="preserve">Walsh</w:t>
            </w:r>
          </w:p>
        </w:tc>
        <w:tc>
          <w:tcPr/>
          <w:p>
            <w:pPr>
              <w:pStyle w:val="Compact"/>
              <w:jc w:val="left"/>
            </w:pPr>
            <w:r>
              <w:t xml:space="preserve">2.32 (1.42-3.80)</w:t>
            </w:r>
          </w:p>
        </w:tc>
        <w:tc>
          <w:tcPr/>
          <w:p>
            <w:pPr>
              <w:pStyle w:val="Compact"/>
              <w:jc w:val="right"/>
            </w:pPr>
            <w:r>
              <w:t xml:space="preserve">0.001</w:t>
            </w:r>
          </w:p>
        </w:tc>
      </w:tr>
    </w:tbl>
    <w:p/>
    <w:p>
      <w:pPr>
        <w:pStyle w:val="TableCaption"/>
      </w:pPr>
      <w:r>
        <w:t xml:space="preserve">Table S12b. Leave-one-caller-out sensitivity of the pediatric-otolaryngology access estimate and the joint subspecialty test.</w:t>
      </w:r>
    </w:p>
    <w:tbl>
      <w:tblPr>
        <w:tblStyle w:val="Table"/>
        <w:tblW w:type="pct" w:w="5000"/>
        <w:tblLayout w:type="fixed"/>
        <w:tblLook w:firstRow="1" w:lastRow="0" w:firstColumn="0" w:lastColumn="0" w:noHBand="0" w:noVBand="0" w:val="0020"/>
        <w:tblCaption w:val="Table S12b. Leave-one-caller-out sensitivity of the pediatric-otolaryngology access estimate and the joint subspecialty test."/>
      </w:tblPr>
      <w:tblGrid>
        <w:gridCol w:w="1689"/>
        <w:gridCol w:w="422"/>
        <w:gridCol w:w="2217"/>
        <w:gridCol w:w="1372"/>
        <w:gridCol w:w="2217"/>
      </w:tblGrid>
      <w:tr>
        <w:trPr>
          <w:tblHeader w:val="on"/>
        </w:trPr>
        <w:tc>
          <w:tcPr/>
          <w:p>
            <w:pPr>
              <w:pStyle w:val="Compact"/>
              <w:jc w:val="left"/>
            </w:pPr>
            <w:r>
              <w:t xml:space="preserve">Caller excluded</w:t>
            </w:r>
          </w:p>
        </w:tc>
        <w:tc>
          <w:tcPr/>
          <w:p>
            <w:pPr>
              <w:pStyle w:val="Compact"/>
              <w:jc w:val="right"/>
            </w:pPr>
            <w:r>
              <w:t xml:space="preserve">N</w:t>
            </w:r>
          </w:p>
        </w:tc>
        <w:tc>
          <w:tcPr/>
          <w:p>
            <w:pPr>
              <w:pStyle w:val="Compact"/>
              <w:jc w:val="right"/>
            </w:pPr>
            <w:r>
              <w:t xml:space="preserve">Pediatrics access OR</w:t>
            </w:r>
          </w:p>
        </w:tc>
        <w:tc>
          <w:tcPr/>
          <w:p>
            <w:pPr>
              <w:pStyle w:val="Compact"/>
              <w:jc w:val="right"/>
            </w:pPr>
            <w:r>
              <w:t xml:space="preserve">Pediatrics p</w:t>
            </w:r>
          </w:p>
        </w:tc>
        <w:tc>
          <w:tcPr/>
          <w:p>
            <w:pPr>
              <w:pStyle w:val="Compact"/>
              <w:jc w:val="right"/>
            </w:pPr>
            <w:r>
              <w:t xml:space="preserve">Subspecialty joint p</w:t>
            </w:r>
          </w:p>
        </w:tc>
      </w:tr>
      <w:tr>
        <w:tc>
          <w:tcPr/>
          <w:p>
            <w:pPr>
              <w:pStyle w:val="Compact"/>
              <w:jc w:val="left"/>
            </w:pPr>
            <w:r>
              <w:t xml:space="preserve">Roesch</w:t>
            </w:r>
          </w:p>
        </w:tc>
        <w:tc>
          <w:tcPr/>
          <w:p>
            <w:pPr>
              <w:pStyle w:val="Compact"/>
              <w:jc w:val="right"/>
            </w:pPr>
            <w:r>
              <w:t xml:space="preserve">543</w:t>
            </w:r>
          </w:p>
        </w:tc>
        <w:tc>
          <w:tcPr/>
          <w:p>
            <w:pPr>
              <w:pStyle w:val="Compact"/>
              <w:jc w:val="right"/>
            </w:pPr>
            <w:r>
              <w:t xml:space="preserve">2.06</w:t>
            </w:r>
          </w:p>
        </w:tc>
        <w:tc>
          <w:tcPr/>
          <w:p>
            <w:pPr>
              <w:pStyle w:val="Compact"/>
              <w:jc w:val="right"/>
            </w:pPr>
            <w:r>
              <w:t xml:space="preserve">0.100</w:t>
            </w:r>
          </w:p>
        </w:tc>
        <w:tc>
          <w:tcPr/>
          <w:p>
            <w:pPr>
              <w:pStyle w:val="Compact"/>
              <w:jc w:val="right"/>
            </w:pPr>
            <w:r>
              <w:t xml:space="preserve">0.230</w:t>
            </w:r>
          </w:p>
        </w:tc>
      </w:tr>
      <w:tr>
        <w:tc>
          <w:tcPr/>
          <w:p>
            <w:pPr>
              <w:pStyle w:val="Compact"/>
              <w:jc w:val="left"/>
            </w:pPr>
            <w:r>
              <w:t xml:space="preserve">Deol</w:t>
            </w:r>
          </w:p>
        </w:tc>
        <w:tc>
          <w:tcPr/>
          <w:p>
            <w:pPr>
              <w:pStyle w:val="Compact"/>
              <w:jc w:val="right"/>
            </w:pPr>
            <w:r>
              <w:t xml:space="preserve">615</w:t>
            </w:r>
          </w:p>
        </w:tc>
        <w:tc>
          <w:tcPr/>
          <w:p>
            <w:pPr>
              <w:pStyle w:val="Compact"/>
              <w:jc w:val="right"/>
            </w:pPr>
            <w:r>
              <w:t xml:space="preserve">2.19</w:t>
            </w:r>
          </w:p>
        </w:tc>
        <w:tc>
          <w:tcPr/>
          <w:p>
            <w:pPr>
              <w:pStyle w:val="Compact"/>
              <w:jc w:val="right"/>
            </w:pPr>
            <w:r>
              <w:t xml:space="preserve">0.052</w:t>
            </w:r>
          </w:p>
        </w:tc>
        <w:tc>
          <w:tcPr/>
          <w:p>
            <w:pPr>
              <w:pStyle w:val="Compact"/>
              <w:jc w:val="right"/>
            </w:pPr>
            <w:r>
              <w:t xml:space="preserve">0.445</w:t>
            </w:r>
          </w:p>
        </w:tc>
      </w:tr>
      <w:tr>
        <w:tc>
          <w:tcPr/>
          <w:p>
            <w:pPr>
              <w:pStyle w:val="Compact"/>
              <w:jc w:val="left"/>
            </w:pPr>
            <w:r>
              <w:t xml:space="preserve">Falk</w:t>
            </w:r>
          </w:p>
        </w:tc>
        <w:tc>
          <w:tcPr/>
          <w:p>
            <w:pPr>
              <w:pStyle w:val="Compact"/>
              <w:jc w:val="right"/>
            </w:pPr>
            <w:r>
              <w:t xml:space="preserve">656</w:t>
            </w:r>
          </w:p>
        </w:tc>
        <w:tc>
          <w:tcPr/>
          <w:p>
            <w:pPr>
              <w:pStyle w:val="Compact"/>
              <w:jc w:val="right"/>
            </w:pPr>
            <w:r>
              <w:t xml:space="preserve">2.24</w:t>
            </w:r>
          </w:p>
        </w:tc>
        <w:tc>
          <w:tcPr/>
          <w:p>
            <w:pPr>
              <w:pStyle w:val="Compact"/>
              <w:jc w:val="right"/>
            </w:pPr>
            <w:r>
              <w:t xml:space="preserve">0.042</w:t>
            </w:r>
          </w:p>
        </w:tc>
        <w:tc>
          <w:tcPr/>
          <w:p>
            <w:pPr>
              <w:pStyle w:val="Compact"/>
              <w:jc w:val="right"/>
            </w:pPr>
            <w:r>
              <w:t xml:space="preserve">0.286</w:t>
            </w:r>
          </w:p>
        </w:tc>
      </w:tr>
      <w:tr>
        <w:tc>
          <w:tcPr/>
          <w:p>
            <w:pPr>
              <w:pStyle w:val="Compact"/>
              <w:jc w:val="left"/>
            </w:pPr>
            <w:r>
              <w:t xml:space="preserve">Gregg</w:t>
            </w:r>
          </w:p>
        </w:tc>
        <w:tc>
          <w:tcPr/>
          <w:p>
            <w:pPr>
              <w:pStyle w:val="Compact"/>
              <w:jc w:val="right"/>
            </w:pPr>
            <w:r>
              <w:t xml:space="preserve">620</w:t>
            </w:r>
          </w:p>
        </w:tc>
        <w:tc>
          <w:tcPr/>
          <w:p>
            <w:pPr>
              <w:pStyle w:val="Compact"/>
              <w:jc w:val="right"/>
            </w:pPr>
            <w:r>
              <w:t xml:space="preserve">2.47</w:t>
            </w:r>
          </w:p>
        </w:tc>
        <w:tc>
          <w:tcPr/>
          <w:p>
            <w:pPr>
              <w:pStyle w:val="Compact"/>
              <w:jc w:val="right"/>
            </w:pPr>
            <w:r>
              <w:t xml:space="preserve">0.037</w:t>
            </w:r>
          </w:p>
        </w:tc>
        <w:tc>
          <w:tcPr/>
          <w:p>
            <w:pPr>
              <w:pStyle w:val="Compact"/>
              <w:jc w:val="right"/>
            </w:pPr>
            <w:r>
              <w:t xml:space="preserve">0.007</w:t>
            </w:r>
          </w:p>
        </w:tc>
      </w:tr>
      <w:tr>
        <w:tc>
          <w:tcPr/>
          <w:p>
            <w:pPr>
              <w:pStyle w:val="Compact"/>
              <w:jc w:val="left"/>
            </w:pPr>
            <w:r>
              <w:t xml:space="preserve">Kim</w:t>
            </w:r>
          </w:p>
        </w:tc>
        <w:tc>
          <w:tcPr/>
          <w:p>
            <w:pPr>
              <w:pStyle w:val="Compact"/>
              <w:jc w:val="right"/>
            </w:pPr>
            <w:r>
              <w:t xml:space="preserve">623</w:t>
            </w:r>
          </w:p>
        </w:tc>
        <w:tc>
          <w:tcPr/>
          <w:p>
            <w:pPr>
              <w:pStyle w:val="Compact"/>
              <w:jc w:val="right"/>
            </w:pPr>
            <w:r>
              <w:t xml:space="preserve">2.28</w:t>
            </w:r>
          </w:p>
        </w:tc>
        <w:tc>
          <w:tcPr/>
          <w:p>
            <w:pPr>
              <w:pStyle w:val="Compact"/>
              <w:jc w:val="right"/>
            </w:pPr>
            <w:r>
              <w:t xml:space="preserve">0.038</w:t>
            </w:r>
          </w:p>
        </w:tc>
        <w:tc>
          <w:tcPr/>
          <w:p>
            <w:pPr>
              <w:pStyle w:val="Compact"/>
              <w:jc w:val="right"/>
            </w:pPr>
            <w:r>
              <w:t xml:space="preserve">0.070</w:t>
            </w:r>
          </w:p>
        </w:tc>
      </w:tr>
      <w:tr>
        <w:tc>
          <w:tcPr/>
          <w:p>
            <w:pPr>
              <w:pStyle w:val="Compact"/>
              <w:jc w:val="left"/>
            </w:pPr>
            <w:r>
              <w:t xml:space="preserve">Other</w:t>
            </w:r>
          </w:p>
        </w:tc>
        <w:tc>
          <w:tcPr/>
          <w:p>
            <w:pPr>
              <w:pStyle w:val="Compact"/>
              <w:jc w:val="right"/>
            </w:pPr>
            <w:r>
              <w:t xml:space="preserve">718</w:t>
            </w:r>
          </w:p>
        </w:tc>
        <w:tc>
          <w:tcPr/>
          <w:p>
            <w:pPr>
              <w:pStyle w:val="Compact"/>
              <w:jc w:val="right"/>
            </w:pPr>
            <w:r>
              <w:t xml:space="preserve">2.17</w:t>
            </w:r>
          </w:p>
        </w:tc>
        <w:tc>
          <w:tcPr/>
          <w:p>
            <w:pPr>
              <w:pStyle w:val="Compact"/>
              <w:jc w:val="right"/>
            </w:pPr>
            <w:r>
              <w:t xml:space="preserve">0.041</w:t>
            </w:r>
          </w:p>
        </w:tc>
        <w:tc>
          <w:tcPr/>
          <w:p>
            <w:pPr>
              <w:pStyle w:val="Compact"/>
              <w:jc w:val="right"/>
            </w:pPr>
            <w:r>
              <w:t xml:space="preserve">0.101</w:t>
            </w:r>
          </w:p>
        </w:tc>
      </w:tr>
      <w:tr>
        <w:tc>
          <w:tcPr/>
          <w:p>
            <w:pPr>
              <w:pStyle w:val="Compact"/>
              <w:jc w:val="left"/>
            </w:pPr>
            <w:r>
              <w:t xml:space="preserve">Walsh</w:t>
            </w:r>
          </w:p>
        </w:tc>
        <w:tc>
          <w:tcPr/>
          <w:p>
            <w:pPr>
              <w:pStyle w:val="Compact"/>
              <w:jc w:val="right"/>
            </w:pPr>
            <w:r>
              <w:t xml:space="preserve">611</w:t>
            </w:r>
          </w:p>
        </w:tc>
        <w:tc>
          <w:tcPr/>
          <w:p>
            <w:pPr>
              <w:pStyle w:val="Compact"/>
              <w:jc w:val="right"/>
            </w:pPr>
            <w:r>
              <w:t xml:space="preserve">2.58</w:t>
            </w:r>
          </w:p>
        </w:tc>
        <w:tc>
          <w:tcPr/>
          <w:p>
            <w:pPr>
              <w:pStyle w:val="Compact"/>
              <w:jc w:val="right"/>
            </w:pPr>
            <w:r>
              <w:t xml:space="preserve">0.022</w:t>
            </w:r>
          </w:p>
        </w:tc>
        <w:tc>
          <w:tcPr/>
          <w:p>
            <w:pPr>
              <w:pStyle w:val="Compact"/>
              <w:jc w:val="right"/>
            </w:pPr>
            <w:r>
              <w:t xml:space="preserve">0.048</w:t>
            </w:r>
          </w:p>
        </w:tc>
      </w:tr>
    </w:tbl>
    <w:p/>
    <w:p>
      <w:pPr>
        <w:pStyle w:val="TableCaption"/>
      </w:pPr>
      <w:r>
        <w:t xml:space="preserve">Table S12c. Full distribution of each trained caller’s caseload across subspecialties (counts), with per-caller N and percent rural; caller × subspecialty and caller × rurality independence were tested by Monte Carlo χ² (10,000 replicates) because several cells are sparse (Table S12c, tests).</w:t>
      </w:r>
    </w:p>
    <w:tbl>
      <w:tblPr>
        <w:tblStyle w:val="Table"/>
        <w:tblW w:type="pct" w:w="5000"/>
        <w:tblLayout w:type="fixed"/>
        <w:tblLook w:firstRow="1" w:lastRow="0" w:firstColumn="0" w:lastColumn="0" w:noHBand="0" w:noVBand="0" w:val="0020"/>
        <w:tblCaption w:val="Table S12c. Full distribution of each trained caller’s caseload across subspecialties (counts), with per-caller N and percent rural; caller × subspecialty and caller × rurality independence were tested by Monte Carlo χ² (10,000 replicates) because several cells are sparse (Table S12c, tests)."/>
      </w:tblPr>
      <w:tblGrid>
        <w:gridCol w:w="450"/>
        <w:gridCol w:w="515"/>
        <w:gridCol w:w="1030"/>
        <w:gridCol w:w="1352"/>
        <w:gridCol w:w="772"/>
        <w:gridCol w:w="1287"/>
        <w:gridCol w:w="708"/>
        <w:gridCol w:w="643"/>
        <w:gridCol w:w="386"/>
        <w:gridCol w:w="257"/>
        <w:gridCol w:w="515"/>
      </w:tblGrid>
      <w:tr>
        <w:trPr>
          <w:tblHeader w:val="on"/>
        </w:trPr>
        <w:tc>
          <w:tcPr/>
          <w:p>
            <w:pPr>
              <w:pStyle w:val="Compact"/>
              <w:jc w:val="left"/>
            </w:pPr>
            <w:r>
              <w:t xml:space="preserve">Caller</w:t>
            </w:r>
          </w:p>
        </w:tc>
        <w:tc>
          <w:tcPr/>
          <w:p>
            <w:pPr>
              <w:pStyle w:val="Compact"/>
              <w:jc w:val="right"/>
            </w:pPr>
            <w:r>
              <w:t xml:space="preserve">General</w:t>
            </w:r>
          </w:p>
        </w:tc>
        <w:tc>
          <w:tcPr/>
          <w:p>
            <w:pPr>
              <w:pStyle w:val="Compact"/>
              <w:jc w:val="right"/>
            </w:pPr>
            <w:r>
              <w:t xml:space="preserve">Facial Plastics</w:t>
            </w:r>
          </w:p>
        </w:tc>
        <w:tc>
          <w:tcPr/>
          <w:p>
            <w:pPr>
              <w:pStyle w:val="Compact"/>
              <w:jc w:val="right"/>
            </w:pPr>
            <w:r>
              <w:t xml:space="preserve">Head and Neck Cancer</w:t>
            </w:r>
          </w:p>
        </w:tc>
        <w:tc>
          <w:tcPr/>
          <w:p>
            <w:pPr>
              <w:pStyle w:val="Compact"/>
              <w:jc w:val="right"/>
            </w:pPr>
            <w:r>
              <w:t xml:space="preserve">Laryngology</w:t>
            </w:r>
          </w:p>
        </w:tc>
        <w:tc>
          <w:tcPr/>
          <w:p>
            <w:pPr>
              <w:pStyle w:val="Compact"/>
              <w:jc w:val="right"/>
            </w:pPr>
            <w:r>
              <w:t xml:space="preserve">Otology/neurotology</w:t>
            </w:r>
          </w:p>
        </w:tc>
        <w:tc>
          <w:tcPr/>
          <w:p>
            <w:pPr>
              <w:pStyle w:val="Compact"/>
              <w:jc w:val="right"/>
            </w:pPr>
            <w:r>
              <w:t xml:space="preserve">Pediatrics</w:t>
            </w:r>
          </w:p>
        </w:tc>
        <w:tc>
          <w:tcPr/>
          <w:p>
            <w:pPr>
              <w:pStyle w:val="Compact"/>
              <w:jc w:val="right"/>
            </w:pPr>
            <w:r>
              <w:t xml:space="preserve">Rhinology</w:t>
            </w:r>
          </w:p>
        </w:tc>
        <w:tc>
          <w:tcPr/>
          <w:p>
            <w:pPr>
              <w:pStyle w:val="Compact"/>
              <w:jc w:val="right"/>
            </w:pPr>
            <w:r>
              <w:t xml:space="preserve">Sleep</w:t>
            </w:r>
          </w:p>
        </w:tc>
        <w:tc>
          <w:tcPr/>
          <w:p>
            <w:pPr>
              <w:pStyle w:val="Compact"/>
              <w:jc w:val="right"/>
            </w:pPr>
            <w:r>
              <w:t xml:space="preserve">N</w:t>
            </w:r>
          </w:p>
        </w:tc>
        <w:tc>
          <w:tcPr/>
          <w:p>
            <w:pPr>
              <w:pStyle w:val="Compact"/>
              <w:jc w:val="right"/>
            </w:pPr>
            <w:r>
              <w:t xml:space="preserve">% rural</w:t>
            </w:r>
          </w:p>
        </w:tc>
      </w:tr>
      <w:tr>
        <w:tc>
          <w:tcPr/>
          <w:p>
            <w:pPr>
              <w:pStyle w:val="Compact"/>
              <w:jc w:val="left"/>
            </w:pPr>
            <w:r>
              <w:t xml:space="preserve">Roesch</w:t>
            </w:r>
          </w:p>
        </w:tc>
        <w:tc>
          <w:tcPr/>
          <w:p>
            <w:pPr>
              <w:pStyle w:val="Compact"/>
              <w:jc w:val="right"/>
            </w:pPr>
            <w:r>
              <w:t xml:space="preserve">129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right"/>
            </w:pPr>
            <w:r>
              <w:t xml:space="preserve">11</w:t>
            </w:r>
          </w:p>
        </w:tc>
        <w:tc>
          <w:tcPr/>
          <w:p>
            <w:pPr>
              <w:pStyle w:val="Compact"/>
              <w:jc w:val="right"/>
            </w:pPr>
            <w:r>
              <w:t xml:space="preserve">6</w:t>
            </w:r>
          </w:p>
        </w:tc>
        <w:tc>
          <w:tcPr/>
          <w:p>
            <w:pPr>
              <w:pStyle w:val="Compact"/>
              <w:jc w:val="right"/>
            </w:pPr>
            <w:r>
              <w:t xml:space="preserve">5</w:t>
            </w:r>
          </w:p>
        </w:tc>
        <w:tc>
          <w:tcPr/>
          <w:p>
            <w:pPr>
              <w:pStyle w:val="Compact"/>
              <w:jc w:val="right"/>
            </w:pPr>
            <w:r>
              <w:t xml:space="preserve">188</w:t>
            </w:r>
          </w:p>
        </w:tc>
        <w:tc>
          <w:tcPr/>
          <w:p>
            <w:pPr>
              <w:pStyle w:val="Compact"/>
              <w:jc w:val="right"/>
            </w:pPr>
            <w:r>
              <w:t xml:space="preserve">43</w:t>
            </w:r>
          </w:p>
        </w:tc>
      </w:tr>
      <w:tr>
        <w:tc>
          <w:tcPr/>
          <w:p>
            <w:pPr>
              <w:pStyle w:val="Compact"/>
              <w:jc w:val="left"/>
            </w:pPr>
            <w:r>
              <w:t xml:space="preserve">Deol</w:t>
            </w:r>
          </w:p>
        </w:tc>
        <w:tc>
          <w:tcPr/>
          <w:p>
            <w:pPr>
              <w:pStyle w:val="Compact"/>
              <w:jc w:val="right"/>
            </w:pPr>
            <w:r>
              <w:t xml:space="preserve">79</w:t>
            </w:r>
          </w:p>
        </w:tc>
        <w:tc>
          <w:tcPr/>
          <w:p>
            <w:pPr>
              <w:pStyle w:val="Compact"/>
              <w:jc w:val="right"/>
            </w:pPr>
            <w:r>
              <w:t xml:space="preserve">12</w:t>
            </w:r>
          </w:p>
        </w:tc>
        <w:tc>
          <w:tcPr/>
          <w:p>
            <w:pPr>
              <w:pStyle w:val="Compact"/>
              <w:jc w:val="right"/>
            </w:pPr>
            <w:r>
              <w:t xml:space="preserve">6</w:t>
            </w:r>
          </w:p>
        </w:tc>
        <w:tc>
          <w:tcPr/>
          <w:p>
            <w:pPr>
              <w:pStyle w:val="Compact"/>
              <w:jc w:val="right"/>
            </w:pPr>
            <w:r>
              <w:t xml:space="preserve">4</w:t>
            </w:r>
          </w:p>
        </w:tc>
        <w:tc>
          <w:tcPr/>
          <w:p>
            <w:pPr>
              <w:pStyle w:val="Compact"/>
              <w:jc w:val="right"/>
            </w:pPr>
            <w:r>
              <w:t xml:space="preserve">3</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116</w:t>
            </w:r>
          </w:p>
        </w:tc>
        <w:tc>
          <w:tcPr/>
          <w:p>
            <w:pPr>
              <w:pStyle w:val="Compact"/>
              <w:jc w:val="right"/>
            </w:pPr>
            <w:r>
              <w:t xml:space="preserve">50</w:t>
            </w:r>
          </w:p>
        </w:tc>
      </w:tr>
      <w:tr>
        <w:tc>
          <w:tcPr/>
          <w:p>
            <w:pPr>
              <w:pStyle w:val="Compact"/>
              <w:jc w:val="left"/>
            </w:pPr>
            <w:r>
              <w:t xml:space="preserve">Falk</w:t>
            </w:r>
          </w:p>
        </w:tc>
        <w:tc>
          <w:tcPr/>
          <w:p>
            <w:pPr>
              <w:pStyle w:val="Compact"/>
              <w:jc w:val="right"/>
            </w:pPr>
            <w:r>
              <w:t xml:space="preserve">51</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6</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75</w:t>
            </w:r>
          </w:p>
        </w:tc>
        <w:tc>
          <w:tcPr/>
          <w:p>
            <w:pPr>
              <w:pStyle w:val="Compact"/>
              <w:jc w:val="right"/>
            </w:pPr>
            <w:r>
              <w:t xml:space="preserve">47</w:t>
            </w:r>
          </w:p>
        </w:tc>
      </w:tr>
      <w:tr>
        <w:tc>
          <w:tcPr/>
          <w:p>
            <w:pPr>
              <w:pStyle w:val="Compact"/>
              <w:jc w:val="left"/>
            </w:pPr>
            <w:r>
              <w:t xml:space="preserve">Gregg</w:t>
            </w:r>
          </w:p>
        </w:tc>
        <w:tc>
          <w:tcPr/>
          <w:p>
            <w:pPr>
              <w:pStyle w:val="Compact"/>
              <w:jc w:val="right"/>
            </w:pPr>
            <w:r>
              <w:t xml:space="preserve">73</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5</w:t>
            </w:r>
          </w:p>
        </w:tc>
        <w:tc>
          <w:tcPr/>
          <w:p>
            <w:pPr>
              <w:pStyle w:val="Compact"/>
              <w:jc w:val="right"/>
            </w:pPr>
            <w:r>
              <w:t xml:space="preserve">111</w:t>
            </w:r>
          </w:p>
        </w:tc>
        <w:tc>
          <w:tcPr/>
          <w:p>
            <w:pPr>
              <w:pStyle w:val="Compact"/>
              <w:jc w:val="right"/>
            </w:pPr>
            <w:r>
              <w:t xml:space="preserve">53</w:t>
            </w:r>
          </w:p>
        </w:tc>
      </w:tr>
      <w:tr>
        <w:tc>
          <w:tcPr/>
          <w:p>
            <w:pPr>
              <w:pStyle w:val="Compact"/>
              <w:jc w:val="left"/>
            </w:pPr>
            <w:r>
              <w:t xml:space="preserve">Kim</w:t>
            </w:r>
          </w:p>
        </w:tc>
        <w:tc>
          <w:tcPr/>
          <w:p>
            <w:pPr>
              <w:pStyle w:val="Compact"/>
              <w:jc w:val="right"/>
            </w:pPr>
            <w:r>
              <w:t xml:space="preserve">76</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108</w:t>
            </w:r>
          </w:p>
        </w:tc>
        <w:tc>
          <w:tcPr/>
          <w:p>
            <w:pPr>
              <w:pStyle w:val="Compact"/>
              <w:jc w:val="right"/>
            </w:pPr>
            <w:r>
              <w:t xml:space="preserve">53</w:t>
            </w:r>
          </w:p>
        </w:tc>
      </w:tr>
      <w:tr>
        <w:tc>
          <w:tcPr/>
          <w:p>
            <w:pPr>
              <w:pStyle w:val="Compact"/>
              <w:jc w:val="left"/>
            </w:pPr>
            <w:r>
              <w:t xml:space="preserve">Other</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w:t>
            </w:r>
          </w:p>
        </w:tc>
        <w:tc>
          <w:tcPr/>
          <w:p>
            <w:pPr>
              <w:pStyle w:val="Compact"/>
              <w:jc w:val="right"/>
            </w:pPr>
            <w:r>
              <w:t xml:space="preserve">69</w:t>
            </w:r>
          </w:p>
        </w:tc>
      </w:tr>
      <w:tr>
        <w:tc>
          <w:tcPr/>
          <w:p>
            <w:pPr>
              <w:pStyle w:val="Compact"/>
              <w:jc w:val="left"/>
            </w:pPr>
            <w:r>
              <w:t xml:space="preserve">Walsh</w:t>
            </w:r>
          </w:p>
        </w:tc>
        <w:tc>
          <w:tcPr/>
          <w:p>
            <w:pPr>
              <w:pStyle w:val="Compact"/>
              <w:jc w:val="right"/>
            </w:pPr>
            <w:r>
              <w:t xml:space="preserve">84</w:t>
            </w:r>
          </w:p>
        </w:tc>
        <w:tc>
          <w:tcPr/>
          <w:p>
            <w:pPr>
              <w:pStyle w:val="Compact"/>
              <w:jc w:val="right"/>
            </w:pPr>
            <w:r>
              <w:t xml:space="preserve">17</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54</w:t>
            </w:r>
          </w:p>
        </w:tc>
      </w:tr>
    </w:tbl>
    <w:p/>
    <w:p>
      <w:pPr>
        <w:pStyle w:val="TableCaption"/>
      </w:pPr>
      <w:r>
        <w:t xml:space="preserve">Table S12c (tests). Monte Carlo χ² tests of caller balance across rurality and subspecialty.</w:t>
      </w:r>
    </w:p>
    <w:tbl>
      <w:tblPr>
        <w:tblStyle w:val="Table"/>
        <w:tblW w:type="auto" w:w="0"/>
        <w:tblLook w:firstRow="1" w:lastRow="0" w:firstColumn="0" w:lastColumn="0" w:noHBand="0" w:noVBand="0" w:val="0020"/>
        <w:tblCaption w:val="Table S12c (tests). Monte Carlo χ² tests of caller balance across rurality and subspecialty."/>
      </w:tblPr>
      <w:tblGrid>
        <w:gridCol w:w="1980"/>
        <w:gridCol w:w="1980"/>
        <w:gridCol w:w="1980"/>
        <w:gridCol w:w="1980"/>
      </w:tblGrid>
      <w:tr>
        <w:trPr>
          <w:tblHeader w:val="on"/>
        </w:trPr>
        <w:tc>
          <w:tcPr/>
          <w:p>
            <w:pPr>
              <w:pStyle w:val="Compact"/>
              <w:jc w:val="left"/>
            </w:pPr>
            <w:r>
              <w:t xml:space="preserve">Comparison</w:t>
            </w:r>
          </w:p>
        </w:tc>
        <w:tc>
          <w:tcPr/>
          <w:p>
            <w:pPr>
              <w:pStyle w:val="Compact"/>
              <w:jc w:val="right"/>
            </w:pPr>
            <w:r>
              <w:t xml:space="preserve">Chi-square</w:t>
            </w:r>
          </w:p>
        </w:tc>
        <w:tc>
          <w:tcPr/>
          <w:p>
            <w:pPr>
              <w:pStyle w:val="Compact"/>
              <w:jc w:val="left"/>
            </w:pPr>
            <w:r>
              <w:t xml:space="preserve">Test</w:t>
            </w:r>
          </w:p>
        </w:tc>
        <w:tc>
          <w:tcPr/>
          <w:p>
            <w:pPr>
              <w:pStyle w:val="Compact"/>
              <w:jc w:val="right"/>
            </w:pPr>
            <w:r>
              <w:t xml:space="preserve">p-value</w:t>
            </w:r>
          </w:p>
        </w:tc>
      </w:tr>
      <w:tr>
        <w:tc>
          <w:tcPr/>
          <w:p>
            <w:pPr>
              <w:pStyle w:val="Compact"/>
              <w:jc w:val="left"/>
            </w:pPr>
            <w:r>
              <w:t xml:space="preserve">Caller × rurality</w:t>
            </w:r>
          </w:p>
        </w:tc>
        <w:tc>
          <w:tcPr/>
          <w:p>
            <w:pPr>
              <w:pStyle w:val="Compact"/>
              <w:jc w:val="right"/>
            </w:pPr>
            <w:r>
              <w:t xml:space="preserve">7.45</w:t>
            </w:r>
          </w:p>
        </w:tc>
        <w:tc>
          <w:tcPr/>
          <w:p>
            <w:pPr>
              <w:pStyle w:val="Compact"/>
              <w:jc w:val="left"/>
            </w:pPr>
            <w:r>
              <w:t xml:space="preserve">Monte Carlo (B=10,000)</w:t>
            </w:r>
          </w:p>
        </w:tc>
        <w:tc>
          <w:tcPr/>
          <w:p>
            <w:pPr>
              <w:pStyle w:val="Compact"/>
              <w:jc w:val="right"/>
            </w:pPr>
            <w:r>
              <w:t xml:space="preserve">0.282</w:t>
            </w:r>
          </w:p>
        </w:tc>
      </w:tr>
      <w:tr>
        <w:tc>
          <w:tcPr/>
          <w:p>
            <w:pPr>
              <w:pStyle w:val="Compact"/>
              <w:jc w:val="left"/>
            </w:pPr>
            <w:r>
              <w:t xml:space="preserve">Caller × subspecialty</w:t>
            </w:r>
          </w:p>
        </w:tc>
        <w:tc>
          <w:tcPr/>
          <w:p>
            <w:pPr>
              <w:pStyle w:val="Compact"/>
              <w:jc w:val="right"/>
            </w:pPr>
            <w:r>
              <w:t xml:space="preserve">29.83</w:t>
            </w:r>
          </w:p>
        </w:tc>
        <w:tc>
          <w:tcPr/>
          <w:p>
            <w:pPr>
              <w:pStyle w:val="Compact"/>
              <w:jc w:val="left"/>
            </w:pPr>
            <w:r>
              <w:t xml:space="preserve">Monte Carlo (B=10,000)</w:t>
            </w:r>
          </w:p>
        </w:tc>
        <w:tc>
          <w:tcPr/>
          <w:p>
            <w:pPr>
              <w:pStyle w:val="Compact"/>
              <w:jc w:val="right"/>
            </w:pPr>
            <w:r>
              <w:t xml:space="preserve">0.920</w:t>
            </w:r>
          </w:p>
        </w:tc>
      </w:tr>
    </w:tbl>
    <w:p/>
    <w:p>
      <w:pPr>
        <w:pStyle w:val="TableCaption"/>
      </w:pPr>
      <w:r>
        <w:t xml:space="preserve">Table S13. Access odds ratios under the primary (any offer) and stricter (with the sampled physician) outcome definitions.</w:t>
      </w:r>
    </w:p>
    <w:tbl>
      <w:tblPr>
        <w:tblStyle w:val="Table"/>
        <w:tblW w:type="pct" w:w="5000"/>
        <w:tblLayout w:type="fixed"/>
        <w:tblLook w:firstRow="1" w:lastRow="0" w:firstColumn="0" w:lastColumn="0" w:noHBand="0" w:noVBand="0" w:val="0020"/>
        <w:tblCaption w:val="Table S13. Access odds ratios under the primary (any offer) and stricter (with the sampled physician) outcome definitions."/>
      </w:tblPr>
      <w:tblGrid>
        <w:gridCol w:w="2517"/>
        <w:gridCol w:w="1412"/>
        <w:gridCol w:w="798"/>
        <w:gridCol w:w="1903"/>
        <w:gridCol w:w="1289"/>
      </w:tblGrid>
      <w:tr>
        <w:trPr>
          <w:tblHeader w:val="on"/>
        </w:trPr>
        <w:tc>
          <w:tcPr/>
          <w:p>
            <w:pPr>
              <w:pStyle w:val="Compact"/>
              <w:jc w:val="left"/>
            </w:pPr>
            <w:r>
              <w:t xml:space="preserve">Subspecialty (vs general otolaryngology)</w:t>
            </w:r>
          </w:p>
        </w:tc>
        <w:tc>
          <w:tcPr/>
          <w:p>
            <w:pPr>
              <w:pStyle w:val="Compact"/>
              <w:jc w:val="left"/>
            </w:pPr>
            <w:r>
              <w:t xml:space="preserve">Any offer: OR (95% CI)</w:t>
            </w:r>
          </w:p>
        </w:tc>
        <w:tc>
          <w:tcPr/>
          <w:p>
            <w:pPr>
              <w:pStyle w:val="Compact"/>
              <w:jc w:val="right"/>
            </w:pPr>
            <w:r>
              <w:t xml:space="preserve">Any offer: p</w:t>
            </w:r>
          </w:p>
        </w:tc>
        <w:tc>
          <w:tcPr/>
          <w:p>
            <w:pPr>
              <w:pStyle w:val="Compact"/>
              <w:jc w:val="left"/>
            </w:pPr>
            <w:r>
              <w:t xml:space="preserve">Sampled physician: OR (95% CI)</w:t>
            </w:r>
          </w:p>
        </w:tc>
        <w:tc>
          <w:tcPr/>
          <w:p>
            <w:pPr>
              <w:pStyle w:val="Compact"/>
              <w:jc w:val="right"/>
            </w:pPr>
            <w:r>
              <w:t xml:space="preserve">Sampled physician: p</w:t>
            </w:r>
          </w:p>
        </w:tc>
      </w:tr>
      <w:tr>
        <w:tc>
          <w:tcPr/>
          <w:p>
            <w:pPr>
              <w:pStyle w:val="Compact"/>
              <w:jc w:val="left"/>
            </w:pPr>
            <w:r>
              <w:t xml:space="preserve">Facial plastic surgery</w:t>
            </w:r>
          </w:p>
        </w:tc>
        <w:tc>
          <w:tcPr/>
          <w:p>
            <w:pPr>
              <w:pStyle w:val="Compact"/>
              <w:jc w:val="left"/>
            </w:pPr>
            <w:r>
              <w:t xml:space="preserve">1.00 (0.59-1.69)</w:t>
            </w:r>
          </w:p>
        </w:tc>
        <w:tc>
          <w:tcPr/>
          <w:p>
            <w:pPr>
              <w:pStyle w:val="Compact"/>
              <w:jc w:val="right"/>
            </w:pPr>
            <w:r>
              <w:t xml:space="preserve">0.995</w:t>
            </w:r>
          </w:p>
        </w:tc>
        <w:tc>
          <w:tcPr/>
          <w:p>
            <w:pPr>
              <w:pStyle w:val="Compact"/>
              <w:jc w:val="left"/>
            </w:pPr>
            <w:r>
              <w:t xml:space="preserve">1.17 (0.70-1.97)</w:t>
            </w:r>
          </w:p>
        </w:tc>
        <w:tc>
          <w:tcPr/>
          <w:p>
            <w:pPr>
              <w:pStyle w:val="Compact"/>
              <w:jc w:val="right"/>
            </w:pPr>
            <w:r>
              <w:t xml:space="preserve">0.547</w:t>
            </w:r>
          </w:p>
        </w:tc>
      </w:tr>
      <w:tr>
        <w:tc>
          <w:tcPr/>
          <w:p>
            <w:pPr>
              <w:pStyle w:val="Compact"/>
              <w:jc w:val="left"/>
            </w:pPr>
            <w:r>
              <w:t xml:space="preserve">Head and neck oncology</w:t>
            </w:r>
          </w:p>
        </w:tc>
        <w:tc>
          <w:tcPr/>
          <w:p>
            <w:pPr>
              <w:pStyle w:val="Compact"/>
              <w:jc w:val="left"/>
            </w:pPr>
            <w:r>
              <w:t xml:space="preserve">0.82 (0.36-1.90)</w:t>
            </w:r>
          </w:p>
        </w:tc>
        <w:tc>
          <w:tcPr/>
          <w:p>
            <w:pPr>
              <w:pStyle w:val="Compact"/>
              <w:jc w:val="right"/>
            </w:pPr>
            <w:r>
              <w:t xml:space="preserve">0.650</w:t>
            </w:r>
          </w:p>
        </w:tc>
        <w:tc>
          <w:tcPr/>
          <w:p>
            <w:pPr>
              <w:pStyle w:val="Compact"/>
              <w:jc w:val="left"/>
            </w:pPr>
            <w:r>
              <w:t xml:space="preserve">0.80 (0.35-1.85)</w:t>
            </w:r>
          </w:p>
        </w:tc>
        <w:tc>
          <w:tcPr/>
          <w:p>
            <w:pPr>
              <w:pStyle w:val="Compact"/>
              <w:jc w:val="right"/>
            </w:pPr>
            <w:r>
              <w:t xml:space="preserve">0.607</w:t>
            </w:r>
          </w:p>
        </w:tc>
      </w:tr>
      <w:tr>
        <w:tc>
          <w:tcPr/>
          <w:p>
            <w:pPr>
              <w:pStyle w:val="Compact"/>
              <w:jc w:val="left"/>
            </w:pPr>
            <w:r>
              <w:t xml:space="preserve">Laryngology</w:t>
            </w:r>
          </w:p>
        </w:tc>
        <w:tc>
          <w:tcPr/>
          <w:p>
            <w:pPr>
              <w:pStyle w:val="Compact"/>
              <w:jc w:val="left"/>
            </w:pPr>
            <w:r>
              <w:t xml:space="preserve">1.80 (0.51-6.32)</w:t>
            </w:r>
          </w:p>
        </w:tc>
        <w:tc>
          <w:tcPr/>
          <w:p>
            <w:pPr>
              <w:pStyle w:val="Compact"/>
              <w:jc w:val="right"/>
            </w:pPr>
            <w:r>
              <w:t xml:space="preserve">0.357</w:t>
            </w:r>
          </w:p>
        </w:tc>
        <w:tc>
          <w:tcPr/>
          <w:p>
            <w:pPr>
              <w:pStyle w:val="Compact"/>
              <w:jc w:val="left"/>
            </w:pPr>
            <w:r>
              <w:t xml:space="preserve">2.76 (0.79-9.70)</w:t>
            </w:r>
          </w:p>
        </w:tc>
        <w:tc>
          <w:tcPr/>
          <w:p>
            <w:pPr>
              <w:pStyle w:val="Compact"/>
              <w:jc w:val="right"/>
            </w:pPr>
            <w:r>
              <w:t xml:space="preserve">0.113</w:t>
            </w:r>
          </w:p>
        </w:tc>
      </w:tr>
      <w:tr>
        <w:tc>
          <w:tcPr/>
          <w:p>
            <w:pPr>
              <w:pStyle w:val="Compact"/>
              <w:jc w:val="left"/>
            </w:pPr>
            <w:r>
              <w:t xml:space="preserve">Otology/neurotology</w:t>
            </w:r>
          </w:p>
        </w:tc>
        <w:tc>
          <w:tcPr/>
          <w:p>
            <w:pPr>
              <w:pStyle w:val="Compact"/>
              <w:jc w:val="left"/>
            </w:pPr>
            <w:r>
              <w:t xml:space="preserve">0.58 (0.27-1.25)</w:t>
            </w:r>
          </w:p>
        </w:tc>
        <w:tc>
          <w:tcPr/>
          <w:p>
            <w:pPr>
              <w:pStyle w:val="Compact"/>
              <w:jc w:val="right"/>
            </w:pPr>
            <w:r>
              <w:t xml:space="preserve">0.167</w:t>
            </w:r>
          </w:p>
        </w:tc>
        <w:tc>
          <w:tcPr/>
          <w:p>
            <w:pPr>
              <w:pStyle w:val="Compact"/>
              <w:jc w:val="left"/>
            </w:pPr>
            <w:r>
              <w:t xml:space="preserve">0.75 (0.35-1.63)</w:t>
            </w:r>
          </w:p>
        </w:tc>
        <w:tc>
          <w:tcPr/>
          <w:p>
            <w:pPr>
              <w:pStyle w:val="Compact"/>
              <w:jc w:val="right"/>
            </w:pPr>
            <w:r>
              <w:t xml:space="preserve">0.471</w:t>
            </w:r>
          </w:p>
        </w:tc>
      </w:tr>
      <w:tr>
        <w:tc>
          <w:tcPr/>
          <w:p>
            <w:pPr>
              <w:pStyle w:val="Compact"/>
              <w:jc w:val="left"/>
            </w:pPr>
            <w:r>
              <w:t xml:space="preserve">Pediatric otolaryngology</w:t>
            </w:r>
          </w:p>
        </w:tc>
        <w:tc>
          <w:tcPr/>
          <w:p>
            <w:pPr>
              <w:pStyle w:val="Compact"/>
              <w:jc w:val="left"/>
            </w:pPr>
            <w:r>
              <w:t xml:space="preserve">2.29 (1.09-4.80)</w:t>
            </w:r>
          </w:p>
        </w:tc>
        <w:tc>
          <w:tcPr/>
          <w:p>
            <w:pPr>
              <w:pStyle w:val="Compact"/>
              <w:jc w:val="right"/>
            </w:pPr>
            <w:r>
              <w:t xml:space="preserve">0.028</w:t>
            </w:r>
          </w:p>
        </w:tc>
        <w:tc>
          <w:tcPr/>
          <w:p>
            <w:pPr>
              <w:pStyle w:val="Compact"/>
              <w:jc w:val="left"/>
            </w:pPr>
            <w:r>
              <w:t xml:space="preserve">1.41 (0.73-2.73)</w:t>
            </w:r>
          </w:p>
        </w:tc>
        <w:tc>
          <w:tcPr/>
          <w:p>
            <w:pPr>
              <w:pStyle w:val="Compact"/>
              <w:jc w:val="right"/>
            </w:pPr>
            <w:r>
              <w:t xml:space="preserve">0.304</w:t>
            </w:r>
          </w:p>
        </w:tc>
      </w:tr>
      <w:tr>
        <w:tc>
          <w:tcPr/>
          <w:p>
            <w:pPr>
              <w:pStyle w:val="Compact"/>
              <w:jc w:val="left"/>
            </w:pPr>
            <w:r>
              <w:t xml:space="preserve">Rhinology</w:t>
            </w:r>
          </w:p>
        </w:tc>
        <w:tc>
          <w:tcPr/>
          <w:p>
            <w:pPr>
              <w:pStyle w:val="Compact"/>
              <w:jc w:val="left"/>
            </w:pPr>
            <w:r>
              <w:t xml:space="preserve">2.21 (0.75-6.50)</w:t>
            </w:r>
          </w:p>
        </w:tc>
        <w:tc>
          <w:tcPr/>
          <w:p>
            <w:pPr>
              <w:pStyle w:val="Compact"/>
              <w:jc w:val="right"/>
            </w:pPr>
            <w:r>
              <w:t xml:space="preserve">0.151</w:t>
            </w:r>
          </w:p>
        </w:tc>
        <w:tc>
          <w:tcPr/>
          <w:p>
            <w:pPr>
              <w:pStyle w:val="Compact"/>
              <w:jc w:val="left"/>
            </w:pPr>
            <w:r>
              <w:t xml:space="preserve">3.39 (1.15-10.00)</w:t>
            </w:r>
          </w:p>
        </w:tc>
        <w:tc>
          <w:tcPr/>
          <w:p>
            <w:pPr>
              <w:pStyle w:val="Compact"/>
              <w:jc w:val="right"/>
            </w:pPr>
            <w:r>
              <w:t xml:space="preserve">0.027</w:t>
            </w:r>
          </w:p>
        </w:tc>
      </w:tr>
      <w:tr>
        <w:tc>
          <w:tcPr/>
          <w:p>
            <w:pPr>
              <w:pStyle w:val="Compact"/>
              <w:jc w:val="left"/>
            </w:pPr>
            <w:r>
              <w:t xml:space="preserve">Sleep medicine</w:t>
            </w:r>
          </w:p>
        </w:tc>
        <w:tc>
          <w:tcPr/>
          <w:p>
            <w:pPr>
              <w:pStyle w:val="Compact"/>
              <w:jc w:val="left"/>
            </w:pPr>
            <w:r>
              <w:t xml:space="preserve">1.71 (0.56-5.21)</w:t>
            </w:r>
          </w:p>
        </w:tc>
        <w:tc>
          <w:tcPr/>
          <w:p>
            <w:pPr>
              <w:pStyle w:val="Compact"/>
              <w:jc w:val="right"/>
            </w:pPr>
            <w:r>
              <w:t xml:space="preserve">0.344</w:t>
            </w:r>
          </w:p>
        </w:tc>
        <w:tc>
          <w:tcPr/>
          <w:p>
            <w:pPr>
              <w:pStyle w:val="Compact"/>
              <w:jc w:val="left"/>
            </w:pPr>
            <w:r>
              <w:t xml:space="preserve">1.89 (0.64-5.54)</w:t>
            </w:r>
          </w:p>
        </w:tc>
        <w:tc>
          <w:tcPr/>
          <w:p>
            <w:pPr>
              <w:pStyle w:val="Compact"/>
              <w:jc w:val="right"/>
            </w:pPr>
            <w:r>
              <w:t xml:space="preserve">0.246</w:t>
            </w:r>
          </w:p>
        </w:tc>
      </w:tr>
    </w:tbl>
    <w:p/>
    <w:p>
      <w:pPr>
        <w:pStyle w:val="TableCaption"/>
      </w:pPr>
      <w:r>
        <w:t xml:space="preserve">Table S14. Joint (multi–degree-of-freedom) likelihood-ratio test of the subspecialty factor in each model part.</w:t>
      </w:r>
    </w:p>
    <w:tbl>
      <w:tblPr>
        <w:tblStyle w:val="Table"/>
        <w:tblW w:type="auto" w:w="0"/>
        <w:tblLook w:firstRow="1" w:lastRow="0" w:firstColumn="0" w:lastColumn="0" w:noHBand="0" w:noVBand="0" w:val="0020"/>
        <w:tblCaption w:val="Table S14. Joint (multi–degree-of-freedom) likelihood-ratio test of the subspecialty factor in each model part."/>
      </w:tblPr>
      <w:tblGrid>
        <w:gridCol w:w="1980"/>
        <w:gridCol w:w="1980"/>
        <w:gridCol w:w="1980"/>
        <w:gridCol w:w="1980"/>
      </w:tblGrid>
      <w:tr>
        <w:trPr>
          <w:tblHeader w:val="on"/>
        </w:trPr>
        <w:tc>
          <w:tcPr/>
          <w:p>
            <w:pPr>
              <w:pStyle w:val="Compact"/>
              <w:jc w:val="left"/>
            </w:pPr>
            <w:r>
              <w:t xml:space="preserve">Model part</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Access (any offer)</w:t>
            </w:r>
          </w:p>
        </w:tc>
        <w:tc>
          <w:tcPr/>
          <w:p>
            <w:pPr>
              <w:pStyle w:val="Compact"/>
              <w:jc w:val="right"/>
            </w:pPr>
            <w:r>
              <w:t xml:space="preserve">12.21</w:t>
            </w:r>
          </w:p>
        </w:tc>
        <w:tc>
          <w:tcPr/>
          <w:p>
            <w:pPr>
              <w:pStyle w:val="Compact"/>
              <w:jc w:val="right"/>
            </w:pPr>
            <w:r>
              <w:t xml:space="preserve">7</w:t>
            </w:r>
          </w:p>
        </w:tc>
        <w:tc>
          <w:tcPr/>
          <w:p>
            <w:pPr>
              <w:pStyle w:val="Compact"/>
              <w:jc w:val="right"/>
            </w:pPr>
            <w:r>
              <w:t xml:space="preserve">0.094</w:t>
            </w:r>
          </w:p>
        </w:tc>
      </w:tr>
      <w:tr>
        <w:tc>
          <w:tcPr/>
          <w:p>
            <w:pPr>
              <w:pStyle w:val="Compact"/>
              <w:jc w:val="left"/>
            </w:pPr>
            <w:r>
              <w:t xml:space="preserve">Timeliness (wait)</w:t>
            </w:r>
          </w:p>
        </w:tc>
        <w:tc>
          <w:tcPr/>
          <w:p>
            <w:pPr>
              <w:pStyle w:val="Compact"/>
              <w:jc w:val="right"/>
            </w:pPr>
            <w:r>
              <w:t xml:space="preserve">12.64</w:t>
            </w:r>
          </w:p>
        </w:tc>
        <w:tc>
          <w:tcPr/>
          <w:p>
            <w:pPr>
              <w:pStyle w:val="Compact"/>
              <w:jc w:val="right"/>
            </w:pPr>
            <w:r>
              <w:t xml:space="preserve">7</w:t>
            </w:r>
          </w:p>
        </w:tc>
        <w:tc>
          <w:tcPr/>
          <w:p>
            <w:pPr>
              <w:pStyle w:val="Compact"/>
              <w:jc w:val="right"/>
            </w:pPr>
            <w:r>
              <w:t xml:space="preserve">0.081</w:t>
            </w:r>
          </w:p>
        </w:tc>
      </w:tr>
    </w:tbl>
    <w:p/>
    <w:p>
      <w:pPr>
        <w:pStyle w:val="TableCaption"/>
      </w:pPr>
      <w:r>
        <w:t xml:space="preserve">Table S14b. Joint likelihood-ratio tests for the caller and subspecialty factors, side by side.</w:t>
      </w:r>
    </w:p>
    <w:tbl>
      <w:tblPr>
        <w:tblStyle w:val="Table"/>
        <w:tblW w:type="pct" w:w="5000"/>
        <w:tblLayout w:type="fixed"/>
        <w:tblLook w:firstRow="1" w:lastRow="0" w:firstColumn="0" w:lastColumn="0" w:noHBand="0" w:noVBand="0" w:val="0020"/>
        <w:tblCaption w:val="Table S14b. Joint likelihood-ratio tests for the caller and subspecialty factors, side by side."/>
      </w:tblPr>
      <w:tblGrid>
        <w:gridCol w:w="3213"/>
        <w:gridCol w:w="2180"/>
        <w:gridCol w:w="1262"/>
        <w:gridCol w:w="344"/>
        <w:gridCol w:w="918"/>
      </w:tblGrid>
      <w:tr>
        <w:trPr>
          <w:tblHeader w:val="on"/>
        </w:trPr>
        <w:tc>
          <w:tcPr/>
          <w:p>
            <w:pPr>
              <w:pStyle w:val="Compact"/>
              <w:jc w:val="left"/>
            </w:pPr>
            <w:r>
              <w:t xml:space="preserve">Factor</w:t>
            </w:r>
          </w:p>
        </w:tc>
        <w:tc>
          <w:tcPr/>
          <w:p>
            <w:pPr>
              <w:pStyle w:val="Compact"/>
              <w:jc w:val="left"/>
            </w:pPr>
            <w:r>
              <w:t xml:space="preserve">Model part</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Caller (research assistant)</w:t>
            </w:r>
          </w:p>
        </w:tc>
        <w:tc>
          <w:tcPr/>
          <w:p>
            <w:pPr>
              <w:pStyle w:val="Compact"/>
              <w:jc w:val="left"/>
            </w:pPr>
            <w:r>
              <w:t xml:space="preserve">Access (any offer)</w:t>
            </w:r>
          </w:p>
        </w:tc>
        <w:tc>
          <w:tcPr/>
          <w:p>
            <w:pPr>
              <w:pStyle w:val="Compact"/>
              <w:jc w:val="right"/>
            </w:pPr>
            <w:r>
              <w:t xml:space="preserve">18.62</w:t>
            </w:r>
          </w:p>
        </w:tc>
        <w:tc>
          <w:tcPr/>
          <w:p>
            <w:pPr>
              <w:pStyle w:val="Compact"/>
              <w:jc w:val="right"/>
            </w:pPr>
            <w:r>
              <w:t xml:space="preserve">6</w:t>
            </w:r>
          </w:p>
        </w:tc>
        <w:tc>
          <w:tcPr/>
          <w:p>
            <w:pPr>
              <w:pStyle w:val="Compact"/>
              <w:jc w:val="right"/>
            </w:pPr>
            <w:r>
              <w:t xml:space="preserve">0.005</w:t>
            </w:r>
          </w:p>
        </w:tc>
      </w:tr>
      <w:tr>
        <w:tc>
          <w:tcPr/>
          <w:p>
            <w:pPr>
              <w:pStyle w:val="Compact"/>
              <w:jc w:val="left"/>
            </w:pPr>
            <w:r>
              <w:t xml:space="preserve">Requested subspecialty</w:t>
            </w:r>
          </w:p>
        </w:tc>
        <w:tc>
          <w:tcPr/>
          <w:p>
            <w:pPr>
              <w:pStyle w:val="Compact"/>
              <w:jc w:val="left"/>
            </w:pPr>
            <w:r>
              <w:t xml:space="preserve">Access (any offer)</w:t>
            </w:r>
          </w:p>
        </w:tc>
        <w:tc>
          <w:tcPr/>
          <w:p>
            <w:pPr>
              <w:pStyle w:val="Compact"/>
              <w:jc w:val="right"/>
            </w:pPr>
            <w:r>
              <w:t xml:space="preserve">12.21</w:t>
            </w:r>
          </w:p>
        </w:tc>
        <w:tc>
          <w:tcPr/>
          <w:p>
            <w:pPr>
              <w:pStyle w:val="Compact"/>
              <w:jc w:val="right"/>
            </w:pPr>
            <w:r>
              <w:t xml:space="preserve">7</w:t>
            </w:r>
          </w:p>
        </w:tc>
        <w:tc>
          <w:tcPr/>
          <w:p>
            <w:pPr>
              <w:pStyle w:val="Compact"/>
              <w:jc w:val="right"/>
            </w:pPr>
            <w:r>
              <w:t xml:space="preserve">0.094</w:t>
            </w:r>
          </w:p>
        </w:tc>
      </w:tr>
      <w:tr>
        <w:tc>
          <w:tcPr/>
          <w:p>
            <w:pPr>
              <w:pStyle w:val="Compact"/>
              <w:jc w:val="left"/>
            </w:pPr>
            <w:r>
              <w:t xml:space="preserve">Caller (research assistant)</w:t>
            </w:r>
          </w:p>
        </w:tc>
        <w:tc>
          <w:tcPr/>
          <w:p>
            <w:pPr>
              <w:pStyle w:val="Compact"/>
              <w:jc w:val="left"/>
            </w:pPr>
            <w:r>
              <w:t xml:space="preserve">Timeliness (wait)</w:t>
            </w:r>
          </w:p>
        </w:tc>
        <w:tc>
          <w:tcPr/>
          <w:p>
            <w:pPr>
              <w:pStyle w:val="Compact"/>
              <w:jc w:val="right"/>
            </w:pPr>
            <w:r>
              <w:t xml:space="preserve">6.44</w:t>
            </w:r>
          </w:p>
        </w:tc>
        <w:tc>
          <w:tcPr/>
          <w:p>
            <w:pPr>
              <w:pStyle w:val="Compact"/>
              <w:jc w:val="right"/>
            </w:pPr>
            <w:r>
              <w:t xml:space="preserve">6</w:t>
            </w:r>
          </w:p>
        </w:tc>
        <w:tc>
          <w:tcPr/>
          <w:p>
            <w:pPr>
              <w:pStyle w:val="Compact"/>
              <w:jc w:val="right"/>
            </w:pPr>
            <w:r>
              <w:t xml:space="preserve">0.376</w:t>
            </w:r>
          </w:p>
        </w:tc>
      </w:tr>
      <w:tr>
        <w:tc>
          <w:tcPr/>
          <w:p>
            <w:pPr>
              <w:pStyle w:val="Compact"/>
              <w:jc w:val="left"/>
            </w:pPr>
            <w:r>
              <w:t xml:space="preserve">Requested subspecialty</w:t>
            </w:r>
          </w:p>
        </w:tc>
        <w:tc>
          <w:tcPr/>
          <w:p>
            <w:pPr>
              <w:pStyle w:val="Compact"/>
              <w:jc w:val="left"/>
            </w:pPr>
            <w:r>
              <w:t xml:space="preserve">Timeliness (wait)</w:t>
            </w:r>
          </w:p>
        </w:tc>
        <w:tc>
          <w:tcPr/>
          <w:p>
            <w:pPr>
              <w:pStyle w:val="Compact"/>
              <w:jc w:val="right"/>
            </w:pPr>
            <w:r>
              <w:t xml:space="preserve">12.64</w:t>
            </w:r>
          </w:p>
        </w:tc>
        <w:tc>
          <w:tcPr/>
          <w:p>
            <w:pPr>
              <w:pStyle w:val="Compact"/>
              <w:jc w:val="right"/>
            </w:pPr>
            <w:r>
              <w:t xml:space="preserve">7</w:t>
            </w:r>
          </w:p>
        </w:tc>
        <w:tc>
          <w:tcPr/>
          <w:p>
            <w:pPr>
              <w:pStyle w:val="Compact"/>
              <w:jc w:val="right"/>
            </w:pPr>
            <w:r>
              <w:t xml:space="preserve">0.081</w:t>
            </w:r>
          </w:p>
        </w:tc>
      </w:tr>
    </w:tbl>
    <w:p/>
    <w:p>
      <w:pPr>
        <w:pStyle w:val="TableCaption"/>
      </w:pPr>
      <w:r>
        <w:t xml:space="preserve">Table S15. Unweighted vs. design-weighted (to the frame’s rural prevalence) offer rate and median wait.</w:t>
      </w:r>
    </w:p>
    <w:tbl>
      <w:tblPr>
        <w:tblStyle w:val="Table"/>
        <w:tblW w:type="pct" w:w="5000"/>
        <w:tblLayout w:type="fixed"/>
        <w:tblLook w:firstRow="1" w:lastRow="0" w:firstColumn="0" w:lastColumn="0" w:noHBand="0" w:noVBand="0" w:val="0020"/>
        <w:tblCaption w:val="Table S15. Unweighted vs. design-weighted (to the frame’s rural prevalence) offer rate and median wait."/>
      </w:tblPr>
      <w:tblGrid>
        <w:gridCol w:w="2200"/>
        <w:gridCol w:w="2552"/>
        <w:gridCol w:w="3168"/>
      </w:tblGrid>
      <w:tr>
        <w:trPr>
          <w:tblHeader w:val="on"/>
        </w:trPr>
        <w:tc>
          <w:tcPr/>
          <w:p>
            <w:pPr>
              <w:pStyle w:val="Compact"/>
              <w:jc w:val="left"/>
            </w:pPr>
            <w:r>
              <w:t xml:space="preserve">Estimate</w:t>
            </w:r>
          </w:p>
        </w:tc>
        <w:tc>
          <w:tcPr/>
          <w:p>
            <w:pPr>
              <w:pStyle w:val="Compact"/>
              <w:jc w:val="left"/>
            </w:pPr>
            <w:r>
              <w:t xml:space="preserve">Unweighted (analytic sample)</w:t>
            </w:r>
          </w:p>
        </w:tc>
        <w:tc>
          <w:tcPr/>
          <w:p>
            <w:pPr>
              <w:pStyle w:val="Compact"/>
              <w:jc w:val="left"/>
            </w:pPr>
            <w:r>
              <w:t xml:space="preserve">Design-weighted to frame (rural 7%)</w:t>
            </w:r>
          </w:p>
        </w:tc>
      </w:tr>
      <w:tr>
        <w:tc>
          <w:tcPr/>
          <w:p>
            <w:pPr>
              <w:pStyle w:val="Compact"/>
              <w:jc w:val="left"/>
            </w:pPr>
            <w:r>
              <w:t xml:space="preserve">Appointment offer rate</w:t>
            </w:r>
          </w:p>
        </w:tc>
        <w:tc>
          <w:tcPr/>
          <w:p>
            <w:pPr>
              <w:pStyle w:val="Compact"/>
              <w:jc w:val="left"/>
            </w:pPr>
            <w:r>
              <w:t xml:space="preserve">59.6%</w:t>
            </w:r>
          </w:p>
        </w:tc>
        <w:tc>
          <w:tcPr/>
          <w:p>
            <w:pPr>
              <w:pStyle w:val="Compact"/>
              <w:jc w:val="left"/>
            </w:pPr>
            <w:r>
              <w:t xml:space="preserve">60.1%</w:t>
            </w:r>
          </w:p>
        </w:tc>
      </w:tr>
      <w:tr>
        <w:tc>
          <w:tcPr/>
          <w:p>
            <w:pPr>
              <w:pStyle w:val="Compact"/>
              <w:jc w:val="left"/>
            </w:pPr>
            <w:r>
              <w:t xml:space="preserve">Median business-day wait</w:t>
            </w:r>
          </w:p>
        </w:tc>
        <w:tc>
          <w:tcPr/>
          <w:p>
            <w:pPr>
              <w:pStyle w:val="Compact"/>
              <w:jc w:val="left"/>
            </w:pPr>
            <w:r>
              <w:t xml:space="preserve">14 days</w:t>
            </w:r>
          </w:p>
        </w:tc>
        <w:tc>
          <w:tcPr/>
          <w:p>
            <w:pPr>
              <w:pStyle w:val="Compact"/>
              <w:jc w:val="left"/>
            </w:pPr>
            <w:r>
              <w:t xml:space="preserve">13 days</w:t>
            </w:r>
          </w:p>
        </w:tc>
      </w:tr>
    </w:tbl>
    <w:p/>
    <w:p>
      <w:pPr>
        <w:pStyle w:val="TableCaption"/>
      </w:pPr>
      <w:r>
        <w:t xml:space="preserve">Table S16. Appointment offer rate and median wait by state, with per-state call counts (n). Many states have few calls; per-state rates are unweighted and unstable where n is small (see Figure S5).</w:t>
      </w:r>
    </w:p>
    <w:tbl>
      <w:tblPr>
        <w:tblStyle w:val="Table"/>
        <w:tblW w:type="auto" w:w="0"/>
        <w:tblLook w:firstRow="1" w:lastRow="0" w:firstColumn="0" w:lastColumn="0" w:noHBand="0" w:noVBand="0" w:val="0020"/>
        <w:tblCaption w:val="Table S16. Appointment offer rate and median wait by state, with per-state call counts (n). Many states have few calls; per-state rates are unweighted and unstable where n is small (see Figure S5)."/>
      </w:tblPr>
      <w:tblGrid>
        <w:gridCol w:w="1980"/>
        <w:gridCol w:w="1980"/>
        <w:gridCol w:w="1980"/>
        <w:gridCol w:w="1980"/>
      </w:tblGrid>
      <w:tr>
        <w:trPr>
          <w:tblHeader w:val="on"/>
        </w:trPr>
        <w:tc>
          <w:tcPr/>
          <w:p>
            <w:pPr>
              <w:pStyle w:val="Compact"/>
              <w:jc w:val="left"/>
            </w:pPr>
            <w:r>
              <w:t xml:space="preserve">state</w:t>
            </w:r>
          </w:p>
        </w:tc>
        <w:tc>
          <w:tcPr/>
          <w:p>
            <w:pPr>
              <w:pStyle w:val="Compact"/>
              <w:jc w:val="right"/>
            </w:pPr>
            <w:r>
              <w:t xml:space="preserve">n</w:t>
            </w:r>
          </w:p>
        </w:tc>
        <w:tc>
          <w:tcPr/>
          <w:p>
            <w:pPr>
              <w:pStyle w:val="Compact"/>
              <w:jc w:val="right"/>
            </w:pPr>
            <w:r>
              <w:t xml:space="preserve">offer_rate</w:t>
            </w:r>
          </w:p>
        </w:tc>
        <w:tc>
          <w:tcPr/>
          <w:p>
            <w:pPr>
              <w:pStyle w:val="Compact"/>
              <w:jc w:val="right"/>
            </w:pPr>
            <w:r>
              <w:t xml:space="preserve">median_wait</w:t>
            </w:r>
          </w:p>
        </w:tc>
      </w:tr>
      <w:tr>
        <w:tc>
          <w:tcPr/>
          <w:p>
            <w:pPr>
              <w:pStyle w:val="Compact"/>
              <w:jc w:val="left"/>
            </w:pPr>
            <w:r>
              <w:t xml:space="preserve">AL</w:t>
            </w:r>
          </w:p>
        </w:tc>
        <w:tc>
          <w:tcPr/>
          <w:p>
            <w:pPr>
              <w:pStyle w:val="Compact"/>
              <w:jc w:val="right"/>
            </w:pPr>
            <w:r>
              <w:t xml:space="preserve">13</w:t>
            </w:r>
          </w:p>
        </w:tc>
        <w:tc>
          <w:tcPr/>
          <w:p>
            <w:pPr>
              <w:pStyle w:val="Compact"/>
              <w:jc w:val="right"/>
            </w:pPr>
            <w:r>
              <w:t xml:space="preserve">0.615</w:t>
            </w:r>
          </w:p>
        </w:tc>
        <w:tc>
          <w:tcPr/>
          <w:p>
            <w:pPr>
              <w:pStyle w:val="Compact"/>
              <w:jc w:val="right"/>
            </w:pPr>
            <w:r>
              <w:t xml:space="preserve">11.5</w:t>
            </w:r>
          </w:p>
        </w:tc>
      </w:tr>
      <w:tr>
        <w:tc>
          <w:tcPr/>
          <w:p>
            <w:pPr>
              <w:pStyle w:val="Compact"/>
              <w:jc w:val="left"/>
            </w:pPr>
            <w:r>
              <w:t xml:space="preserve">AR</w:t>
            </w:r>
          </w:p>
        </w:tc>
        <w:tc>
          <w:tcPr/>
          <w:p>
            <w:pPr>
              <w:pStyle w:val="Compact"/>
              <w:jc w:val="right"/>
            </w:pPr>
            <w:r>
              <w:t xml:space="preserve">8</w:t>
            </w:r>
          </w:p>
        </w:tc>
        <w:tc>
          <w:tcPr/>
          <w:p>
            <w:pPr>
              <w:pStyle w:val="Compact"/>
              <w:jc w:val="right"/>
            </w:pPr>
            <w:r>
              <w:t xml:space="preserve">0.625</w:t>
            </w:r>
          </w:p>
        </w:tc>
        <w:tc>
          <w:tcPr/>
          <w:p>
            <w:pPr>
              <w:pStyle w:val="Compact"/>
              <w:jc w:val="right"/>
            </w:pPr>
            <w:r>
              <w:t xml:space="preserve">16.0</w:t>
            </w:r>
          </w:p>
        </w:tc>
      </w:tr>
      <w:tr>
        <w:tc>
          <w:tcPr/>
          <w:p>
            <w:pPr>
              <w:pStyle w:val="Compact"/>
              <w:jc w:val="left"/>
            </w:pPr>
            <w:r>
              <w:t xml:space="preserve">AZ</w:t>
            </w:r>
          </w:p>
        </w:tc>
        <w:tc>
          <w:tcPr/>
          <w:p>
            <w:pPr>
              <w:pStyle w:val="Compact"/>
              <w:jc w:val="right"/>
            </w:pPr>
            <w:r>
              <w:t xml:space="preserve">5</w:t>
            </w:r>
          </w:p>
        </w:tc>
        <w:tc>
          <w:tcPr/>
          <w:p>
            <w:pPr>
              <w:pStyle w:val="Compact"/>
              <w:jc w:val="right"/>
            </w:pPr>
            <w:r>
              <w:t xml:space="preserve">0.600</w:t>
            </w:r>
          </w:p>
        </w:tc>
        <w:tc>
          <w:tcPr/>
          <w:p>
            <w:pPr>
              <w:pStyle w:val="Compact"/>
              <w:jc w:val="right"/>
            </w:pPr>
            <w:r>
              <w:t xml:space="preserve">20.0</w:t>
            </w:r>
          </w:p>
        </w:tc>
      </w:tr>
      <w:tr>
        <w:tc>
          <w:tcPr/>
          <w:p>
            <w:pPr>
              <w:pStyle w:val="Compact"/>
              <w:jc w:val="left"/>
            </w:pPr>
            <w:r>
              <w:t xml:space="preserve">CA</w:t>
            </w:r>
          </w:p>
        </w:tc>
        <w:tc>
          <w:tcPr/>
          <w:p>
            <w:pPr>
              <w:pStyle w:val="Compact"/>
              <w:jc w:val="right"/>
            </w:pPr>
            <w:r>
              <w:t xml:space="preserve">57</w:t>
            </w:r>
          </w:p>
        </w:tc>
        <w:tc>
          <w:tcPr/>
          <w:p>
            <w:pPr>
              <w:pStyle w:val="Compact"/>
              <w:jc w:val="right"/>
            </w:pPr>
            <w:r>
              <w:t xml:space="preserve">0.596</w:t>
            </w:r>
          </w:p>
        </w:tc>
        <w:tc>
          <w:tcPr/>
          <w:p>
            <w:pPr>
              <w:pStyle w:val="Compact"/>
              <w:jc w:val="right"/>
            </w:pPr>
            <w:r>
              <w:t xml:space="preserve">13.0</w:t>
            </w:r>
          </w:p>
        </w:tc>
      </w:tr>
      <w:tr>
        <w:tc>
          <w:tcPr/>
          <w:p>
            <w:pPr>
              <w:pStyle w:val="Compact"/>
              <w:jc w:val="left"/>
            </w:pPr>
            <w:r>
              <w:t xml:space="preserve">CO</w:t>
            </w:r>
          </w:p>
        </w:tc>
        <w:tc>
          <w:tcPr/>
          <w:p>
            <w:pPr>
              <w:pStyle w:val="Compact"/>
              <w:jc w:val="right"/>
            </w:pPr>
            <w:r>
              <w:t xml:space="preserve">11</w:t>
            </w:r>
          </w:p>
        </w:tc>
        <w:tc>
          <w:tcPr/>
          <w:p>
            <w:pPr>
              <w:pStyle w:val="Compact"/>
              <w:jc w:val="right"/>
            </w:pPr>
            <w:r>
              <w:t xml:space="preserve">0.364</w:t>
            </w:r>
          </w:p>
        </w:tc>
        <w:tc>
          <w:tcPr/>
          <w:p>
            <w:pPr>
              <w:pStyle w:val="Compact"/>
              <w:jc w:val="right"/>
            </w:pPr>
            <w:r>
              <w:t xml:space="preserve">52.0</w:t>
            </w:r>
          </w:p>
        </w:tc>
      </w:tr>
      <w:tr>
        <w:tc>
          <w:tcPr/>
          <w:p>
            <w:pPr>
              <w:pStyle w:val="Compact"/>
              <w:jc w:val="left"/>
            </w:pPr>
            <w:r>
              <w:t xml:space="preserve">CT</w:t>
            </w:r>
          </w:p>
        </w:tc>
        <w:tc>
          <w:tcPr/>
          <w:p>
            <w:pPr>
              <w:pStyle w:val="Compact"/>
              <w:jc w:val="right"/>
            </w:pPr>
            <w:r>
              <w:t xml:space="preserve">7</w:t>
            </w:r>
          </w:p>
        </w:tc>
        <w:tc>
          <w:tcPr/>
          <w:p>
            <w:pPr>
              <w:pStyle w:val="Compact"/>
              <w:jc w:val="right"/>
            </w:pPr>
            <w:r>
              <w:t xml:space="preserve">0.714</w:t>
            </w:r>
          </w:p>
        </w:tc>
        <w:tc>
          <w:tcPr/>
          <w:p>
            <w:pPr>
              <w:pStyle w:val="Compact"/>
              <w:jc w:val="right"/>
            </w:pPr>
            <w:r>
              <w:t xml:space="preserve">12.0</w:t>
            </w:r>
          </w:p>
        </w:tc>
      </w:tr>
      <w:tr>
        <w:tc>
          <w:tcPr/>
          <w:p>
            <w:pPr>
              <w:pStyle w:val="Compact"/>
              <w:jc w:val="left"/>
            </w:pPr>
            <w:r>
              <w:t xml:space="preserve">DC</w:t>
            </w:r>
          </w:p>
        </w:tc>
        <w:tc>
          <w:tcPr/>
          <w:p>
            <w:pPr>
              <w:pStyle w:val="Compact"/>
              <w:jc w:val="right"/>
            </w:pPr>
            <w:r>
              <w:t xml:space="preserve">4</w:t>
            </w:r>
          </w:p>
        </w:tc>
        <w:tc>
          <w:tcPr/>
          <w:p>
            <w:pPr>
              <w:pStyle w:val="Compact"/>
              <w:jc w:val="right"/>
            </w:pPr>
            <w:r>
              <w:t xml:space="preserve">0.750</w:t>
            </w:r>
          </w:p>
        </w:tc>
        <w:tc>
          <w:tcPr/>
          <w:p>
            <w:pPr>
              <w:pStyle w:val="Compact"/>
              <w:jc w:val="right"/>
            </w:pPr>
            <w:r>
              <w:t xml:space="preserve">8.0</w:t>
            </w:r>
          </w:p>
        </w:tc>
      </w:tr>
      <w:tr>
        <w:tc>
          <w:tcPr/>
          <w:p>
            <w:pPr>
              <w:pStyle w:val="Compact"/>
              <w:jc w:val="left"/>
            </w:pPr>
            <w:r>
              <w:t xml:space="preserve">DE</w:t>
            </w:r>
          </w:p>
        </w:tc>
        <w:tc>
          <w:tcPr/>
          <w:p>
            <w:pPr>
              <w:pStyle w:val="Compact"/>
              <w:jc w:val="right"/>
            </w:pPr>
            <w:r>
              <w:t xml:space="preserve">3</w:t>
            </w:r>
          </w:p>
        </w:tc>
        <w:tc>
          <w:tcPr/>
          <w:p>
            <w:pPr>
              <w:pStyle w:val="Compact"/>
              <w:jc w:val="right"/>
            </w:pPr>
            <w:r>
              <w:t xml:space="preserve">0.333</w:t>
            </w:r>
          </w:p>
        </w:tc>
        <w:tc>
          <w:tcPr/>
          <w:p>
            <w:pPr>
              <w:pStyle w:val="Compact"/>
              <w:jc w:val="right"/>
            </w:pPr>
            <w:r>
              <w:t xml:space="preserve">12.0</w:t>
            </w:r>
          </w:p>
        </w:tc>
      </w:tr>
      <w:tr>
        <w:tc>
          <w:tcPr/>
          <w:p>
            <w:pPr>
              <w:pStyle w:val="Compact"/>
              <w:jc w:val="left"/>
            </w:pPr>
            <w:r>
              <w:t xml:space="preserve">FL</w:t>
            </w:r>
          </w:p>
        </w:tc>
        <w:tc>
          <w:tcPr/>
          <w:p>
            <w:pPr>
              <w:pStyle w:val="Compact"/>
              <w:jc w:val="right"/>
            </w:pPr>
            <w:r>
              <w:t xml:space="preserve">26</w:t>
            </w:r>
          </w:p>
        </w:tc>
        <w:tc>
          <w:tcPr/>
          <w:p>
            <w:pPr>
              <w:pStyle w:val="Compact"/>
              <w:jc w:val="right"/>
            </w:pPr>
            <w:r>
              <w:t xml:space="preserve">0.615</w:t>
            </w:r>
          </w:p>
        </w:tc>
        <w:tc>
          <w:tcPr/>
          <w:p>
            <w:pPr>
              <w:pStyle w:val="Compact"/>
              <w:jc w:val="right"/>
            </w:pPr>
            <w:r>
              <w:t xml:space="preserve">8.5</w:t>
            </w:r>
          </w:p>
        </w:tc>
      </w:tr>
      <w:tr>
        <w:tc>
          <w:tcPr/>
          <w:p>
            <w:pPr>
              <w:pStyle w:val="Compact"/>
              <w:jc w:val="left"/>
            </w:pPr>
            <w:r>
              <w:t xml:space="preserve">GA</w:t>
            </w:r>
          </w:p>
        </w:tc>
        <w:tc>
          <w:tcPr/>
          <w:p>
            <w:pPr>
              <w:pStyle w:val="Compact"/>
              <w:jc w:val="right"/>
            </w:pPr>
            <w:r>
              <w:t xml:space="preserve">21</w:t>
            </w:r>
          </w:p>
        </w:tc>
        <w:tc>
          <w:tcPr/>
          <w:p>
            <w:pPr>
              <w:pStyle w:val="Compact"/>
              <w:jc w:val="right"/>
            </w:pPr>
            <w:r>
              <w:t xml:space="preserve">0.571</w:t>
            </w:r>
          </w:p>
        </w:tc>
        <w:tc>
          <w:tcPr/>
          <w:p>
            <w:pPr>
              <w:pStyle w:val="Compact"/>
              <w:jc w:val="right"/>
            </w:pPr>
            <w:r>
              <w:t xml:space="preserve">11.0</w:t>
            </w:r>
          </w:p>
        </w:tc>
      </w:tr>
      <w:tr>
        <w:tc>
          <w:tcPr/>
          <w:p>
            <w:pPr>
              <w:pStyle w:val="Compact"/>
              <w:jc w:val="left"/>
            </w:pPr>
            <w:r>
              <w:t xml:space="preserve">IA</w:t>
            </w:r>
          </w:p>
        </w:tc>
        <w:tc>
          <w:tcPr/>
          <w:p>
            <w:pPr>
              <w:pStyle w:val="Compact"/>
              <w:jc w:val="right"/>
            </w:pPr>
            <w:r>
              <w:t xml:space="preserve">16</w:t>
            </w:r>
          </w:p>
        </w:tc>
        <w:tc>
          <w:tcPr/>
          <w:p>
            <w:pPr>
              <w:pStyle w:val="Compact"/>
              <w:jc w:val="right"/>
            </w:pPr>
            <w:r>
              <w:t xml:space="preserve">0.562</w:t>
            </w:r>
          </w:p>
        </w:tc>
        <w:tc>
          <w:tcPr/>
          <w:p>
            <w:pPr>
              <w:pStyle w:val="Compact"/>
              <w:jc w:val="right"/>
            </w:pPr>
            <w:r>
              <w:t xml:space="preserve">14.0</w:t>
            </w:r>
          </w:p>
        </w:tc>
      </w:tr>
      <w:tr>
        <w:tc>
          <w:tcPr/>
          <w:p>
            <w:pPr>
              <w:pStyle w:val="Compact"/>
              <w:jc w:val="left"/>
            </w:pPr>
            <w:r>
              <w:t xml:space="preserve">ID</w:t>
            </w:r>
          </w:p>
        </w:tc>
        <w:tc>
          <w:tcPr/>
          <w:p>
            <w:pPr>
              <w:pStyle w:val="Compact"/>
              <w:jc w:val="right"/>
            </w:pPr>
            <w:r>
              <w:t xml:space="preserve">5</w:t>
            </w:r>
          </w:p>
        </w:tc>
        <w:tc>
          <w:tcPr/>
          <w:p>
            <w:pPr>
              <w:pStyle w:val="Compact"/>
              <w:jc w:val="right"/>
            </w:pPr>
            <w:r>
              <w:t xml:space="preserve">0.800</w:t>
            </w:r>
          </w:p>
        </w:tc>
        <w:tc>
          <w:tcPr/>
          <w:p>
            <w:pPr>
              <w:pStyle w:val="Compact"/>
              <w:jc w:val="right"/>
            </w:pPr>
            <w:r>
              <w:t xml:space="preserve">14.5</w:t>
            </w:r>
          </w:p>
        </w:tc>
      </w:tr>
      <w:tr>
        <w:tc>
          <w:tcPr/>
          <w:p>
            <w:pPr>
              <w:pStyle w:val="Compact"/>
              <w:jc w:val="left"/>
            </w:pPr>
            <w:r>
              <w:t xml:space="preserve">IL</w:t>
            </w:r>
          </w:p>
        </w:tc>
        <w:tc>
          <w:tcPr/>
          <w:p>
            <w:pPr>
              <w:pStyle w:val="Compact"/>
              <w:jc w:val="right"/>
            </w:pPr>
            <w:r>
              <w:t xml:space="preserve">26</w:t>
            </w:r>
          </w:p>
        </w:tc>
        <w:tc>
          <w:tcPr/>
          <w:p>
            <w:pPr>
              <w:pStyle w:val="Compact"/>
              <w:jc w:val="right"/>
            </w:pPr>
            <w:r>
              <w:t xml:space="preserve">0.846</w:t>
            </w:r>
          </w:p>
        </w:tc>
        <w:tc>
          <w:tcPr/>
          <w:p>
            <w:pPr>
              <w:pStyle w:val="Compact"/>
              <w:jc w:val="right"/>
            </w:pPr>
            <w:r>
              <w:t xml:space="preserve">26.0</w:t>
            </w:r>
          </w:p>
        </w:tc>
      </w:tr>
      <w:tr>
        <w:tc>
          <w:tcPr/>
          <w:p>
            <w:pPr>
              <w:pStyle w:val="Compact"/>
              <w:jc w:val="left"/>
            </w:pPr>
            <w:r>
              <w:t xml:space="preserve">IN</w:t>
            </w:r>
          </w:p>
        </w:tc>
        <w:tc>
          <w:tcPr/>
          <w:p>
            <w:pPr>
              <w:pStyle w:val="Compact"/>
              <w:jc w:val="right"/>
            </w:pPr>
            <w:r>
              <w:t xml:space="preserve">20</w:t>
            </w:r>
          </w:p>
        </w:tc>
        <w:tc>
          <w:tcPr/>
          <w:p>
            <w:pPr>
              <w:pStyle w:val="Compact"/>
              <w:jc w:val="right"/>
            </w:pPr>
            <w:r>
              <w:t xml:space="preserve">0.550</w:t>
            </w:r>
          </w:p>
        </w:tc>
        <w:tc>
          <w:tcPr/>
          <w:p>
            <w:pPr>
              <w:pStyle w:val="Compact"/>
              <w:jc w:val="right"/>
            </w:pPr>
            <w:r>
              <w:t xml:space="preserve">19.0</w:t>
            </w:r>
          </w:p>
        </w:tc>
      </w:tr>
      <w:tr>
        <w:tc>
          <w:tcPr/>
          <w:p>
            <w:pPr>
              <w:pStyle w:val="Compact"/>
              <w:jc w:val="left"/>
            </w:pPr>
            <w:r>
              <w:t xml:space="preserve">KS</w:t>
            </w:r>
          </w:p>
        </w:tc>
        <w:tc>
          <w:tcPr/>
          <w:p>
            <w:pPr>
              <w:pStyle w:val="Compact"/>
              <w:jc w:val="right"/>
            </w:pPr>
            <w:r>
              <w:t xml:space="preserve">8</w:t>
            </w:r>
          </w:p>
        </w:tc>
        <w:tc>
          <w:tcPr/>
          <w:p>
            <w:pPr>
              <w:pStyle w:val="Compact"/>
              <w:jc w:val="right"/>
            </w:pPr>
            <w:r>
              <w:t xml:space="preserve">0.625</w:t>
            </w:r>
          </w:p>
        </w:tc>
        <w:tc>
          <w:tcPr/>
          <w:p>
            <w:pPr>
              <w:pStyle w:val="Compact"/>
              <w:jc w:val="right"/>
            </w:pPr>
            <w:r>
              <w:t xml:space="preserve">4.0</w:t>
            </w:r>
          </w:p>
        </w:tc>
      </w:tr>
      <w:tr>
        <w:tc>
          <w:tcPr/>
          <w:p>
            <w:pPr>
              <w:pStyle w:val="Compact"/>
              <w:jc w:val="left"/>
            </w:pPr>
            <w:r>
              <w:t xml:space="preserve">KY</w:t>
            </w:r>
          </w:p>
        </w:tc>
        <w:tc>
          <w:tcPr/>
          <w:p>
            <w:pPr>
              <w:pStyle w:val="Compact"/>
              <w:jc w:val="right"/>
            </w:pPr>
            <w:r>
              <w:t xml:space="preserve">17</w:t>
            </w:r>
          </w:p>
        </w:tc>
        <w:tc>
          <w:tcPr/>
          <w:p>
            <w:pPr>
              <w:pStyle w:val="Compact"/>
              <w:jc w:val="right"/>
            </w:pPr>
            <w:r>
              <w:t xml:space="preserve">0.529</w:t>
            </w:r>
          </w:p>
        </w:tc>
        <w:tc>
          <w:tcPr/>
          <w:p>
            <w:pPr>
              <w:pStyle w:val="Compact"/>
              <w:jc w:val="right"/>
            </w:pPr>
            <w:r>
              <w:t xml:space="preserve">10.0</w:t>
            </w:r>
          </w:p>
        </w:tc>
      </w:tr>
      <w:tr>
        <w:tc>
          <w:tcPr/>
          <w:p>
            <w:pPr>
              <w:pStyle w:val="Compact"/>
              <w:jc w:val="left"/>
            </w:pPr>
            <w:r>
              <w:t xml:space="preserve">LA</w:t>
            </w:r>
          </w:p>
        </w:tc>
        <w:tc>
          <w:tcPr/>
          <w:p>
            <w:pPr>
              <w:pStyle w:val="Compact"/>
              <w:jc w:val="right"/>
            </w:pPr>
            <w:r>
              <w:t xml:space="preserve">15</w:t>
            </w:r>
          </w:p>
        </w:tc>
        <w:tc>
          <w:tcPr/>
          <w:p>
            <w:pPr>
              <w:pStyle w:val="Compact"/>
              <w:jc w:val="right"/>
            </w:pPr>
            <w:r>
              <w:t xml:space="preserve">0.533</w:t>
            </w:r>
          </w:p>
        </w:tc>
        <w:tc>
          <w:tcPr/>
          <w:p>
            <w:pPr>
              <w:pStyle w:val="Compact"/>
              <w:jc w:val="right"/>
            </w:pPr>
            <w:r>
              <w:t xml:space="preserve">3.0</w:t>
            </w:r>
          </w:p>
        </w:tc>
      </w:tr>
      <w:tr>
        <w:tc>
          <w:tcPr/>
          <w:p>
            <w:pPr>
              <w:pStyle w:val="Compact"/>
              <w:jc w:val="left"/>
            </w:pPr>
            <w:r>
              <w:t xml:space="preserve">MA</w:t>
            </w:r>
          </w:p>
        </w:tc>
        <w:tc>
          <w:tcPr/>
          <w:p>
            <w:pPr>
              <w:pStyle w:val="Compact"/>
              <w:jc w:val="right"/>
            </w:pPr>
            <w:r>
              <w:t xml:space="preserve">11</w:t>
            </w:r>
          </w:p>
        </w:tc>
        <w:tc>
          <w:tcPr/>
          <w:p>
            <w:pPr>
              <w:pStyle w:val="Compact"/>
              <w:jc w:val="right"/>
            </w:pPr>
            <w:r>
              <w:t xml:space="preserve">0.364</w:t>
            </w:r>
          </w:p>
        </w:tc>
        <w:tc>
          <w:tcPr/>
          <w:p>
            <w:pPr>
              <w:pStyle w:val="Compact"/>
              <w:jc w:val="right"/>
            </w:pPr>
            <w:r>
              <w:t xml:space="preserve">10.0</w:t>
            </w:r>
          </w:p>
        </w:tc>
      </w:tr>
      <w:tr>
        <w:tc>
          <w:tcPr/>
          <w:p>
            <w:pPr>
              <w:pStyle w:val="Compact"/>
              <w:jc w:val="left"/>
            </w:pPr>
            <w:r>
              <w:t xml:space="preserve">MD</w:t>
            </w:r>
          </w:p>
        </w:tc>
        <w:tc>
          <w:tcPr/>
          <w:p>
            <w:pPr>
              <w:pStyle w:val="Compact"/>
              <w:jc w:val="right"/>
            </w:pPr>
            <w:r>
              <w:t xml:space="preserve">10</w:t>
            </w:r>
          </w:p>
        </w:tc>
        <w:tc>
          <w:tcPr/>
          <w:p>
            <w:pPr>
              <w:pStyle w:val="Compact"/>
              <w:jc w:val="right"/>
            </w:pPr>
            <w:r>
              <w:t xml:space="preserve">0.500</w:t>
            </w:r>
          </w:p>
        </w:tc>
        <w:tc>
          <w:tcPr/>
          <w:p>
            <w:pPr>
              <w:pStyle w:val="Compact"/>
              <w:jc w:val="right"/>
            </w:pPr>
            <w:r>
              <w:t xml:space="preserve">9.0</w:t>
            </w:r>
          </w:p>
        </w:tc>
      </w:tr>
      <w:tr>
        <w:tc>
          <w:tcPr/>
          <w:p>
            <w:pPr>
              <w:pStyle w:val="Compact"/>
              <w:jc w:val="left"/>
            </w:pPr>
            <w:r>
              <w:t xml:space="preserve">ME</w:t>
            </w:r>
          </w:p>
        </w:tc>
        <w:tc>
          <w:tcPr/>
          <w:p>
            <w:pPr>
              <w:pStyle w:val="Compact"/>
              <w:jc w:val="right"/>
            </w:pPr>
            <w:r>
              <w:t xml:space="preserve">6</w:t>
            </w:r>
          </w:p>
        </w:tc>
        <w:tc>
          <w:tcPr/>
          <w:p>
            <w:pPr>
              <w:pStyle w:val="Compact"/>
              <w:jc w:val="right"/>
            </w:pPr>
            <w:r>
              <w:t xml:space="preserve">0.667</w:t>
            </w:r>
          </w:p>
        </w:tc>
        <w:tc>
          <w:tcPr/>
          <w:p>
            <w:pPr>
              <w:pStyle w:val="Compact"/>
              <w:jc w:val="right"/>
            </w:pPr>
            <w:r>
              <w:t xml:space="preserve">48.5</w:t>
            </w:r>
          </w:p>
        </w:tc>
      </w:tr>
      <w:tr>
        <w:tc>
          <w:tcPr/>
          <w:p>
            <w:pPr>
              <w:pStyle w:val="Compact"/>
              <w:jc w:val="left"/>
            </w:pPr>
            <w:r>
              <w:t xml:space="preserve">MI</w:t>
            </w:r>
          </w:p>
        </w:tc>
        <w:tc>
          <w:tcPr/>
          <w:p>
            <w:pPr>
              <w:pStyle w:val="Compact"/>
              <w:jc w:val="right"/>
            </w:pPr>
            <w:r>
              <w:t xml:space="preserve">14</w:t>
            </w:r>
          </w:p>
        </w:tc>
        <w:tc>
          <w:tcPr/>
          <w:p>
            <w:pPr>
              <w:pStyle w:val="Compact"/>
              <w:jc w:val="right"/>
            </w:pPr>
            <w:r>
              <w:t xml:space="preserve">0.571</w:t>
            </w:r>
          </w:p>
        </w:tc>
        <w:tc>
          <w:tcPr/>
          <w:p>
            <w:pPr>
              <w:pStyle w:val="Compact"/>
              <w:jc w:val="right"/>
            </w:pPr>
            <w:r>
              <w:t xml:space="preserve">25.0</w:t>
            </w:r>
          </w:p>
        </w:tc>
      </w:tr>
      <w:tr>
        <w:tc>
          <w:tcPr/>
          <w:p>
            <w:pPr>
              <w:pStyle w:val="Compact"/>
              <w:jc w:val="left"/>
            </w:pPr>
            <w:r>
              <w:t xml:space="preserve">MN</w:t>
            </w:r>
          </w:p>
        </w:tc>
        <w:tc>
          <w:tcPr/>
          <w:p>
            <w:pPr>
              <w:pStyle w:val="Compact"/>
              <w:jc w:val="right"/>
            </w:pPr>
            <w:r>
              <w:t xml:space="preserve">21</w:t>
            </w:r>
          </w:p>
        </w:tc>
        <w:tc>
          <w:tcPr/>
          <w:p>
            <w:pPr>
              <w:pStyle w:val="Compact"/>
              <w:jc w:val="right"/>
            </w:pPr>
            <w:r>
              <w:t xml:space="preserve">0.571</w:t>
            </w:r>
          </w:p>
        </w:tc>
        <w:tc>
          <w:tcPr/>
          <w:p>
            <w:pPr>
              <w:pStyle w:val="Compact"/>
              <w:jc w:val="right"/>
            </w:pPr>
            <w:r>
              <w:t xml:space="preserve">14.5</w:t>
            </w:r>
          </w:p>
        </w:tc>
      </w:tr>
      <w:tr>
        <w:tc>
          <w:tcPr/>
          <w:p>
            <w:pPr>
              <w:pStyle w:val="Compact"/>
              <w:jc w:val="left"/>
            </w:pPr>
            <w:r>
              <w:t xml:space="preserve">MO</w:t>
            </w:r>
          </w:p>
        </w:tc>
        <w:tc>
          <w:tcPr/>
          <w:p>
            <w:pPr>
              <w:pStyle w:val="Compact"/>
              <w:jc w:val="right"/>
            </w:pPr>
            <w:r>
              <w:t xml:space="preserve">16</w:t>
            </w:r>
          </w:p>
        </w:tc>
        <w:tc>
          <w:tcPr/>
          <w:p>
            <w:pPr>
              <w:pStyle w:val="Compact"/>
              <w:jc w:val="right"/>
            </w:pPr>
            <w:r>
              <w:t xml:space="preserve">0.500</w:t>
            </w:r>
          </w:p>
        </w:tc>
        <w:tc>
          <w:tcPr/>
          <w:p>
            <w:pPr>
              <w:pStyle w:val="Compact"/>
              <w:jc w:val="right"/>
            </w:pPr>
            <w:r>
              <w:t xml:space="preserve">14.0</w:t>
            </w:r>
          </w:p>
        </w:tc>
      </w:tr>
      <w:tr>
        <w:tc>
          <w:tcPr/>
          <w:p>
            <w:pPr>
              <w:pStyle w:val="Compact"/>
              <w:jc w:val="left"/>
            </w:pPr>
            <w:r>
              <w:t xml:space="preserve">MS</w:t>
            </w:r>
          </w:p>
        </w:tc>
        <w:tc>
          <w:tcPr/>
          <w:p>
            <w:pPr>
              <w:pStyle w:val="Compact"/>
              <w:jc w:val="right"/>
            </w:pPr>
            <w:r>
              <w:t xml:space="preserve">12</w:t>
            </w:r>
          </w:p>
        </w:tc>
        <w:tc>
          <w:tcPr/>
          <w:p>
            <w:pPr>
              <w:pStyle w:val="Compact"/>
              <w:jc w:val="right"/>
            </w:pPr>
            <w:r>
              <w:t xml:space="preserve">1.000</w:t>
            </w:r>
          </w:p>
        </w:tc>
        <w:tc>
          <w:tcPr/>
          <w:p>
            <w:pPr>
              <w:pStyle w:val="Compact"/>
              <w:jc w:val="right"/>
            </w:pPr>
            <w:r>
              <w:t xml:space="preserve">7.0</w:t>
            </w:r>
          </w:p>
        </w:tc>
      </w:tr>
      <w:tr>
        <w:tc>
          <w:tcPr/>
          <w:p>
            <w:pPr>
              <w:pStyle w:val="Compact"/>
              <w:jc w:val="left"/>
            </w:pPr>
            <w:r>
              <w:t xml:space="preserve">MT</w:t>
            </w:r>
          </w:p>
        </w:tc>
        <w:tc>
          <w:tcPr/>
          <w:p>
            <w:pPr>
              <w:pStyle w:val="Compact"/>
              <w:jc w:val="right"/>
            </w:pPr>
            <w:r>
              <w:t xml:space="preserve">5</w:t>
            </w:r>
          </w:p>
        </w:tc>
        <w:tc>
          <w:tcPr/>
          <w:p>
            <w:pPr>
              <w:pStyle w:val="Compact"/>
              <w:jc w:val="right"/>
            </w:pPr>
            <w:r>
              <w:t xml:space="preserve">0.400</w:t>
            </w:r>
          </w:p>
        </w:tc>
        <w:tc>
          <w:tcPr/>
          <w:p>
            <w:pPr>
              <w:pStyle w:val="Compact"/>
              <w:jc w:val="right"/>
            </w:pPr>
            <w:r>
              <w:t xml:space="preserve">10.5</w:t>
            </w:r>
          </w:p>
        </w:tc>
      </w:tr>
      <w:tr>
        <w:tc>
          <w:tcPr/>
          <w:p>
            <w:pPr>
              <w:pStyle w:val="Compact"/>
              <w:jc w:val="left"/>
            </w:pPr>
            <w:r>
              <w:t xml:space="preserve">NC</w:t>
            </w:r>
          </w:p>
        </w:tc>
        <w:tc>
          <w:tcPr/>
          <w:p>
            <w:pPr>
              <w:pStyle w:val="Compact"/>
              <w:jc w:val="right"/>
            </w:pPr>
            <w:r>
              <w:t xml:space="preserve">31</w:t>
            </w:r>
          </w:p>
        </w:tc>
        <w:tc>
          <w:tcPr/>
          <w:p>
            <w:pPr>
              <w:pStyle w:val="Compact"/>
              <w:jc w:val="right"/>
            </w:pPr>
            <w:r>
              <w:t xml:space="preserve">0.516</w:t>
            </w:r>
          </w:p>
        </w:tc>
        <w:tc>
          <w:tcPr/>
          <w:p>
            <w:pPr>
              <w:pStyle w:val="Compact"/>
              <w:jc w:val="right"/>
            </w:pPr>
            <w:r>
              <w:t xml:space="preserve">6.5</w:t>
            </w:r>
          </w:p>
        </w:tc>
      </w:tr>
      <w:tr>
        <w:tc>
          <w:tcPr/>
          <w:p>
            <w:pPr>
              <w:pStyle w:val="Compact"/>
              <w:jc w:val="left"/>
            </w:pPr>
            <w:r>
              <w:t xml:space="preserve">NE</w:t>
            </w:r>
          </w:p>
        </w:tc>
        <w:tc>
          <w:tcPr/>
          <w:p>
            <w:pPr>
              <w:pStyle w:val="Compact"/>
              <w:jc w:val="right"/>
            </w:pPr>
            <w:r>
              <w:t xml:space="preserve">11</w:t>
            </w:r>
          </w:p>
        </w:tc>
        <w:tc>
          <w:tcPr/>
          <w:p>
            <w:pPr>
              <w:pStyle w:val="Compact"/>
              <w:jc w:val="right"/>
            </w:pPr>
            <w:r>
              <w:t xml:space="preserve">0.545</w:t>
            </w:r>
          </w:p>
        </w:tc>
        <w:tc>
          <w:tcPr/>
          <w:p>
            <w:pPr>
              <w:pStyle w:val="Compact"/>
              <w:jc w:val="right"/>
            </w:pPr>
            <w:r>
              <w:t xml:space="preserve">12.0</w:t>
            </w:r>
          </w:p>
        </w:tc>
      </w:tr>
      <w:tr>
        <w:tc>
          <w:tcPr/>
          <w:p>
            <w:pPr>
              <w:pStyle w:val="Compact"/>
              <w:jc w:val="left"/>
            </w:pPr>
            <w:r>
              <w:t xml:space="preserve">NH</w:t>
            </w:r>
          </w:p>
        </w:tc>
        <w:tc>
          <w:tcPr/>
          <w:p>
            <w:pPr>
              <w:pStyle w:val="Compact"/>
              <w:jc w:val="right"/>
            </w:pPr>
            <w:r>
              <w:t xml:space="preserve">16</w:t>
            </w:r>
          </w:p>
        </w:tc>
        <w:tc>
          <w:tcPr/>
          <w:p>
            <w:pPr>
              <w:pStyle w:val="Compact"/>
              <w:jc w:val="right"/>
            </w:pPr>
            <w:r>
              <w:t xml:space="preserve">0.562</w:t>
            </w:r>
          </w:p>
        </w:tc>
        <w:tc>
          <w:tcPr/>
          <w:p>
            <w:pPr>
              <w:pStyle w:val="Compact"/>
              <w:jc w:val="right"/>
            </w:pPr>
            <w:r>
              <w:t xml:space="preserve">42.0</w:t>
            </w:r>
          </w:p>
        </w:tc>
      </w:tr>
      <w:tr>
        <w:tc>
          <w:tcPr/>
          <w:p>
            <w:pPr>
              <w:pStyle w:val="Compact"/>
              <w:jc w:val="left"/>
            </w:pPr>
            <w:r>
              <w:t xml:space="preserve">NJ</w:t>
            </w:r>
          </w:p>
        </w:tc>
        <w:tc>
          <w:tcPr/>
          <w:p>
            <w:pPr>
              <w:pStyle w:val="Compact"/>
              <w:jc w:val="right"/>
            </w:pPr>
            <w:r>
              <w:t xml:space="preserve">9</w:t>
            </w:r>
          </w:p>
        </w:tc>
        <w:tc>
          <w:tcPr/>
          <w:p>
            <w:pPr>
              <w:pStyle w:val="Compact"/>
              <w:jc w:val="right"/>
            </w:pPr>
            <w:r>
              <w:t xml:space="preserve">0.667</w:t>
            </w:r>
          </w:p>
        </w:tc>
        <w:tc>
          <w:tcPr/>
          <w:p>
            <w:pPr>
              <w:pStyle w:val="Compact"/>
              <w:jc w:val="right"/>
            </w:pPr>
            <w:r>
              <w:t xml:space="preserve">5.5</w:t>
            </w:r>
          </w:p>
        </w:tc>
      </w:tr>
      <w:tr>
        <w:tc>
          <w:tcPr/>
          <w:p>
            <w:pPr>
              <w:pStyle w:val="Compact"/>
              <w:jc w:val="left"/>
            </w:pPr>
            <w:r>
              <w:t xml:space="preserve">NM</w:t>
            </w:r>
          </w:p>
        </w:tc>
        <w:tc>
          <w:tcPr/>
          <w:p>
            <w:pPr>
              <w:pStyle w:val="Compact"/>
              <w:jc w:val="right"/>
            </w:pPr>
            <w:r>
              <w:t xml:space="preserve">5</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NV</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58.0</w:t>
            </w:r>
          </w:p>
        </w:tc>
      </w:tr>
      <w:tr>
        <w:tc>
          <w:tcPr/>
          <w:p>
            <w:pPr>
              <w:pStyle w:val="Compact"/>
              <w:jc w:val="left"/>
            </w:pPr>
            <w:r>
              <w:t xml:space="preserve">NY</w:t>
            </w:r>
          </w:p>
        </w:tc>
        <w:tc>
          <w:tcPr/>
          <w:p>
            <w:pPr>
              <w:pStyle w:val="Compact"/>
              <w:jc w:val="right"/>
            </w:pPr>
            <w:r>
              <w:t xml:space="preserve">45</w:t>
            </w:r>
          </w:p>
        </w:tc>
        <w:tc>
          <w:tcPr/>
          <w:p>
            <w:pPr>
              <w:pStyle w:val="Compact"/>
              <w:jc w:val="right"/>
            </w:pPr>
            <w:r>
              <w:t xml:space="preserve">0.533</w:t>
            </w:r>
          </w:p>
        </w:tc>
        <w:tc>
          <w:tcPr/>
          <w:p>
            <w:pPr>
              <w:pStyle w:val="Compact"/>
              <w:jc w:val="right"/>
            </w:pPr>
            <w:r>
              <w:t xml:space="preserve">13.5</w:t>
            </w:r>
          </w:p>
        </w:tc>
      </w:tr>
      <w:tr>
        <w:tc>
          <w:tcPr/>
          <w:p>
            <w:pPr>
              <w:pStyle w:val="Compact"/>
              <w:jc w:val="left"/>
            </w:pPr>
            <w:r>
              <w:t xml:space="preserve">OH</w:t>
            </w:r>
          </w:p>
        </w:tc>
        <w:tc>
          <w:tcPr/>
          <w:p>
            <w:pPr>
              <w:pStyle w:val="Compact"/>
              <w:jc w:val="right"/>
            </w:pPr>
            <w:r>
              <w:t xml:space="preserve">36</w:t>
            </w:r>
          </w:p>
        </w:tc>
        <w:tc>
          <w:tcPr/>
          <w:p>
            <w:pPr>
              <w:pStyle w:val="Compact"/>
              <w:jc w:val="right"/>
            </w:pPr>
            <w:r>
              <w:t xml:space="preserve">0.556</w:t>
            </w:r>
          </w:p>
        </w:tc>
        <w:tc>
          <w:tcPr/>
          <w:p>
            <w:pPr>
              <w:pStyle w:val="Compact"/>
              <w:jc w:val="right"/>
            </w:pPr>
            <w:r>
              <w:t xml:space="preserve">10.0</w:t>
            </w:r>
          </w:p>
        </w:tc>
      </w:tr>
      <w:tr>
        <w:tc>
          <w:tcPr/>
          <w:p>
            <w:pPr>
              <w:pStyle w:val="Compact"/>
              <w:jc w:val="left"/>
            </w:pPr>
            <w:r>
              <w:t xml:space="preserve">OK</w:t>
            </w:r>
          </w:p>
        </w:tc>
        <w:tc>
          <w:tcPr/>
          <w:p>
            <w:pPr>
              <w:pStyle w:val="Compact"/>
              <w:jc w:val="right"/>
            </w:pPr>
            <w:r>
              <w:t xml:space="preserve">6</w:t>
            </w:r>
          </w:p>
        </w:tc>
        <w:tc>
          <w:tcPr/>
          <w:p>
            <w:pPr>
              <w:pStyle w:val="Compact"/>
              <w:jc w:val="right"/>
            </w:pPr>
            <w:r>
              <w:t xml:space="preserve">0.667</w:t>
            </w:r>
          </w:p>
        </w:tc>
        <w:tc>
          <w:tcPr/>
          <w:p>
            <w:pPr>
              <w:pStyle w:val="Compact"/>
              <w:jc w:val="right"/>
            </w:pPr>
            <w:r>
              <w:t xml:space="preserve">32.5</w:t>
            </w:r>
          </w:p>
        </w:tc>
      </w:tr>
      <w:tr>
        <w:tc>
          <w:tcPr/>
          <w:p>
            <w:pPr>
              <w:pStyle w:val="Compact"/>
              <w:jc w:val="left"/>
            </w:pPr>
            <w:r>
              <w:t xml:space="preserve">OR</w:t>
            </w:r>
          </w:p>
        </w:tc>
        <w:tc>
          <w:tcPr/>
          <w:p>
            <w:pPr>
              <w:pStyle w:val="Compact"/>
              <w:jc w:val="right"/>
            </w:pPr>
            <w:r>
              <w:t xml:space="preserve">13</w:t>
            </w:r>
          </w:p>
        </w:tc>
        <w:tc>
          <w:tcPr/>
          <w:p>
            <w:pPr>
              <w:pStyle w:val="Compact"/>
              <w:jc w:val="right"/>
            </w:pPr>
            <w:r>
              <w:t xml:space="preserve">0.538</w:t>
            </w:r>
          </w:p>
        </w:tc>
        <w:tc>
          <w:tcPr/>
          <w:p>
            <w:pPr>
              <w:pStyle w:val="Compact"/>
              <w:jc w:val="right"/>
            </w:pPr>
            <w:r>
              <w:t xml:space="preserve">14.0</w:t>
            </w:r>
          </w:p>
        </w:tc>
      </w:tr>
      <w:tr>
        <w:tc>
          <w:tcPr/>
          <w:p>
            <w:pPr>
              <w:pStyle w:val="Compact"/>
              <w:jc w:val="left"/>
            </w:pPr>
            <w:r>
              <w:t xml:space="preserve">PA</w:t>
            </w:r>
          </w:p>
        </w:tc>
        <w:tc>
          <w:tcPr/>
          <w:p>
            <w:pPr>
              <w:pStyle w:val="Compact"/>
              <w:jc w:val="right"/>
            </w:pPr>
            <w:r>
              <w:t xml:space="preserve">37</w:t>
            </w:r>
          </w:p>
        </w:tc>
        <w:tc>
          <w:tcPr/>
          <w:p>
            <w:pPr>
              <w:pStyle w:val="Compact"/>
              <w:jc w:val="right"/>
            </w:pPr>
            <w:r>
              <w:t xml:space="preserve">0.378</w:t>
            </w:r>
          </w:p>
        </w:tc>
        <w:tc>
          <w:tcPr/>
          <w:p>
            <w:pPr>
              <w:pStyle w:val="Compact"/>
              <w:jc w:val="right"/>
            </w:pPr>
            <w:r>
              <w:t xml:space="preserve">23.5</w:t>
            </w:r>
          </w:p>
        </w:tc>
      </w:tr>
      <w:tr>
        <w:tc>
          <w:tcPr/>
          <w:p>
            <w:pPr>
              <w:pStyle w:val="Compact"/>
              <w:jc w:val="left"/>
            </w:pPr>
            <w:r>
              <w:t xml:space="preserve">RI</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26.0</w:t>
            </w:r>
          </w:p>
        </w:tc>
      </w:tr>
      <w:tr>
        <w:tc>
          <w:tcPr/>
          <w:p>
            <w:pPr>
              <w:pStyle w:val="Compact"/>
              <w:jc w:val="left"/>
            </w:pPr>
            <w:r>
              <w:t xml:space="preserve">SC</w:t>
            </w:r>
          </w:p>
        </w:tc>
        <w:tc>
          <w:tcPr/>
          <w:p>
            <w:pPr>
              <w:pStyle w:val="Compact"/>
              <w:jc w:val="right"/>
            </w:pPr>
            <w:r>
              <w:t xml:space="preserve">13</w:t>
            </w:r>
          </w:p>
        </w:tc>
        <w:tc>
          <w:tcPr/>
          <w:p>
            <w:pPr>
              <w:pStyle w:val="Compact"/>
              <w:jc w:val="right"/>
            </w:pPr>
            <w:r>
              <w:t xml:space="preserve">0.769</w:t>
            </w:r>
          </w:p>
        </w:tc>
        <w:tc>
          <w:tcPr/>
          <w:p>
            <w:pPr>
              <w:pStyle w:val="Compact"/>
              <w:jc w:val="right"/>
            </w:pPr>
            <w:r>
              <w:t xml:space="preserve">3.5</w:t>
            </w:r>
          </w:p>
        </w:tc>
      </w:tr>
      <w:tr>
        <w:tc>
          <w:tcPr/>
          <w:p>
            <w:pPr>
              <w:pStyle w:val="Compact"/>
              <w:jc w:val="left"/>
            </w:pPr>
            <w:r>
              <w:t xml:space="preserve">SD</w:t>
            </w:r>
          </w:p>
        </w:tc>
        <w:tc>
          <w:tcPr/>
          <w:p>
            <w:pPr>
              <w:pStyle w:val="Compact"/>
              <w:jc w:val="right"/>
            </w:pPr>
            <w:r>
              <w:t xml:space="preserve">2</w:t>
            </w:r>
          </w:p>
        </w:tc>
        <w:tc>
          <w:tcPr/>
          <w:p>
            <w:pPr>
              <w:pStyle w:val="Compact"/>
              <w:jc w:val="right"/>
            </w:pPr>
            <w:r>
              <w:t xml:space="preserve">1.000</w:t>
            </w:r>
          </w:p>
        </w:tc>
        <w:tc>
          <w:tcPr/>
          <w:p>
            <w:pPr>
              <w:pStyle w:val="Compact"/>
              <w:jc w:val="right"/>
            </w:pPr>
            <w:r>
              <w:t xml:space="preserve">10.5</w:t>
            </w:r>
          </w:p>
        </w:tc>
      </w:tr>
      <w:tr>
        <w:tc>
          <w:tcPr/>
          <w:p>
            <w:pPr>
              <w:pStyle w:val="Compact"/>
              <w:jc w:val="left"/>
            </w:pPr>
            <w:r>
              <w:t xml:space="preserve">TN</w:t>
            </w:r>
          </w:p>
        </w:tc>
        <w:tc>
          <w:tcPr/>
          <w:p>
            <w:pPr>
              <w:pStyle w:val="Compact"/>
              <w:jc w:val="right"/>
            </w:pPr>
            <w:r>
              <w:t xml:space="preserve">12</w:t>
            </w:r>
          </w:p>
        </w:tc>
        <w:tc>
          <w:tcPr/>
          <w:p>
            <w:pPr>
              <w:pStyle w:val="Compact"/>
              <w:jc w:val="right"/>
            </w:pPr>
            <w:r>
              <w:t xml:space="preserve">0.500</w:t>
            </w:r>
          </w:p>
        </w:tc>
        <w:tc>
          <w:tcPr/>
          <w:p>
            <w:pPr>
              <w:pStyle w:val="Compact"/>
              <w:jc w:val="right"/>
            </w:pPr>
            <w:r>
              <w:t xml:space="preserve">6.0</w:t>
            </w:r>
          </w:p>
        </w:tc>
      </w:tr>
      <w:tr>
        <w:tc>
          <w:tcPr/>
          <w:p>
            <w:pPr>
              <w:pStyle w:val="Compact"/>
              <w:jc w:val="left"/>
            </w:pPr>
            <w:r>
              <w:t xml:space="preserve">TX</w:t>
            </w:r>
          </w:p>
        </w:tc>
        <w:tc>
          <w:tcPr/>
          <w:p>
            <w:pPr>
              <w:pStyle w:val="Compact"/>
              <w:jc w:val="right"/>
            </w:pPr>
            <w:r>
              <w:t xml:space="preserve">58</w:t>
            </w:r>
          </w:p>
        </w:tc>
        <w:tc>
          <w:tcPr/>
          <w:p>
            <w:pPr>
              <w:pStyle w:val="Compact"/>
              <w:jc w:val="right"/>
            </w:pPr>
            <w:r>
              <w:t xml:space="preserve">0.759</w:t>
            </w:r>
          </w:p>
        </w:tc>
        <w:tc>
          <w:tcPr/>
          <w:p>
            <w:pPr>
              <w:pStyle w:val="Compact"/>
              <w:jc w:val="right"/>
            </w:pPr>
            <w:r>
              <w:t xml:space="preserve">17.0</w:t>
            </w:r>
          </w:p>
        </w:tc>
      </w:tr>
      <w:tr>
        <w:tc>
          <w:tcPr/>
          <w:p>
            <w:pPr>
              <w:pStyle w:val="Compact"/>
              <w:jc w:val="left"/>
            </w:pPr>
            <w:r>
              <w:t xml:space="preserve">UT</w:t>
            </w:r>
          </w:p>
        </w:tc>
        <w:tc>
          <w:tcPr/>
          <w:p>
            <w:pPr>
              <w:pStyle w:val="Compact"/>
              <w:jc w:val="right"/>
            </w:pPr>
            <w:r>
              <w:t xml:space="preserve">9</w:t>
            </w:r>
          </w:p>
        </w:tc>
        <w:tc>
          <w:tcPr/>
          <w:p>
            <w:pPr>
              <w:pStyle w:val="Compact"/>
              <w:jc w:val="right"/>
            </w:pPr>
            <w:r>
              <w:t xml:space="preserve">0.778</w:t>
            </w:r>
          </w:p>
        </w:tc>
        <w:tc>
          <w:tcPr/>
          <w:p>
            <w:pPr>
              <w:pStyle w:val="Compact"/>
              <w:jc w:val="right"/>
            </w:pPr>
            <w:r>
              <w:t xml:space="preserve">13.0</w:t>
            </w:r>
          </w:p>
        </w:tc>
      </w:tr>
      <w:tr>
        <w:tc>
          <w:tcPr/>
          <w:p>
            <w:pPr>
              <w:pStyle w:val="Compact"/>
              <w:jc w:val="left"/>
            </w:pPr>
            <w:r>
              <w:t xml:space="preserve">VA</w:t>
            </w:r>
          </w:p>
        </w:tc>
        <w:tc>
          <w:tcPr/>
          <w:p>
            <w:pPr>
              <w:pStyle w:val="Compact"/>
              <w:jc w:val="right"/>
            </w:pPr>
            <w:r>
              <w:t xml:space="preserve">16</w:t>
            </w:r>
          </w:p>
        </w:tc>
        <w:tc>
          <w:tcPr/>
          <w:p>
            <w:pPr>
              <w:pStyle w:val="Compact"/>
              <w:jc w:val="right"/>
            </w:pPr>
            <w:r>
              <w:t xml:space="preserve">0.812</w:t>
            </w:r>
          </w:p>
        </w:tc>
        <w:tc>
          <w:tcPr/>
          <w:p>
            <w:pPr>
              <w:pStyle w:val="Compact"/>
              <w:jc w:val="right"/>
            </w:pPr>
            <w:r>
              <w:t xml:space="preserve">33.0</w:t>
            </w:r>
          </w:p>
        </w:tc>
      </w:tr>
      <w:tr>
        <w:tc>
          <w:tcPr/>
          <w:p>
            <w:pPr>
              <w:pStyle w:val="Compact"/>
              <w:jc w:val="left"/>
            </w:pPr>
            <w:r>
              <w:t xml:space="preserve">VT</w:t>
            </w:r>
          </w:p>
        </w:tc>
        <w:tc>
          <w:tcPr/>
          <w:p>
            <w:pPr>
              <w:pStyle w:val="Compact"/>
              <w:jc w:val="right"/>
            </w:pPr>
            <w:r>
              <w:t xml:space="preserve">7</w:t>
            </w:r>
          </w:p>
        </w:tc>
        <w:tc>
          <w:tcPr/>
          <w:p>
            <w:pPr>
              <w:pStyle w:val="Compact"/>
              <w:jc w:val="right"/>
            </w:pPr>
            <w:r>
              <w:t xml:space="preserve">0.571</w:t>
            </w:r>
          </w:p>
        </w:tc>
        <w:tc>
          <w:tcPr/>
          <w:p>
            <w:pPr>
              <w:pStyle w:val="Compact"/>
              <w:jc w:val="right"/>
            </w:pPr>
            <w:r>
              <w:t xml:space="preserve">63.0</w:t>
            </w:r>
          </w:p>
        </w:tc>
      </w:tr>
      <w:tr>
        <w:tc>
          <w:tcPr/>
          <w:p>
            <w:pPr>
              <w:pStyle w:val="Compact"/>
              <w:jc w:val="left"/>
            </w:pPr>
            <w:r>
              <w:t xml:space="preserve">WA</w:t>
            </w:r>
          </w:p>
        </w:tc>
        <w:tc>
          <w:tcPr/>
          <w:p>
            <w:pPr>
              <w:pStyle w:val="Compact"/>
              <w:jc w:val="right"/>
            </w:pPr>
            <w:r>
              <w:t xml:space="preserve">13</w:t>
            </w:r>
          </w:p>
        </w:tc>
        <w:tc>
          <w:tcPr/>
          <w:p>
            <w:pPr>
              <w:pStyle w:val="Compact"/>
              <w:jc w:val="right"/>
            </w:pPr>
            <w:r>
              <w:t xml:space="preserve">0.385</w:t>
            </w:r>
          </w:p>
        </w:tc>
        <w:tc>
          <w:tcPr/>
          <w:p>
            <w:pPr>
              <w:pStyle w:val="Compact"/>
              <w:jc w:val="right"/>
            </w:pPr>
            <w:r>
              <w:t xml:space="preserve">21.0</w:t>
            </w:r>
          </w:p>
        </w:tc>
      </w:tr>
      <w:tr>
        <w:tc>
          <w:tcPr/>
          <w:p>
            <w:pPr>
              <w:pStyle w:val="Compact"/>
              <w:jc w:val="left"/>
            </w:pPr>
            <w:r>
              <w:t xml:space="preserve">WI</w:t>
            </w:r>
          </w:p>
        </w:tc>
        <w:tc>
          <w:tcPr/>
          <w:p>
            <w:pPr>
              <w:pStyle w:val="Compact"/>
              <w:jc w:val="right"/>
            </w:pPr>
            <w:r>
              <w:t xml:space="preserve">21</w:t>
            </w:r>
          </w:p>
        </w:tc>
        <w:tc>
          <w:tcPr/>
          <w:p>
            <w:pPr>
              <w:pStyle w:val="Compact"/>
              <w:jc w:val="right"/>
            </w:pPr>
            <w:r>
              <w:t xml:space="preserve">0.762</w:t>
            </w:r>
          </w:p>
        </w:tc>
        <w:tc>
          <w:tcPr/>
          <w:p>
            <w:pPr>
              <w:pStyle w:val="Compact"/>
              <w:jc w:val="right"/>
            </w:pPr>
            <w:r>
              <w:t xml:space="preserve">19.5</w:t>
            </w:r>
          </w:p>
        </w:tc>
      </w:tr>
      <w:tr>
        <w:tc>
          <w:tcPr/>
          <w:p>
            <w:pPr>
              <w:pStyle w:val="Compact"/>
              <w:jc w:val="left"/>
            </w:pPr>
            <w:r>
              <w:t xml:space="preserve">WV</w:t>
            </w:r>
          </w:p>
        </w:tc>
        <w:tc>
          <w:tcPr/>
          <w:p>
            <w:pPr>
              <w:pStyle w:val="Compact"/>
              <w:jc w:val="right"/>
            </w:pPr>
            <w:r>
              <w:t xml:space="preserve">3</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WY</w:t>
            </w:r>
          </w:p>
        </w:tc>
        <w:tc>
          <w:tcPr/>
          <w:p>
            <w:pPr>
              <w:pStyle w:val="Compact"/>
              <w:jc w:val="right"/>
            </w:pPr>
            <w:r>
              <w:t xml:space="preserve">6</w:t>
            </w:r>
          </w:p>
        </w:tc>
        <w:tc>
          <w:tcPr/>
          <w:p>
            <w:pPr>
              <w:pStyle w:val="Compact"/>
              <w:jc w:val="right"/>
            </w:pPr>
            <w:r>
              <w:t xml:space="preserve">0.667</w:t>
            </w:r>
          </w:p>
        </w:tc>
        <w:tc>
          <w:tcPr/>
          <w:p>
            <w:pPr>
              <w:pStyle w:val="Compact"/>
              <w:jc w:val="right"/>
            </w:pPr>
            <w:r>
              <w:t xml:space="preserve">13.0</w:t>
            </w:r>
          </w:p>
        </w:tc>
      </w:tr>
    </w:tbl>
    <w:p>
      <w:pPr>
        <w:sectPr>
          <w:pgSz w:w="15840" w:h="12240" w:orient="landscape"/>
          <w:pgMar w:top="1440" w:bottom="1440" w:left="1440" w:right="1440" w:header="720" w:footer="720" w:gutter="0"/>
        </w:sectPr>
      </w:pPr>
    </w:p>
    <w:bookmarkEnd w:id="46"/>
    <w:bookmarkStart w:id="68" w:name="supplementary-figures"/>
    <w:p>
      <w:pPr>
        <w:pStyle w:val="Heading2"/>
      </w:pPr>
      <w:r>
        <w:t xml:space="preserve">Supplementary Figures</w:t>
      </w:r>
    </w:p>
    <w:p>
      <w:pPr>
        <w:pStyle w:val="FirstParagraph"/>
      </w:pPr>
      <w:r>
        <w:rPr>
          <w:b/>
          <w:bCs/>
        </w:rPr>
        <w:t xml:space="preserve">Figure S1. Empirical cumulative probability of securing an appointment, by subspecialty. This is the cumulative proportion of all calls in each subspecialty that had obtained an appointment by business-day t, with no-offer calls retained as never obtaining one (so each curve plateaus at the subspecialty’s offer rate). It is not a time-to-event/Kaplan–Meier analysis and carries no censoring assumption or log-rank test, because each physician was called once.</w:t>
      </w:r>
    </w:p>
    <w:p>
      <w:pPr>
        <w:pStyle w:val="BodyText"/>
      </w:pPr>
      <w:r>
        <w:drawing>
          <wp:inline>
            <wp:extent cx="5334000" cy="3556000"/>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55600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514164"/>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514164"/>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S5. Appointment offer rate by state. Rates are unweighted and unstable in low-sample states; states with fewer than 5 calls are suppressed (shown as no data). Per-state denominators are in Table S16.</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S6. New-patient access measures across the call pathway.</w:t>
      </w:r>
    </w:p>
    <w:p>
      <w:pPr>
        <w:pStyle w:val="BodyText"/>
      </w:pPr>
      <w:r>
        <w:drawing>
          <wp:inline>
            <wp:extent cx="5334000" cy="2418906"/>
            <wp:effectExtent b="0" l="0" r="0" t="0"/>
            <wp:docPr descr="" title="" id="66" name="Picture"/>
            <a:graphic>
              <a:graphicData uri="http://schemas.openxmlformats.org/drawingml/2006/picture">
                <pic:pic>
                  <pic:nvPicPr>
                    <pic:cNvPr descr="model_output/supp/figS6_access_cascade.png" id="67" name="Picture"/>
                    <pic:cNvPicPr>
                      <a:picLocks noChangeArrowheads="1" noChangeAspect="1"/>
                    </pic:cNvPicPr>
                  </pic:nvPicPr>
                  <pic:blipFill>
                    <a:blip r:embed="rId65"/>
                    <a:stretch>
                      <a:fillRect/>
                    </a:stretch>
                  </pic:blipFill>
                  <pic:spPr bwMode="auto">
                    <a:xfrm>
                      <a:off x="0" y="0"/>
                      <a:ext cx="5334000" cy="2418906"/>
                    </a:xfrm>
                    <a:prstGeom prst="rect">
                      <a:avLst/>
                    </a:prstGeom>
                    <a:noFill/>
                    <a:ln w="9525">
                      <a:noFill/>
                      <a:headEnd/>
                      <a:tailEnd/>
                    </a:ln>
                  </pic:spPr>
                </pic:pic>
              </a:graphicData>
            </a:graphic>
          </wp:inline>
        </w:drawing>
      </w:r>
    </w:p>
    <w:p>
      <w:pPr>
        <w:pStyle w:val="BodyText"/>
      </w:pPr>
      <w:r>
        <w:rPr>
          <w:i/>
          <w:iCs/>
        </w:rPr>
        <w:t xml:space="preserve">A completed STROBE checklist and full legends for all supplementary items are provided as separate supplementary files.</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 </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 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Correlates of New-Patient Appointment Access and Wait Times in Otolaryngology: A National Mystery-Caller Study</dc:title>
  <dc:creator>Grace E. Falk; Eric J. Dobratz, MD; [RA co-authors, full names &amp; degrees to confirm: Chin, Deol, Gregg, Kim, Roesch, Walsh]; Tyler M. Muffly, MD; Cristina Cabrera-Muffly, MD</dc:creator>
  <cp:keywords/>
  <dcterms:created xsi:type="dcterms:W3CDTF">2026-07-18T22:57:09Z</dcterms:created>
  <dcterms:modified xsi:type="dcterms:W3CDTF">2026-07-18T22:57:09Z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