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Correlates of New-Patient Appointment Access and Wait Times in Otolaryngology: A National Mystery-Caller Study</w:t>
      </w:r>
    </w:p>
    <w:p>
      <w:pPr>
        <w:pStyle w:val="Author"/>
      </w:pPr>
      <w:r>
        <w:t xml:space="preserve">Grace E. Falk; Eric J. Dobratz, MD; [RA co-authors, full names &amp; degrees to confirm: Chin, Deol, Gregg, Kim, Roesch, Walsh]; Tyler M. Muffly, MD; Cristina Cabrera-Muffly,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characterize subspecialty- and geography-related differences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whether any new-patient appointment was</w:t>
      </w:r>
      <w:r>
        <w:t xml:space="preserve"> </w:t>
      </w:r>
      <w:r>
        <w:rPr>
          <w:i/>
          <w:iCs/>
        </w:rPr>
        <w:t xml:space="preserve">offered</w:t>
      </w:r>
      <w:r>
        <w:t xml:space="preserve"> </w:t>
      </w:r>
      <w:r>
        <w:t xml:space="preserve">(mixed-effects logistic regression) and the</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 Subspecialty was assessed with a joint (multi–degree-of-freedom) test rather than reference-category contrasts alone.</w:t>
      </w:r>
    </w:p>
    <w:p>
      <w:pPr>
        <w:pStyle w:val="BodyText"/>
      </w:pPr>
      <w:r>
        <w:rPr>
          <w:b/>
          <w:bCs/>
        </w:rPr>
        <w:t xml:space="preserve">Results.</w:t>
      </w:r>
      <w:r>
        <w:t xml:space="preserve"> </w:t>
      </w:r>
      <w:r>
        <w:t xml:space="preserve">Of 960 calls, 731 complete calls with a known subspecialty were analyzed; a new-patient appointment was offered in 436 (59.6%), but only 370 (50.6%) were with the specific physician requested, with a median wait of 14 business days (IQR 5–30). Requested subspecialty was</w:t>
      </w:r>
      <w:r>
        <w:t xml:space="preserve"> </w:t>
      </w:r>
      <w:r>
        <w:rPr>
          <w:b/>
          <w:bCs/>
        </w:rPr>
        <w:t xml:space="preserve">not</w:t>
      </w:r>
      <w:r>
        <w:t xml:space="preserve"> </w:t>
      </w:r>
      <w:r>
        <w:t xml:space="preserve">jointly associated with either outcome (offer, χ² = 12.2, df = 20, p = 0.09; wait, χ² = 12.6, df = 21, p = 0.08). The only nominally significant contrast, higher odds of an offer for pediatric otolaryngology versus general otolaryngology (OR 2.29 (95% CI 1.09–4.80; p = 0.028)), did not persist under the stricter with-the-requested-physician outcome or leave-one-caller-out sensitivity. Waits were descriptively longest for laryngology (IRR 2.24 (95% CI 1.13–4.41; p = 0.020)) and pediatric otolaryngology (IRR 1.62 (95% CI 1.11–2.38; p = 0.013)). No geographic covariate, supply, Medicaid fee level, social vulnerability, dual-eligibility, or rurality, was associated with either outcome. The largest and most consistent differences in obtaining an offer were between the trained callers themselves (adjusted OR 1.9 to 2.4 across callers), underscoring the influence of encounter-level implementation.</w:t>
      </w:r>
    </w:p>
    <w:p>
      <w:pPr>
        <w:pStyle w:val="BodyText"/>
      </w:pPr>
      <w:r>
        <w:rPr>
          <w:b/>
          <w:bCs/>
        </w:rPr>
        <w:t xml:space="preserve">Conclusions.</w:t>
      </w:r>
      <w:r>
        <w:t xml:space="preserve"> </w:t>
      </w:r>
      <w:r>
        <w:t xml:space="preserve">The clearest finding was attrition along the access pathway: only about half of calls to board-certified otolaryngologists yielded an appointment with the physician sought. Differences by subspecialty and geography were small and not statistically robust. Getting an appointment and being seen promptly are distinct dimensions, and both appeared to depend as much on how the request was handled as on where the patient lived.</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 Eric J. Dobratz, Department of Otolaryngology–Head and Neck Surgery, Eastern Virginia Medical School at Old Dominion University, Norfolk, VA.</w:t>
      </w:r>
      <w:r>
        <w:t xml:space="preserve"> </w:t>
      </w:r>
      <w:r>
        <w:rPr>
          <w:i/>
          <w:iCs/>
        </w:rPr>
        <w:t xml:space="preserve">[Research-assistant co-authors, affiliations to confirm.]</w:t>
      </w:r>
      <w:r>
        <w:t xml:space="preserve"> </w:t>
      </w:r>
      <w:r>
        <w:t xml:space="preserve">Tyler M. Muffly, Denver Health and Hospital Authority, Denver, CO; Department of Obstetrics and Gynecology, University of Colorado School of Medicine, Aurora, CO. Cristina Cabrera-Muffly, Department of Otolaryngology–Head and Neck Surgery, University of Colorado School of Medicine, Aurora, CO.</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 from chronic rhinosinusitis and otitis media to airway disorders and head-and-neck malignancy, 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 whether a new-patient appointment is offered at all, and</w:t>
      </w:r>
      <w:r>
        <w:t xml:space="preserve"> </w:t>
      </w:r>
      <w:r>
        <w:rPr>
          <w:i/>
          <w:iCs/>
        </w:rPr>
        <w:t xml:space="preserve">timeliness</w:t>
      </w:r>
      <w:r>
        <w:t xml:space="preserve">, 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correlates of new-patient access remain incompletely characterized. Two classes of factor are plausible: the</w:t>
      </w:r>
      <w:r>
        <w:t xml:space="preserve"> </w:t>
      </w:r>
      <w:r>
        <w:rPr>
          <w:i/>
          <w:iCs/>
        </w:rPr>
        <w:t xml:space="preserve">clinical</w:t>
      </w:r>
      <w:r>
        <w:t xml:space="preserve"> </w:t>
      </w:r>
      <w:r>
        <w:t xml:space="preserve">nature of the request, the requested subspecialty (general otolaryngology versus pediatric otolaryngology, laryngology, head-and-neck oncology, and others), and the</w:t>
      </w:r>
      <w:r>
        <w:t xml:space="preserve"> </w:t>
      </w:r>
      <w:r>
        <w:rPr>
          <w:i/>
          <w:iCs/>
        </w:rPr>
        <w:t xml:space="preserve">contextual</w:t>
      </w:r>
      <w:r>
        <w:t xml:space="preserve"> </w:t>
      </w:r>
      <w:r>
        <w:t xml:space="preserve">environment of the practice, local physician supply, the state Medicaid fee level, community social vulnerability, the share of dual-eligible beneficiaries, and rurality</w:t>
      </w:r>
      <w:hyperlink w:anchor="ref-vickery2016">
        <w:r>
          <w:rPr>
            <w:rStyle w:val="Hyperlink"/>
            <w:vertAlign w:val="superscript"/>
          </w:rPr>
          <w:t xml:space="preserve">3</w:t>
        </w:r>
      </w:hyperlink>
      <w:r>
        <w:t xml:space="preserve">. Because each subspecialty was approached with its own clinically appropriate vignette, the requested subspecialty and the clinical scenario are inseparable in this design; we therefore treat subspecialty as a combined</w:t>
      </w:r>
      <w:r>
        <w:t xml:space="preserve"> </w:t>
      </w:r>
      <w:r>
        <w:t xml:space="preserve">“who is asked, for what”</w:t>
      </w:r>
      <w:r>
        <w:t xml:space="preserve"> </w:t>
      </w:r>
      <w:r>
        <w:t xml:space="preserve">exposure rather than a property of the physician alone.</w:t>
      </w:r>
    </w:p>
    <w:p>
      <w:pPr>
        <w:pStyle w:val="BodyText"/>
      </w:pPr>
      <w:r>
        <w:t xml:space="preserve">We conducted a national mystery-caller study of board-certified otolaryngologists to characterize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 Script selection followed the physician’s fellowship training (subspecialty-specific script if fellowship-trained, otherwise the general otolaryngology script), and callers verified board certification and coded practice rurality before each call; the full pre-call procedure and the verbatim subspecialty scripts are provided in the Supplementary Appendix (</w:t>
      </w:r>
      <w:r>
        <w:rPr>
          <w:b/>
          <w:bCs/>
        </w:rPr>
        <w:t xml:space="preserve">Table S9</w:t>
      </w:r>
      <w:r>
        <w:t xml:space="preserve">).</w:t>
      </w:r>
      <w:r>
        <w:t xml:space="preserve"> </w:t>
      </w:r>
      <w:r>
        <w:rPr>
          <w:i/>
          <w:iCs/>
        </w:rPr>
        <w:t xml:space="preserve">[To confirm from the protocol: the number and timing of call attempts before a physician was recorded as unreachable,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 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 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 for example, surveys of offices aware of being observed, 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primary</w:t>
      </w:r>
      <w:r>
        <w:t xml:space="preserve"> </w:t>
      </w:r>
      <w:r>
        <w:rPr>
          <w:i/>
          <w:iCs/>
        </w:rPr>
        <w:t xml:space="preserve">access</w:t>
      </w:r>
      <w:r>
        <w:t xml:space="preserve"> </w:t>
      </w:r>
      <w:r>
        <w:t xml:space="preserve">outcome was whether the office offered any new-patient appointment (binary), counting an appointment with the sampled physician, with another physician in the same practice, or with an advanced practice provider; a call was coded as no offer when no appointment was booked, including cases in which the sampled physician had retired, left, or was not accepting new patients and no alternative appointment was made. Because</w:t>
      </w:r>
      <w:r>
        <w:t xml:space="preserve"> </w:t>
      </w:r>
      <w:r>
        <w:t xml:space="preserve">“getting in the door”</w:t>
      </w:r>
      <w:r>
        <w:t xml:space="preserve"> </w:t>
      </w:r>
      <w:r>
        <w:t xml:space="preserve">and</w:t>
      </w:r>
      <w:r>
        <w:t xml:space="preserve"> </w:t>
      </w:r>
      <w:r>
        <w:t xml:space="preserve">“seeing the specific specialist sought”</w:t>
      </w:r>
      <w:r>
        <w:t xml:space="preserve"> </w:t>
      </w:r>
      <w:r>
        <w:t xml:space="preserve">are not the same, we also analyzed a stricter secondary outcome, an appointment specifically with the sampled physician, and report both (</w:t>
      </w:r>
      <w:r>
        <w:rPr>
          <w:b/>
          <w:bCs/>
        </w:rPr>
        <w:t xml:space="preserve">Table S13</w:t>
      </w:r>
      <w:r>
        <w:t xml:space="preserve">). The</w:t>
      </w:r>
      <w:r>
        <w:t xml:space="preserve"> </w:t>
      </w:r>
      <w:r>
        <w:rPr>
          <w:i/>
          <w:iCs/>
        </w:rPr>
        <w:t xml:space="preserve">timeliness</w:t>
      </w:r>
      <w:r>
        <w:t xml:space="preserve"> </w:t>
      </w:r>
      <w:r>
        <w:t xml:space="preserve">outcome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 Of the appointment offers, a small number lacked a recorded next-available date; these contribute to the access analysis but not the timeliness analysis, which is noted where the analytic denominators are reported.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effect. Continuous covariates were standardized and, for the few missing values (&lt;3%), median-imputed.</w:t>
      </w:r>
    </w:p>
    <w:p>
      <w:pPr>
        <w:pStyle w:val="BodyText"/>
      </w:pPr>
      <w:r>
        <w:t xml:space="preserve">Because subspecialty is a multi-level factor, its overall contribution was assessed with a joint (multi–degree-of-freedom) likelihood-ratio test of the whole factor, reported before any reference-category contrast; pairwise subspecialty differences were adjusted for multiplicity by the Tukey method. Reference-category odds ratios and rate ratios are reported for completeness but are interpreted only in light of the joint test. To avoid conflating</w:t>
      </w:r>
      <w:r>
        <w:t xml:space="preserve"> </w:t>
      </w:r>
      <w:r>
        <w:t xml:space="preserve">“getting any appointment”</w:t>
      </w:r>
      <w:r>
        <w:t xml:space="preserve"> </w:t>
      </w:r>
      <w:r>
        <w:t xml:space="preserve">with</w:t>
      </w:r>
      <w:r>
        <w:t xml:space="preserve"> </w:t>
      </w:r>
      <w:r>
        <w:t xml:space="preserve">“seeing the specialist sought,”</w:t>
      </w:r>
      <w:r>
        <w:t xml:space="preserve"> </w:t>
      </w:r>
      <w:r>
        <w:t xml:space="preserve">access was modeled for both the primary any-offer outcome and the stricter with-the-sampled-physician outcome (</w:t>
      </w:r>
      <w:r>
        <w:rPr>
          <w:b/>
          <w:bCs/>
        </w:rPr>
        <w:t xml:space="preserve">Table S13</w:t>
      </w:r>
      <w:r>
        <w:t xml:space="preserve">). Because the caller effect proved substantial rather than nuisance, caller odds ratios are reported in full (</w:t>
      </w:r>
      <w:r>
        <w:rPr>
          <w:b/>
          <w:bCs/>
        </w:rPr>
        <w:t xml:space="preserve">Table S12</w:t>
      </w:r>
      <w:r>
        <w:t xml:space="preserve">) and the headline subspecialty estimate was re-examined in a leave-one-caller-out sensitivity analysis (</w:t>
      </w:r>
      <w:r>
        <w:rPr>
          <w:b/>
          <w:bCs/>
        </w:rPr>
        <w:t xml:space="preserve">Table S12b</w:t>
      </w:r>
      <w:r>
        <w:t xml:space="preserve">). Finally, although each physician was sampled once, some calls reached a shared practice telephone number (670 distinct numbers among the analytic calls); we confirmed that adding a practice–telephone random intercept and refitting on one call per number left the estimates essentially unchanged (</w:t>
      </w:r>
      <w:r>
        <w:rPr>
          <w:b/>
          <w:bCs/>
        </w:rPr>
        <w:t xml:space="preserve">Table S11</w:t>
      </w:r>
      <w:r>
        <w:t xml:space="preserve">).</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Any new-patient appointment was offered in 436 of 731 (59.6%), but only 370 (50.6%) were with the specific physician requested; the median next-available wait among offers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436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295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Requested subspecialty was</w:t>
      </w:r>
      <w:r>
        <w:t xml:space="preserve"> </w:t>
      </w:r>
      <w:r>
        <w:rPr>
          <w:b/>
          <w:bCs/>
        </w:rPr>
        <w:t xml:space="preserve">not</w:t>
      </w:r>
      <w:r>
        <w:t xml:space="preserve"> </w:t>
      </w:r>
      <w:r>
        <w:t xml:space="preserve">jointly associated with whether an appointment was offered (joint likelihood-ratio test across all subspecialties, χ² = 12.2, df = 20, p = 0.09). Among the individual reference-category contrasts, only pediatric otolaryngology differed nominally from general otolaryngology, with roughly twice the odds of an offer (OR 2.29 (95% CI 1.09–4.80; p = 0.028)); otology/neurotology trended lower (OR 0.58 (95% CI 0.27–1.25; p = 0.167)). This single contrast was not robust: it fell toward the null under the stricter with-the-requested-physician outcome (OR 1.43 (0.73-2.79); p = 0.29;</w:t>
      </w:r>
      <w:r>
        <w:t xml:space="preserve"> </w:t>
      </w:r>
      <w:r>
        <w:rPr>
          <w:b/>
          <w:bCs/>
        </w:rPr>
        <w:t xml:space="preserve">Table S13</w:t>
      </w:r>
      <w:r>
        <w:t xml:space="preserve">), weakened when any one caller was excluded (</w:t>
      </w:r>
      <w:r>
        <w:rPr>
          <w:b/>
          <w:bCs/>
        </w:rPr>
        <w:t xml:space="preserve">Table S12b</w:t>
      </w:r>
      <w:r>
        <w:t xml:space="preserve">), and no subspecialty pair reached significance after Tukey adjustment (Robustness and missing data). No geographic covariate was associated with access: county ENT supply (OR 0.96 (95% CI 0.81–1.13; p = 0.617) per SD), the Medicaid fee index (OR 0.90 (95% CI 0.76–1.06; p = 0.191)), social vulnerability (OR 0.93 (95% CI 0.78–1.11; p = 0.425)), and dual-eligibility (OR 0.98 (95% CI 0.82–1.17; p = 0.816)) were all null (</w:t>
      </w:r>
      <w:r>
        <w:rPr>
          <w:b/>
          <w:bCs/>
        </w:rPr>
        <w:t xml:space="preserve">Figure 2</w:t>
      </w:r>
      <w:r>
        <w:t xml:space="preserve">).</w:t>
      </w:r>
    </w:p>
    <w:p>
      <w:pPr>
        <w:pStyle w:val="BodyText"/>
      </w:pPr>
      <w:r>
        <w:t xml:space="preserve">By contrast, whether an appointment was offered differed most by</w:t>
      </w:r>
      <w:r>
        <w:t xml:space="preserve"> </w:t>
      </w:r>
      <w:r>
        <w:rPr>
          <w:b/>
          <w:bCs/>
        </w:rPr>
        <w:t xml:space="preserve">which trained caller placed the call</w:t>
      </w:r>
      <w:r>
        <w:t xml:space="preserve">. 5 of the callers had roughly two-fold higher adjusted odds of obtaining an offer than the reference caller (OR 1.9 to 2.4;</w:t>
      </w:r>
      <w:r>
        <w:t xml:space="preserve"> </w:t>
      </w:r>
      <w:r>
        <w:rPr>
          <w:b/>
          <w:bCs/>
        </w:rPr>
        <w:t xml:space="preserve">Table S12</w:t>
      </w:r>
      <w:r>
        <w:t xml:space="preserve">), a larger and more consistent association than any subspecialty or contextual factor. Because callers were assigned to physicians without regard to the exposures, this pattern reflects encounter-level implementation, how the identical script was delivered and how ambiguous responses were recorded, rather than a property of the practice, and it bounds how finely a single simulated call can resolve true differences between practices.</w:t>
      </w:r>
    </w:p>
    <w:bookmarkEnd w:id="29"/>
    <w:bookmarkStart w:id="30" w:name="timeliness-of-appointments"/>
    <w:p>
      <w:pPr>
        <w:pStyle w:val="Heading3"/>
      </w:pPr>
      <w:r>
        <w:t xml:space="preserve">Timeliness of appointments</w:t>
      </w:r>
    </w:p>
    <w:p>
      <w:pPr>
        <w:pStyle w:val="FirstParagraph"/>
      </w:pPr>
      <w:r>
        <w:t xml:space="preserve">Among offering offices, subspecialty was not jointly associated with wait time (joint likelihood-ratio test, χ² = 12.6, df = 21, p = 0.08), though the overall test approached significance. In the reference-category contrasts, waits were longer for laryngology (IRR 2.24 (95% CI 1.13–4.41; p = 0.020)) and pediatric otolaryngology (IRR 1.62 (95% CI 1.11–2.38; p = 0.013)) relative to general otolaryngology. These differences are also visible descriptively in the observed subspecialty medians (</w:t>
      </w:r>
      <w:r>
        <w:rPr>
          <w:b/>
          <w:bCs/>
        </w:rPr>
        <w:t xml:space="preserve">Table S3</w:t>
      </w:r>
      <w:r>
        <w:t xml:space="preserve">), which are the most reliable summary given the sparse counts in several subspecialties; we do not convert the rate ratios into calendar-week estimates, because an incidence-rate ratio scales a mean rather than the reported median.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(0.59–1.69)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0.995</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 (0.36–1.90)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0.650</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 (0.51–6.32)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 (0.27–1.25)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 (1.09–4.80)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2.21 (0.75–6.50)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 (0.56–5.21)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0.344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0.617</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(0.76–1.06)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(0.78–1.11)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(0.82–1.17)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0.816</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(0.73–1.49)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0.830</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 (0.74–1.52)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(0.74–2.26)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 (1.13–4.41)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(0.72–2.41)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 (1.11–2.38)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1.56 (0.90–2.68)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0.110</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0.391</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0.318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 (0.87–1.12)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0.832</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1.19 (0.92–1.53)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0.191</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several other steps of the access pathway (</w:t>
      </w:r>
      <w:r>
        <w:rPr>
          <w:b/>
          <w:bCs/>
        </w:rPr>
        <w:t xml:space="preserve">Table S10</w:t>
      </w:r>
      <w:r>
        <w:t xml:space="preserve">,</w:t>
      </w:r>
      <w:r>
        <w:t xml:space="preserve"> </w:t>
      </w:r>
      <w:r>
        <w:rPr>
          <w:b/>
          <w:bCs/>
        </w:rPr>
        <w:t xml:space="preserve">Figure S6</w:t>
      </w:r>
      <w:r>
        <w:t xml:space="preserve">). Of the 731 analytic calls, a live office was reached in 569 (78%); the practice was accepting new patients in 432 (59%); and an appointment was offered in 436 (60%). Critically, only 370 calls (51%) yielded an appointment</w:t>
      </w:r>
      <w:r>
        <w:t xml:space="preserve"> </w:t>
      </w:r>
      <w:r>
        <w:rPr>
          <w:b/>
          <w:bCs/>
        </w:rPr>
        <w:t xml:space="preserve">with the specific board-certified otolaryngologist requested</w:t>
      </w:r>
      <w:r>
        <w:t xml:space="preserve">: among the 436 offers, 58 (13%) were with a different physician and 9 with an advanced practice provider only; 10 offers lacked a recorded next-available date and so entered the access but not the timeliness analysis (426 waits analyzed). These are overlapping measures of the same calls rather than a strictly nested funnel, a small number of offices offered an appointment without having affirmed on the call that they see the presented complaint, so the counts are not perfectly monotonic;</w:t>
      </w:r>
      <w:r>
        <w:t xml:space="preserve"> </w:t>
      </w:r>
      <w:r>
        <w:rPr>
          <w:b/>
          <w:bCs/>
        </w:rPr>
        <w:t xml:space="preserve">Figure S6</w:t>
      </w:r>
      <w:r>
        <w:t xml:space="preserve"> </w:t>
      </w:r>
      <w:r>
        <w:t xml:space="preserve">orders them by frequency for readability.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 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Consistent with the joint tests, no subspecialty pair reached significance under Tukey-adjusted pairwise comparison, and the subspecialty effect did not vary by rurality or supply (interaction likelihood-ratio tests, both non-significant). 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Because some calls reached a shared practice telephone number, we refit the access model with an added practice–telephone random intercept and, separately, on a single call per number; the practice-telephone variance was negligible and the estimates were essentially unchanged (</w:t>
      </w:r>
      <w:r>
        <w:rPr>
          <w:b/>
          <w:bCs/>
        </w:rPr>
        <w:t xml:space="preserve">Table S11</w:t>
      </w:r>
      <w:r>
        <w:t xml:space="preserve">), confirming that the CBSA-only model does not materially understate uncertainty from repeated practices. In a metropolitan sensitivity model, greater hospital-market concentration was associated with a borderline increase in wait time (HHI IRR 1.20 per SD; p = 0.058). Call incompleteness was unrelated to the measured practice geography; however, the recorded reasons for incompleteness were themselves missing for most incomplete calls, so we cannot fully characterize the missingness mechanism and treat the missing-at-random assumption as an approximation rather than an established fact (Supplement). The main findings were stable across two sensitivity analyses (</w:t>
      </w:r>
      <w:r>
        <w:rPr>
          <w:b/>
          <w:bCs/>
        </w:rPr>
        <w:t xml:space="preserve">Table S8</w:t>
      </w:r>
      <w:r>
        <w:t xml:space="preserve">). Under a three-level rurality specification (urban, RUCA 1–3; suburban, 4–6; rural, 7–10), no urban-to-rural gradient emerged, neither suburban (wait IRR 1.15) nor the sparse rural stratum (IRR 1.29) differed significantly from urban, while the subspecialty contrasts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most consistent finding was attrition along the access pathway: although a new-patient appointment was offered on roughly three-fifths of completed calls, only about half reached the specific board-certified otolaryngologist requested. Differences by requested subspecialty and by geographic context were small and were not statistically robust, and none of the measured contextual factors, county physician supply, Medicaid fee level, social vulnerability, dual-eligibility, or rurality, was associated with either outcome.</w:t>
      </w:r>
    </w:p>
    <w:p>
      <w:pPr>
        <w:pStyle w:val="BodyText"/>
      </w:pPr>
      <w:r>
        <w:t xml:space="preserve">Three observations follow. First,</w:t>
      </w:r>
      <w:r>
        <w:t xml:space="preserve"> </w:t>
      </w:r>
      <w:r>
        <w:rPr>
          <w:b/>
          <w:bCs/>
        </w:rPr>
        <w:t xml:space="preserve">the gap between the listed and the reachable specialist is the dominant signal.</w:t>
      </w:r>
      <w:r>
        <w:t xml:space="preserve"> </w:t>
      </w:r>
      <w:r>
        <w:t xml:space="preserve">Only half of calls to rostered, board-certified otolaryngologists yielded an appointment with the physician sought; among offers, nearly one in seven was with a different physician and additional offers were with an advanced practice provider only. Together with the frequency of</w:t>
      </w:r>
      <w:r>
        <w:t xml:space="preserve"> </w:t>
      </w:r>
      <w:r>
        <w:t xml:space="preserve">“retired or left,”</w:t>
      </w:r>
      <w:r>
        <w:t xml:space="preserve"> </w:t>
      </w:r>
      <w:r>
        <w:t xml:space="preserve">“practice full,”</w:t>
      </w:r>
      <w:r>
        <w:t xml:space="preserve"> </w:t>
      </w:r>
      <w:r>
        <w:t xml:space="preserve">and</w:t>
      </w:r>
      <w:r>
        <w:t xml:space="preserve"> </w:t>
      </w:r>
      <w:r>
        <w:t xml:space="preserve">“not accepting”</w:t>
      </w:r>
      <w:r>
        <w:t xml:space="preserve"> </w:t>
      </w:r>
      <w:r>
        <w:t xml:space="preserve">responses, this indicates that certification rosters and provider directories materially overstate the reachable subspecialty workforce. Directory accuracy is itself an access barrier, and one that is more consistently documented here than any subspecialty or geographic gradient.</w:t>
      </w:r>
    </w:p>
    <w:p>
      <w:pPr>
        <w:pStyle w:val="BodyText"/>
      </w:pPr>
      <w:r>
        <w:t xml:space="preserve">Second,</w:t>
      </w:r>
      <w:r>
        <w:t xml:space="preserve"> </w:t>
      </w:r>
      <w:r>
        <w:rPr>
          <w:b/>
          <w:bCs/>
        </w:rPr>
        <w:t xml:space="preserve">availability and timeliness are distinct dimensions that can diverge.</w:t>
      </w:r>
      <w:r>
        <w:t xml:space="preserve"> </w:t>
      </w:r>
      <w:r>
        <w:t xml:space="preserve">Descriptively, 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because an intervention aimed at one will not necessarily improve the other. We emphasize, however, that these subspecialty differences were not statistically robust (below) and are best treated as hypothesis-generating.</w:t>
      </w:r>
    </w:p>
    <w:p>
      <w:pPr>
        <w:pStyle w:val="BodyText"/>
      </w:pPr>
      <w:r>
        <w:t xml:space="preserve">Third,</w:t>
      </w:r>
      <w:r>
        <w:t xml:space="preserve"> </w:t>
      </w:r>
      <w:r>
        <w:rPr>
          <w:b/>
          <w:bCs/>
        </w:rPr>
        <w:t xml:space="preserve">the apparent subspecialty and geographic differences did not survive formal testing, and encounter-level implementation was a larger source of variation than either.</w:t>
      </w:r>
      <w:r>
        <w:t xml:space="preserve"> </w:t>
      </w:r>
      <w:r>
        <w:t xml:space="preserve">No subspecialty was jointly associated with access or timeliness; the single nominally significant contrast (pediatric otolaryngology for any offer) did not persist under the stricter with-the-requested-physician outcome, Tukey adjustment, or leave-one-caller-out, while the trained callers themselves differed roughly two-fold in the odds of obtaining an offer. Because each subspecialty was also tied to its own clinical vignette, any subspecialty difference additionally confounds the clinical scenario, and cannot be attributed to the physician’s subspecialty alone. We therefore do not interpret subspecialty or geography as determinants of access. The null contextual findings argue against a simple supply-gradient model but are also compatible with the study being underpowered for modest gradients, particularly in the sparse rural stratum; absence of evidence here is not evidence of absence. Distinguishing this</w:t>
      </w:r>
      <w:r>
        <w:t xml:space="preserve"> </w:t>
      </w:r>
      <w:r>
        <w:rPr>
          <w:i/>
          <w:iCs/>
        </w:rPr>
        <w:t xml:space="preserve">contextual gradient</w:t>
      </w:r>
      <w:r>
        <w:t xml:space="preserve"> </w:t>
      </w:r>
      <w:r>
        <w:t xml:space="preserve">from the geographic</w:t>
      </w:r>
      <w:r>
        <w:t xml:space="preserve"> </w:t>
      </w:r>
      <w:r>
        <w:rPr>
          <w:i/>
          <w:iCs/>
        </w:rPr>
        <w:t xml:space="preserve">reach</w:t>
      </w:r>
      <w:r>
        <w:t xml:space="preserve"> </w:t>
      </w:r>
      <w:r>
        <w:t xml:space="preserve">of care, the travel burden a patient must overcome to arrive at a practice at all, is the subject of a companion geospatial analysis.</w:t>
      </w:r>
    </w:p>
    <w:p>
      <w:pPr>
        <w:pStyle w:val="BodyText"/>
      </w:pPr>
      <w:r>
        <w:t xml:space="preserve">These findings carry practical implications. The most actionable target is not a subspecialty or a region but the accuracy of the information patients and referring clinicians rely on: keeping certification rosters and practice directories current, and distinguishing</w:t>
      </w:r>
      <w:r>
        <w:t xml:space="preserve"> </w:t>
      </w:r>
      <w:r>
        <w:t xml:space="preserve">“a physician is listed”</w:t>
      </w:r>
      <w:r>
        <w:t xml:space="preserve"> </w:t>
      </w:r>
      <w:r>
        <w:t xml:space="preserve">from</w:t>
      </w:r>
      <w:r>
        <w:t xml:space="preserve"> </w:t>
      </w:r>
      <w:r>
        <w:t xml:space="preserve">“a new patient can be seen.”</w:t>
      </w:r>
      <w:r>
        <w:t xml:space="preserve"> </w:t>
      </w:r>
      <w:r>
        <w:t xml:space="preserve">That the measured contextual factors did not predict access does not exclude disparities not measured here, including patient insurance type, which this phase held constant.</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 a wait exceeding two years attributable to a data-entry error in the appointment year, was excluded from the timeliness analysis. Even so, the study was modestly underpowered for its primary rural-versus-urban timeliness contrast: the pre-specified target was a minimum detectable gap of about six business days, whereas the realized sample (426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 Several further limitations temper the subspecialty and geographic comparisons. Because each subspecialty was approached with its own clinically appropriate vignette (differing in patient age, urgency, and cancer risk), the requested subspecialty is confounded with the clinical scenario and cannot be isolated as a property of the physician; sleep-medicine physicians, moreover, were approached with the general script. Several subspecialty strata were sparse (for example, only 13 laryngology and 16 sleep physicians, with correspondingly few rural observations), limiting power for subspecialty-specific and subspecialty-by-rurality contrasts and making those estimates unstable. The largest single source of variation in obtaining an offer was the identity of the caller, an implementation factor rather than a practice characteristic, which both underscores the sensitivity of a single simulated call and cautions against over-interpreting modest between-practice differences. Although the sample spanned 48 states, it was drawn with a deliberate 50/50 rural/urban over-sample rather than in proportion to the workforce (which is ~93% urban), so the reported offer rates and waits describe this stratified sample and should not be read as nationally representative population estimates; a workforce-weighted estimate would be dominated by urban practices. Finally, the study measured whether an appointment was offered and how long the wait was, but did not adjudicate the accuracy of front-desk statements, so the directory-accuracy signal we describe is an observation from the call log rather than an independently verified measure.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 whether front-desk statements (that a practice does not see a complaint, or that a physician is unavailable) are accurate, 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 head-and-neck cancer red flags, for instance, 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only about half of calls to rostered board-certified otolaryngologists secured an appointment with the specific physician sought, while differences by subspecialty and by local supply, Medicaid fee level, or social vulnerability were small and not statistically robust. Availability and timeliness were distinct dimensions of access, and both were shaped as much by how the request was handled as by where the patient lived. Efforts to improve access should begin with the accuracy of provider directories and rosters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Eric J. Dobratz:</w:t>
      </w:r>
      <w:r>
        <w:t xml:space="preserve"> </w:t>
      </w:r>
      <w:r>
        <w:t xml:space="preserve">Conceptualization, Supervision, Resources, Project administration, Writing – review &amp; editing.</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Cristina Cabrera-Muffly:</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auto" w:w="0"/>
        <w:tblLook w:firstRow="1" w:lastRow="0" w:firstColumn="0" w:lastColumn="0" w:noHBand="0" w:noVBand="0" w:val="0020"/>
        <w:tblCaption w:val="Table S1. Full access model (all odds ratios)."/>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Odds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0.79</w:t>
            </w:r>
          </w:p>
        </w:tc>
        <w:tc>
          <w:tcPr/>
          <w:p>
            <w:pPr>
              <w:pStyle w:val="Compact"/>
              <w:jc w:val="left"/>
            </w:pPr>
            <w:r>
              <w:t xml:space="preserve">0.54-1.15</w:t>
            </w:r>
          </w:p>
        </w:tc>
        <w:tc>
          <w:tcPr/>
          <w:p>
            <w:pPr>
              <w:pStyle w:val="Compact"/>
              <w:jc w:val="left"/>
            </w:pPr>
            <w:r>
              <w:t xml:space="preserve">0.211</w:t>
            </w:r>
          </w:p>
        </w:tc>
      </w:tr>
      <w:tr>
        <w:tc>
          <w:tcPr/>
          <w:p>
            <w:pPr>
              <w:pStyle w:val="Compact"/>
              <w:jc w:val="left"/>
            </w:pPr>
            <w:r>
              <w:t xml:space="preserve">Facial plastic surgery</w:t>
            </w:r>
          </w:p>
        </w:tc>
        <w:tc>
          <w:tcPr/>
          <w:p>
            <w:pPr>
              <w:pStyle w:val="Compact"/>
              <w:jc w:val="right"/>
            </w:pPr>
            <w:r>
              <w:t xml:space="preserve">1.00</w:t>
            </w:r>
          </w:p>
        </w:tc>
        <w:tc>
          <w:tcPr/>
          <w:p>
            <w:pPr>
              <w:pStyle w:val="Compact"/>
              <w:jc w:val="left"/>
            </w:pPr>
            <w:r>
              <w:t xml:space="preserve">0.59-1.69</w:t>
            </w:r>
          </w:p>
        </w:tc>
        <w:tc>
          <w:tcPr/>
          <w:p>
            <w:pPr>
              <w:pStyle w:val="Compact"/>
              <w:jc w:val="left"/>
            </w:pPr>
            <w:r>
              <w:t xml:space="preserve">0.995</w:t>
            </w:r>
          </w:p>
        </w:tc>
      </w:tr>
      <w:tr>
        <w:tc>
          <w:tcPr/>
          <w:p>
            <w:pPr>
              <w:pStyle w:val="Compact"/>
              <w:jc w:val="left"/>
            </w:pPr>
            <w:r>
              <w:t xml:space="preserve">Head and neck oncology</w:t>
            </w:r>
          </w:p>
        </w:tc>
        <w:tc>
          <w:tcPr/>
          <w:p>
            <w:pPr>
              <w:pStyle w:val="Compact"/>
              <w:jc w:val="right"/>
            </w:pPr>
            <w:r>
              <w:t xml:space="preserve">0.82</w:t>
            </w:r>
          </w:p>
        </w:tc>
        <w:tc>
          <w:tcPr/>
          <w:p>
            <w:pPr>
              <w:pStyle w:val="Compact"/>
              <w:jc w:val="left"/>
            </w:pPr>
            <w:r>
              <w:t xml:space="preserve">0.36-1.90</w:t>
            </w:r>
          </w:p>
        </w:tc>
        <w:tc>
          <w:tcPr/>
          <w:p>
            <w:pPr>
              <w:pStyle w:val="Compact"/>
              <w:jc w:val="left"/>
            </w:pPr>
            <w:r>
              <w:t xml:space="preserve">0.650</w:t>
            </w:r>
          </w:p>
        </w:tc>
      </w:tr>
      <w:tr>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left"/>
            </w:pPr>
            <w:r>
              <w:t xml:space="preserve">0.357</w:t>
            </w:r>
          </w:p>
        </w:tc>
      </w:tr>
      <w:tr>
        <w:tc>
          <w:tcPr/>
          <w:p>
            <w:pPr>
              <w:pStyle w:val="Compact"/>
              <w:jc w:val="left"/>
            </w:pPr>
            <w:r>
              <w:t xml:space="preserve">Otology/neurotology</w:t>
            </w:r>
          </w:p>
        </w:tc>
        <w:tc>
          <w:tcPr/>
          <w:p>
            <w:pPr>
              <w:pStyle w:val="Compact"/>
              <w:jc w:val="right"/>
            </w:pPr>
            <w:r>
              <w:t xml:space="preserve">0.58</w:t>
            </w:r>
          </w:p>
        </w:tc>
        <w:tc>
          <w:tcPr/>
          <w:p>
            <w:pPr>
              <w:pStyle w:val="Compact"/>
              <w:jc w:val="left"/>
            </w:pPr>
            <w:r>
              <w:t xml:space="preserve">0.27-1.25</w:t>
            </w:r>
          </w:p>
        </w:tc>
        <w:tc>
          <w:tcPr/>
          <w:p>
            <w:pPr>
              <w:pStyle w:val="Compact"/>
              <w:jc w:val="left"/>
            </w:pPr>
            <w:r>
              <w:t xml:space="preserve">0.167</w:t>
            </w:r>
          </w:p>
        </w:tc>
      </w:tr>
      <w:tr>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left"/>
            </w:pPr>
            <w:r>
              <w:t xml:space="preserve">0.028</w:t>
            </w:r>
          </w:p>
        </w:tc>
      </w:tr>
      <w:tr>
        <w:tc>
          <w:tcPr/>
          <w:p>
            <w:pPr>
              <w:pStyle w:val="Compact"/>
              <w:jc w:val="left"/>
            </w:pPr>
            <w:r>
              <w:t xml:space="preserve">Rhinology</w:t>
            </w:r>
          </w:p>
        </w:tc>
        <w:tc>
          <w:tcPr/>
          <w:p>
            <w:pPr>
              <w:pStyle w:val="Compact"/>
              <w:jc w:val="right"/>
            </w:pPr>
            <w:r>
              <w:t xml:space="preserve">2.21</w:t>
            </w:r>
          </w:p>
        </w:tc>
        <w:tc>
          <w:tcPr/>
          <w:p>
            <w:pPr>
              <w:pStyle w:val="Compact"/>
              <w:jc w:val="left"/>
            </w:pPr>
            <w:r>
              <w:t xml:space="preserve">0.75-6.50</w:t>
            </w:r>
          </w:p>
        </w:tc>
        <w:tc>
          <w:tcPr/>
          <w:p>
            <w:pPr>
              <w:pStyle w:val="Compact"/>
              <w:jc w:val="left"/>
            </w:pPr>
            <w:r>
              <w:t xml:space="preserve">0.151</w:t>
            </w:r>
          </w:p>
        </w:tc>
      </w:tr>
      <w:tr>
        <w:tc>
          <w:tcPr/>
          <w:p>
            <w:pPr>
              <w:pStyle w:val="Compact"/>
              <w:jc w:val="left"/>
            </w:pPr>
            <w:r>
              <w:t xml:space="preserve">Sleep medicine</w:t>
            </w:r>
          </w:p>
        </w:tc>
        <w:tc>
          <w:tcPr/>
          <w:p>
            <w:pPr>
              <w:pStyle w:val="Compact"/>
              <w:jc w:val="right"/>
            </w:pPr>
            <w:r>
              <w:t xml:space="preserve">1.71</w:t>
            </w:r>
          </w:p>
        </w:tc>
        <w:tc>
          <w:tcPr/>
          <w:p>
            <w:pPr>
              <w:pStyle w:val="Compact"/>
              <w:jc w:val="left"/>
            </w:pPr>
            <w:r>
              <w:t xml:space="preserve">0.56-5.21</w:t>
            </w:r>
          </w:p>
        </w:tc>
        <w:tc>
          <w:tcPr/>
          <w:p>
            <w:pPr>
              <w:pStyle w:val="Compact"/>
              <w:jc w:val="left"/>
            </w:pPr>
            <w:r>
              <w:t xml:space="preserve">0.344</w:t>
            </w:r>
          </w:p>
        </w:tc>
      </w:tr>
      <w:tr>
        <w:tc>
          <w:tcPr/>
          <w:p>
            <w:pPr>
              <w:pStyle w:val="Compact"/>
              <w:jc w:val="left"/>
            </w:pPr>
            <w:r>
              <w:t xml:space="preserve">Otolaryngologist density (per SD)</w:t>
            </w:r>
          </w:p>
        </w:tc>
        <w:tc>
          <w:tcPr/>
          <w:p>
            <w:pPr>
              <w:pStyle w:val="Compact"/>
              <w:jc w:val="right"/>
            </w:pPr>
            <w:r>
              <w:t xml:space="preserve">0.96</w:t>
            </w:r>
          </w:p>
        </w:tc>
        <w:tc>
          <w:tcPr/>
          <w:p>
            <w:pPr>
              <w:pStyle w:val="Compact"/>
              <w:jc w:val="left"/>
            </w:pPr>
            <w:r>
              <w:t xml:space="preserve">0.81-1.13</w:t>
            </w:r>
          </w:p>
        </w:tc>
        <w:tc>
          <w:tcPr/>
          <w:p>
            <w:pPr>
              <w:pStyle w:val="Compact"/>
              <w:jc w:val="left"/>
            </w:pPr>
            <w:r>
              <w:t xml:space="preserve">0.617</w:t>
            </w:r>
          </w:p>
        </w:tc>
      </w:tr>
      <w:tr>
        <w:tc>
          <w:tcPr/>
          <w:p>
            <w:pPr>
              <w:pStyle w:val="Compact"/>
              <w:jc w:val="left"/>
            </w:pPr>
            <w:r>
              <w:t xml:space="preserve">Medicaid fee index (per SD)</w:t>
            </w:r>
          </w:p>
        </w:tc>
        <w:tc>
          <w:tcPr/>
          <w:p>
            <w:pPr>
              <w:pStyle w:val="Compact"/>
              <w:jc w:val="right"/>
            </w:pPr>
            <w:r>
              <w:t xml:space="preserve">0.90</w:t>
            </w:r>
          </w:p>
        </w:tc>
        <w:tc>
          <w:tcPr/>
          <w:p>
            <w:pPr>
              <w:pStyle w:val="Compact"/>
              <w:jc w:val="left"/>
            </w:pPr>
            <w:r>
              <w:t xml:space="preserve">0.76-1.06</w:t>
            </w:r>
          </w:p>
        </w:tc>
        <w:tc>
          <w:tcPr/>
          <w:p>
            <w:pPr>
              <w:pStyle w:val="Compact"/>
              <w:jc w:val="left"/>
            </w:pPr>
            <w:r>
              <w:t xml:space="preserve">0.191</w:t>
            </w:r>
          </w:p>
        </w:tc>
      </w:tr>
      <w:tr>
        <w:tc>
          <w:tcPr/>
          <w:p>
            <w:pPr>
              <w:pStyle w:val="Compact"/>
              <w:jc w:val="left"/>
            </w:pPr>
            <w:r>
              <w:t xml:space="preserve">Social Vulnerability Index (per SD)</w:t>
            </w:r>
          </w:p>
        </w:tc>
        <w:tc>
          <w:tcPr/>
          <w:p>
            <w:pPr>
              <w:pStyle w:val="Compact"/>
              <w:jc w:val="right"/>
            </w:pPr>
            <w:r>
              <w:t xml:space="preserve">0.93</w:t>
            </w:r>
          </w:p>
        </w:tc>
        <w:tc>
          <w:tcPr/>
          <w:p>
            <w:pPr>
              <w:pStyle w:val="Compact"/>
              <w:jc w:val="left"/>
            </w:pPr>
            <w:r>
              <w:t xml:space="preserve">0.78-1.11</w:t>
            </w:r>
          </w:p>
        </w:tc>
        <w:tc>
          <w:tcPr/>
          <w:p>
            <w:pPr>
              <w:pStyle w:val="Compact"/>
              <w:jc w:val="left"/>
            </w:pPr>
            <w:r>
              <w:t xml:space="preserve">0.425</w:t>
            </w:r>
          </w:p>
        </w:tc>
      </w:tr>
      <w:tr>
        <w:tc>
          <w:tcPr/>
          <w:p>
            <w:pPr>
              <w:pStyle w:val="Compact"/>
              <w:jc w:val="left"/>
            </w:pPr>
            <w:r>
              <w:t xml:space="preserve">Dual-eligible share (per SD)</w:t>
            </w:r>
          </w:p>
        </w:tc>
        <w:tc>
          <w:tcPr/>
          <w:p>
            <w:pPr>
              <w:pStyle w:val="Compact"/>
              <w:jc w:val="right"/>
            </w:pPr>
            <w:r>
              <w:t xml:space="preserve">0.98</w:t>
            </w:r>
          </w:p>
        </w:tc>
        <w:tc>
          <w:tcPr/>
          <w:p>
            <w:pPr>
              <w:pStyle w:val="Compact"/>
              <w:jc w:val="left"/>
            </w:pPr>
            <w:r>
              <w:t xml:space="preserve">0.82-1.17</w:t>
            </w:r>
          </w:p>
        </w:tc>
        <w:tc>
          <w:tcPr/>
          <w:p>
            <w:pPr>
              <w:pStyle w:val="Compact"/>
              <w:jc w:val="left"/>
            </w:pPr>
            <w:r>
              <w:t xml:space="preserve">0.816</w:t>
            </w:r>
          </w:p>
        </w:tc>
      </w:tr>
      <w:tr>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left"/>
            </w:pPr>
            <w:r>
              <w:t xml:space="preserve">0.830</w:t>
            </w:r>
          </w:p>
        </w:tc>
      </w:tr>
      <w:tr>
        <w:tc>
          <w:tcPr/>
          <w:p>
            <w:pPr>
              <w:pStyle w:val="Compact"/>
              <w:jc w:val="left"/>
            </w:pPr>
            <w:r>
              <w:t xml:space="preserve">Caller: Deol</w:t>
            </w:r>
          </w:p>
        </w:tc>
        <w:tc>
          <w:tcPr/>
          <w:p>
            <w:pPr>
              <w:pStyle w:val="Compact"/>
              <w:jc w:val="right"/>
            </w:pPr>
            <w:r>
              <w:t xml:space="preserve">2.25</w:t>
            </w:r>
          </w:p>
        </w:tc>
        <w:tc>
          <w:tcPr/>
          <w:p>
            <w:pPr>
              <w:pStyle w:val="Compact"/>
              <w:jc w:val="left"/>
            </w:pPr>
            <w:r>
              <w:t xml:space="preserve">1.37-3.71</w:t>
            </w:r>
          </w:p>
        </w:tc>
        <w:tc>
          <w:tcPr/>
          <w:p>
            <w:pPr>
              <w:pStyle w:val="Compact"/>
              <w:jc w:val="left"/>
            </w:pPr>
            <w:r>
              <w:t xml:space="preserve">0.001</w:t>
            </w:r>
          </w:p>
        </w:tc>
      </w:tr>
      <w:tr>
        <w:tc>
          <w:tcPr/>
          <w:p>
            <w:pPr>
              <w:pStyle w:val="Compact"/>
              <w:jc w:val="left"/>
            </w:pPr>
            <w:r>
              <w:t xml:space="preserve">Caller: Falk</w:t>
            </w:r>
          </w:p>
        </w:tc>
        <w:tc>
          <w:tcPr/>
          <w:p>
            <w:pPr>
              <w:pStyle w:val="Compact"/>
              <w:jc w:val="right"/>
            </w:pPr>
            <w:r>
              <w:t xml:space="preserve">1.88</w:t>
            </w:r>
          </w:p>
        </w:tc>
        <w:tc>
          <w:tcPr/>
          <w:p>
            <w:pPr>
              <w:pStyle w:val="Compact"/>
              <w:jc w:val="left"/>
            </w:pPr>
            <w:r>
              <w:t xml:space="preserve">1.07-3.31</w:t>
            </w:r>
          </w:p>
        </w:tc>
        <w:tc>
          <w:tcPr/>
          <w:p>
            <w:pPr>
              <w:pStyle w:val="Compact"/>
              <w:jc w:val="left"/>
            </w:pPr>
            <w:r>
              <w:t xml:space="preserve">0.029</w:t>
            </w:r>
          </w:p>
        </w:tc>
      </w:tr>
      <w:tr>
        <w:tc>
          <w:tcPr/>
          <w:p>
            <w:pPr>
              <w:pStyle w:val="Compact"/>
              <w:jc w:val="left"/>
            </w:pPr>
            <w:r>
              <w:t xml:space="preserve">Caller: Gregg</w:t>
            </w:r>
          </w:p>
        </w:tc>
        <w:tc>
          <w:tcPr/>
          <w:p>
            <w:pPr>
              <w:pStyle w:val="Compact"/>
              <w:jc w:val="right"/>
            </w:pPr>
            <w:r>
              <w:t xml:space="preserve">1.89</w:t>
            </w:r>
          </w:p>
        </w:tc>
        <w:tc>
          <w:tcPr/>
          <w:p>
            <w:pPr>
              <w:pStyle w:val="Compact"/>
              <w:jc w:val="left"/>
            </w:pPr>
            <w:r>
              <w:t xml:space="preserve">1.14-3.11</w:t>
            </w:r>
          </w:p>
        </w:tc>
        <w:tc>
          <w:tcPr/>
          <w:p>
            <w:pPr>
              <w:pStyle w:val="Compact"/>
              <w:jc w:val="left"/>
            </w:pPr>
            <w:r>
              <w:t xml:space="preserve">0.013</w:t>
            </w:r>
          </w:p>
        </w:tc>
      </w:tr>
      <w:tr>
        <w:tc>
          <w:tcPr/>
          <w:p>
            <w:pPr>
              <w:pStyle w:val="Compact"/>
              <w:jc w:val="left"/>
            </w:pPr>
            <w:r>
              <w:t xml:space="preserve">Caller: Kim</w:t>
            </w:r>
          </w:p>
        </w:tc>
        <w:tc>
          <w:tcPr/>
          <w:p>
            <w:pPr>
              <w:pStyle w:val="Compact"/>
              <w:jc w:val="right"/>
            </w:pPr>
            <w:r>
              <w:t xml:space="preserve">2.06</w:t>
            </w:r>
          </w:p>
        </w:tc>
        <w:tc>
          <w:tcPr/>
          <w:p>
            <w:pPr>
              <w:pStyle w:val="Compact"/>
              <w:jc w:val="left"/>
            </w:pPr>
            <w:r>
              <w:t xml:space="preserve">1.25-3.41</w:t>
            </w:r>
          </w:p>
        </w:tc>
        <w:tc>
          <w:tcPr/>
          <w:p>
            <w:pPr>
              <w:pStyle w:val="Compact"/>
              <w:jc w:val="left"/>
            </w:pPr>
            <w:r>
              <w:t xml:space="preserve">0.005</w:t>
            </w:r>
          </w:p>
        </w:tc>
      </w:tr>
      <w:tr>
        <w:tc>
          <w:tcPr/>
          <w:p>
            <w:pPr>
              <w:pStyle w:val="Compact"/>
              <w:jc w:val="left"/>
            </w:pPr>
            <w:r>
              <w:t xml:space="preserve">Caller: Other</w:t>
            </w:r>
          </w:p>
        </w:tc>
        <w:tc>
          <w:tcPr/>
          <w:p>
            <w:pPr>
              <w:pStyle w:val="Compact"/>
              <w:jc w:val="right"/>
            </w:pPr>
            <w:r>
              <w:t xml:space="preserve">1.31</w:t>
            </w:r>
          </w:p>
        </w:tc>
        <w:tc>
          <w:tcPr/>
          <w:p>
            <w:pPr>
              <w:pStyle w:val="Compact"/>
              <w:jc w:val="left"/>
            </w:pPr>
            <w:r>
              <w:t xml:space="preserve">0.41-4.21</w:t>
            </w:r>
          </w:p>
        </w:tc>
        <w:tc>
          <w:tcPr/>
          <w:p>
            <w:pPr>
              <w:pStyle w:val="Compact"/>
              <w:jc w:val="left"/>
            </w:pPr>
            <w:r>
              <w:t xml:space="preserve">0.648</w:t>
            </w:r>
          </w:p>
        </w:tc>
      </w:tr>
      <w:tr>
        <w:tc>
          <w:tcPr/>
          <w:p>
            <w:pPr>
              <w:pStyle w:val="Compact"/>
              <w:jc w:val="left"/>
            </w:pPr>
            <w:r>
              <w:t xml:space="preserve">Caller: Walsh</w:t>
            </w:r>
          </w:p>
        </w:tc>
        <w:tc>
          <w:tcPr/>
          <w:p>
            <w:pPr>
              <w:pStyle w:val="Compact"/>
              <w:jc w:val="right"/>
            </w:pPr>
            <w:r>
              <w:t xml:space="preserve">2.32</w:t>
            </w:r>
          </w:p>
        </w:tc>
        <w:tc>
          <w:tcPr/>
          <w:p>
            <w:pPr>
              <w:pStyle w:val="Compact"/>
              <w:jc w:val="left"/>
            </w:pPr>
            <w:r>
              <w:t xml:space="preserve">1.42-3.80</w:t>
            </w:r>
          </w:p>
        </w:tc>
        <w:tc>
          <w:tcPr/>
          <w:p>
            <w:pPr>
              <w:pStyle w:val="Compact"/>
              <w:jc w:val="left"/>
            </w:pPr>
            <w:r>
              <w:t xml:space="preserve">&lt;0.001</w:t>
            </w:r>
          </w:p>
        </w:tc>
      </w:tr>
    </w:tbl>
    <w:p/>
    <w:p>
      <w:pPr>
        <w:pStyle w:val="TableCaption"/>
      </w:pPr>
      <w:r>
        <w:t xml:space="preserve">Table S2. Full timeliness model (all rate ratios).</w:t>
      </w:r>
    </w:p>
    <w:tbl>
      <w:tblPr>
        <w:tblStyle w:val="Table"/>
        <w:tblW w:type="pct" w:w="5000"/>
        <w:tblLayout w:type="fixed"/>
        <w:tblLook w:firstRow="1" w:lastRow="0" w:firstColumn="0" w:lastColumn="0" w:noHBand="0" w:noVBand="0" w:val="0020"/>
        <w:tblCaption w:val="Table S2. Full timeliness model (all rate ratios)."/>
      </w:tblPr>
      <w:tblGrid>
        <w:gridCol w:w="3702"/>
        <w:gridCol w:w="2160"/>
        <w:gridCol w:w="1234"/>
        <w:gridCol w:w="822"/>
      </w:tblGrid>
      <w:tr>
        <w:trPr>
          <w:tblHeader w:val="on"/>
        </w:trPr>
        <w:tc>
          <w:tcPr/>
          <w:p>
            <w:pPr>
              <w:pStyle w:val="Compact"/>
              <w:jc w:val="left"/>
            </w:pPr>
            <w:r>
              <w:t xml:space="preserve">Term</w:t>
            </w:r>
          </w:p>
        </w:tc>
        <w:tc>
          <w:tcPr/>
          <w:p>
            <w:pPr>
              <w:pStyle w:val="Compact"/>
              <w:jc w:val="right"/>
            </w:pPr>
            <w:r>
              <w:t xml:space="preserve">Incidence rate ratio</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right"/>
            </w:pPr>
            <w:r>
              <w:t xml:space="preserve">19.19</w:t>
            </w:r>
          </w:p>
        </w:tc>
        <w:tc>
          <w:tcPr/>
          <w:p>
            <w:pPr>
              <w:pStyle w:val="Compact"/>
              <w:jc w:val="left"/>
            </w:pPr>
            <w:r>
              <w:t xml:space="preserve">14.43-25.54</w:t>
            </w:r>
          </w:p>
        </w:tc>
        <w:tc>
          <w:tcPr/>
          <w:p>
            <w:pPr>
              <w:pStyle w:val="Compact"/>
              <w:jc w:val="left"/>
            </w:pPr>
            <w:r>
              <w:t xml:space="preserve">&lt;0.001</w:t>
            </w:r>
          </w:p>
        </w:tc>
      </w:tr>
      <w:tr>
        <w:tc>
          <w:tcPr/>
          <w:p>
            <w:pPr>
              <w:pStyle w:val="Compact"/>
              <w:jc w:val="left"/>
            </w:pPr>
            <w:r>
              <w:t xml:space="preserve">Facial plastic surgery</w:t>
            </w:r>
          </w:p>
        </w:tc>
        <w:tc>
          <w:tcPr/>
          <w:p>
            <w:pPr>
              <w:pStyle w:val="Compact"/>
              <w:jc w:val="right"/>
            </w:pPr>
            <w:r>
              <w:t xml:space="preserve">1.06</w:t>
            </w:r>
          </w:p>
        </w:tc>
        <w:tc>
          <w:tcPr/>
          <w:p>
            <w:pPr>
              <w:pStyle w:val="Compact"/>
              <w:jc w:val="left"/>
            </w:pPr>
            <w:r>
              <w:t xml:space="preserve">0.74-1.52</w:t>
            </w:r>
          </w:p>
        </w:tc>
        <w:tc>
          <w:tcPr/>
          <w:p>
            <w:pPr>
              <w:pStyle w:val="Compact"/>
              <w:jc w:val="left"/>
            </w:pPr>
            <w:r>
              <w:t xml:space="preserve">0.743</w:t>
            </w:r>
          </w:p>
        </w:tc>
      </w:tr>
      <w:tr>
        <w:tc>
          <w:tcPr/>
          <w:p>
            <w:pPr>
              <w:pStyle w:val="Compact"/>
              <w:jc w:val="left"/>
            </w:pPr>
            <w:r>
              <w:t xml:space="preserve">Head and neck oncology</w:t>
            </w:r>
          </w:p>
        </w:tc>
        <w:tc>
          <w:tcPr/>
          <w:p>
            <w:pPr>
              <w:pStyle w:val="Compact"/>
              <w:jc w:val="right"/>
            </w:pPr>
            <w:r>
              <w:t xml:space="preserve">1.29</w:t>
            </w:r>
          </w:p>
        </w:tc>
        <w:tc>
          <w:tcPr/>
          <w:p>
            <w:pPr>
              <w:pStyle w:val="Compact"/>
              <w:jc w:val="left"/>
            </w:pPr>
            <w:r>
              <w:t xml:space="preserve">0.74-2.26</w:t>
            </w:r>
          </w:p>
        </w:tc>
        <w:tc>
          <w:tcPr/>
          <w:p>
            <w:pPr>
              <w:pStyle w:val="Compact"/>
              <w:jc w:val="left"/>
            </w:pPr>
            <w:r>
              <w:t xml:space="preserve">0.369</w:t>
            </w:r>
          </w:p>
        </w:tc>
      </w:tr>
      <w:tr>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left"/>
            </w:pPr>
            <w:r>
              <w:t xml:space="preserve">0.020</w:t>
            </w:r>
          </w:p>
        </w:tc>
      </w:tr>
      <w:tr>
        <w:tc>
          <w:tcPr/>
          <w:p>
            <w:pPr>
              <w:pStyle w:val="Compact"/>
              <w:jc w:val="left"/>
            </w:pPr>
            <w:r>
              <w:t xml:space="preserve">Otology/neurotology</w:t>
            </w:r>
          </w:p>
        </w:tc>
        <w:tc>
          <w:tcPr/>
          <w:p>
            <w:pPr>
              <w:pStyle w:val="Compact"/>
              <w:jc w:val="right"/>
            </w:pPr>
            <w:r>
              <w:t xml:space="preserve">1.31</w:t>
            </w:r>
          </w:p>
        </w:tc>
        <w:tc>
          <w:tcPr/>
          <w:p>
            <w:pPr>
              <w:pStyle w:val="Compact"/>
              <w:jc w:val="left"/>
            </w:pPr>
            <w:r>
              <w:t xml:space="preserve">0.72-2.41</w:t>
            </w:r>
          </w:p>
        </w:tc>
        <w:tc>
          <w:tcPr/>
          <w:p>
            <w:pPr>
              <w:pStyle w:val="Compact"/>
              <w:jc w:val="left"/>
            </w:pPr>
            <w:r>
              <w:t xml:space="preserve">0.377</w:t>
            </w:r>
          </w:p>
        </w:tc>
      </w:tr>
      <w:tr>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left"/>
            </w:pPr>
            <w:r>
              <w:t xml:space="preserve">0.013</w:t>
            </w:r>
          </w:p>
        </w:tc>
      </w:tr>
      <w:tr>
        <w:tc>
          <w:tcPr/>
          <w:p>
            <w:pPr>
              <w:pStyle w:val="Compact"/>
              <w:jc w:val="left"/>
            </w:pPr>
            <w:r>
              <w:t xml:space="preserve">Rhinology</w:t>
            </w:r>
          </w:p>
        </w:tc>
        <w:tc>
          <w:tcPr/>
          <w:p>
            <w:pPr>
              <w:pStyle w:val="Compact"/>
              <w:jc w:val="right"/>
            </w:pPr>
            <w:r>
              <w:t xml:space="preserve">1.56</w:t>
            </w:r>
          </w:p>
        </w:tc>
        <w:tc>
          <w:tcPr/>
          <w:p>
            <w:pPr>
              <w:pStyle w:val="Compact"/>
              <w:jc w:val="left"/>
            </w:pPr>
            <w:r>
              <w:t xml:space="preserve">0.90-2.68</w:t>
            </w:r>
          </w:p>
        </w:tc>
        <w:tc>
          <w:tcPr/>
          <w:p>
            <w:pPr>
              <w:pStyle w:val="Compact"/>
              <w:jc w:val="left"/>
            </w:pPr>
            <w:r>
              <w:t xml:space="preserve">0.110</w:t>
            </w:r>
          </w:p>
        </w:tc>
      </w:tr>
      <w:tr>
        <w:tc>
          <w:tcPr/>
          <w:p>
            <w:pPr>
              <w:pStyle w:val="Compact"/>
              <w:jc w:val="left"/>
            </w:pPr>
            <w:r>
              <w:t xml:space="preserve">Sleep medicine</w:t>
            </w:r>
          </w:p>
        </w:tc>
        <w:tc>
          <w:tcPr/>
          <w:p>
            <w:pPr>
              <w:pStyle w:val="Compact"/>
              <w:jc w:val="right"/>
            </w:pPr>
            <w:r>
              <w:t xml:space="preserve">1.21</w:t>
            </w:r>
          </w:p>
        </w:tc>
        <w:tc>
          <w:tcPr/>
          <w:p>
            <w:pPr>
              <w:pStyle w:val="Compact"/>
              <w:jc w:val="left"/>
            </w:pPr>
            <w:r>
              <w:t xml:space="preserve">0.64-2.30</w:t>
            </w:r>
          </w:p>
        </w:tc>
        <w:tc>
          <w:tcPr/>
          <w:p>
            <w:pPr>
              <w:pStyle w:val="Compact"/>
              <w:jc w:val="left"/>
            </w:pPr>
            <w:r>
              <w:t xml:space="preserve">0.551</w:t>
            </w:r>
          </w:p>
        </w:tc>
      </w:tr>
      <w:tr>
        <w:tc>
          <w:tcPr/>
          <w:p>
            <w:pPr>
              <w:pStyle w:val="Compact"/>
              <w:jc w:val="left"/>
            </w:pPr>
            <w:r>
              <w:t xml:space="preserve">Otolaryngologist density (per SD)</w:t>
            </w:r>
          </w:p>
        </w:tc>
        <w:tc>
          <w:tcPr/>
          <w:p>
            <w:pPr>
              <w:pStyle w:val="Compact"/>
              <w:jc w:val="right"/>
            </w:pPr>
            <w:r>
              <w:t xml:space="preserve">0.94</w:t>
            </w:r>
          </w:p>
        </w:tc>
        <w:tc>
          <w:tcPr/>
          <w:p>
            <w:pPr>
              <w:pStyle w:val="Compact"/>
              <w:jc w:val="left"/>
            </w:pPr>
            <w:r>
              <w:t xml:space="preserve">0.82-1.08</w:t>
            </w:r>
          </w:p>
        </w:tc>
        <w:tc>
          <w:tcPr/>
          <w:p>
            <w:pPr>
              <w:pStyle w:val="Compact"/>
              <w:jc w:val="left"/>
            </w:pPr>
            <w:r>
              <w:t xml:space="preserve">0.391</w:t>
            </w:r>
          </w:p>
        </w:tc>
      </w:tr>
      <w:tr>
        <w:tc>
          <w:tcPr/>
          <w:p>
            <w:pPr>
              <w:pStyle w:val="Compact"/>
              <w:jc w:val="left"/>
            </w:pPr>
            <w:r>
              <w:t xml:space="preserve">Medicaid fee index (per SD)</w:t>
            </w:r>
          </w:p>
        </w:tc>
        <w:tc>
          <w:tcPr/>
          <w:p>
            <w:pPr>
              <w:pStyle w:val="Compact"/>
              <w:jc w:val="right"/>
            </w:pPr>
            <w:r>
              <w:t xml:space="preserve">0.94</w:t>
            </w:r>
          </w:p>
        </w:tc>
        <w:tc>
          <w:tcPr/>
          <w:p>
            <w:pPr>
              <w:pStyle w:val="Compact"/>
              <w:jc w:val="left"/>
            </w:pPr>
            <w:r>
              <w:t xml:space="preserve">0.83-1.06</w:t>
            </w:r>
          </w:p>
        </w:tc>
        <w:tc>
          <w:tcPr/>
          <w:p>
            <w:pPr>
              <w:pStyle w:val="Compact"/>
              <w:jc w:val="left"/>
            </w:pPr>
            <w:r>
              <w:t xml:space="preserve">0.318</w:t>
            </w:r>
          </w:p>
        </w:tc>
      </w:tr>
      <w:tr>
        <w:tc>
          <w:tcPr/>
          <w:p>
            <w:pPr>
              <w:pStyle w:val="Compact"/>
              <w:jc w:val="left"/>
            </w:pPr>
            <w:r>
              <w:t xml:space="preserve">Social Vulnerability Index (per SD)</w:t>
            </w:r>
          </w:p>
        </w:tc>
        <w:tc>
          <w:tcPr/>
          <w:p>
            <w:pPr>
              <w:pStyle w:val="Compact"/>
              <w:jc w:val="right"/>
            </w:pPr>
            <w:r>
              <w:t xml:space="preserve">0.96</w:t>
            </w:r>
          </w:p>
        </w:tc>
        <w:tc>
          <w:tcPr/>
          <w:p>
            <w:pPr>
              <w:pStyle w:val="Compact"/>
              <w:jc w:val="left"/>
            </w:pPr>
            <w:r>
              <w:t xml:space="preserve">0.85-1.08</w:t>
            </w:r>
          </w:p>
        </w:tc>
        <w:tc>
          <w:tcPr/>
          <w:p>
            <w:pPr>
              <w:pStyle w:val="Compact"/>
              <w:jc w:val="left"/>
            </w:pPr>
            <w:r>
              <w:t xml:space="preserve">0.489</w:t>
            </w:r>
          </w:p>
        </w:tc>
      </w:tr>
      <w:tr>
        <w:tc>
          <w:tcPr/>
          <w:p>
            <w:pPr>
              <w:pStyle w:val="Compact"/>
              <w:jc w:val="left"/>
            </w:pPr>
            <w:r>
              <w:t xml:space="preserve">Dual-eligible share (per SD)</w:t>
            </w:r>
          </w:p>
        </w:tc>
        <w:tc>
          <w:tcPr/>
          <w:p>
            <w:pPr>
              <w:pStyle w:val="Compact"/>
              <w:jc w:val="right"/>
            </w:pPr>
            <w:r>
              <w:t xml:space="preserve">0.99</w:t>
            </w:r>
          </w:p>
        </w:tc>
        <w:tc>
          <w:tcPr/>
          <w:p>
            <w:pPr>
              <w:pStyle w:val="Compact"/>
              <w:jc w:val="left"/>
            </w:pPr>
            <w:r>
              <w:t xml:space="preserve">0.87-1.12</w:t>
            </w:r>
          </w:p>
        </w:tc>
        <w:tc>
          <w:tcPr/>
          <w:p>
            <w:pPr>
              <w:pStyle w:val="Compact"/>
              <w:jc w:val="left"/>
            </w:pPr>
            <w:r>
              <w:t xml:space="preserve">0.832</w:t>
            </w:r>
          </w:p>
        </w:tc>
      </w:tr>
      <w:tr>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left"/>
            </w:pPr>
            <w:r>
              <w:t xml:space="preserve">0.191</w:t>
            </w:r>
          </w:p>
        </w:tc>
      </w:tr>
      <w:tr>
        <w:tc>
          <w:tcPr/>
          <w:p>
            <w:pPr>
              <w:pStyle w:val="Compact"/>
              <w:jc w:val="left"/>
            </w:pPr>
            <w:r>
              <w:t xml:space="preserve">Caller: Deol</w:t>
            </w:r>
          </w:p>
        </w:tc>
        <w:tc>
          <w:tcPr/>
          <w:p>
            <w:pPr>
              <w:pStyle w:val="Compact"/>
              <w:jc w:val="right"/>
            </w:pPr>
            <w:r>
              <w:t xml:space="preserve">0.83</w:t>
            </w:r>
          </w:p>
        </w:tc>
        <w:tc>
          <w:tcPr/>
          <w:p>
            <w:pPr>
              <w:pStyle w:val="Compact"/>
              <w:jc w:val="left"/>
            </w:pPr>
            <w:r>
              <w:t xml:space="preserve">0.60-1.14</w:t>
            </w:r>
          </w:p>
        </w:tc>
        <w:tc>
          <w:tcPr/>
          <w:p>
            <w:pPr>
              <w:pStyle w:val="Compact"/>
              <w:jc w:val="left"/>
            </w:pPr>
            <w:r>
              <w:t xml:space="preserve">0.258</w:t>
            </w:r>
          </w:p>
        </w:tc>
      </w:tr>
      <w:tr>
        <w:tc>
          <w:tcPr/>
          <w:p>
            <w:pPr>
              <w:pStyle w:val="Compact"/>
              <w:jc w:val="left"/>
            </w:pPr>
            <w:r>
              <w:t xml:space="preserve">Caller: Falk</w:t>
            </w:r>
          </w:p>
        </w:tc>
        <w:tc>
          <w:tcPr/>
          <w:p>
            <w:pPr>
              <w:pStyle w:val="Compact"/>
              <w:jc w:val="right"/>
            </w:pPr>
            <w:r>
              <w:t xml:space="preserve">0.64</w:t>
            </w:r>
          </w:p>
        </w:tc>
        <w:tc>
          <w:tcPr/>
          <w:p>
            <w:pPr>
              <w:pStyle w:val="Compact"/>
              <w:jc w:val="left"/>
            </w:pPr>
            <w:r>
              <w:t xml:space="preserve">0.43-0.93</w:t>
            </w:r>
          </w:p>
        </w:tc>
        <w:tc>
          <w:tcPr/>
          <w:p>
            <w:pPr>
              <w:pStyle w:val="Compact"/>
              <w:jc w:val="left"/>
            </w:pPr>
            <w:r>
              <w:t xml:space="preserve">0.020</w:t>
            </w:r>
          </w:p>
        </w:tc>
      </w:tr>
      <w:tr>
        <w:tc>
          <w:tcPr/>
          <w:p>
            <w:pPr>
              <w:pStyle w:val="Compact"/>
              <w:jc w:val="left"/>
            </w:pPr>
            <w:r>
              <w:t xml:space="preserve">Caller: Gregg</w:t>
            </w:r>
          </w:p>
        </w:tc>
        <w:tc>
          <w:tcPr/>
          <w:p>
            <w:pPr>
              <w:pStyle w:val="Compact"/>
              <w:jc w:val="right"/>
            </w:pPr>
            <w:r>
              <w:t xml:space="preserve">0.90</w:t>
            </w:r>
          </w:p>
        </w:tc>
        <w:tc>
          <w:tcPr/>
          <w:p>
            <w:pPr>
              <w:pStyle w:val="Compact"/>
              <w:jc w:val="left"/>
            </w:pPr>
            <w:r>
              <w:t xml:space="preserve">0.65-1.25</w:t>
            </w:r>
          </w:p>
        </w:tc>
        <w:tc>
          <w:tcPr/>
          <w:p>
            <w:pPr>
              <w:pStyle w:val="Compact"/>
              <w:jc w:val="left"/>
            </w:pPr>
            <w:r>
              <w:t xml:space="preserve">0.528</w:t>
            </w:r>
          </w:p>
        </w:tc>
      </w:tr>
      <w:tr>
        <w:tc>
          <w:tcPr/>
          <w:p>
            <w:pPr>
              <w:pStyle w:val="Compact"/>
              <w:jc w:val="left"/>
            </w:pPr>
            <w:r>
              <w:t xml:space="preserve">Caller: Kim</w:t>
            </w:r>
          </w:p>
        </w:tc>
        <w:tc>
          <w:tcPr/>
          <w:p>
            <w:pPr>
              <w:pStyle w:val="Compact"/>
              <w:jc w:val="right"/>
            </w:pPr>
            <w:r>
              <w:t xml:space="preserve">0.98</w:t>
            </w:r>
          </w:p>
        </w:tc>
        <w:tc>
          <w:tcPr/>
          <w:p>
            <w:pPr>
              <w:pStyle w:val="Compact"/>
              <w:jc w:val="left"/>
            </w:pPr>
            <w:r>
              <w:t xml:space="preserve">0.70-1.37</w:t>
            </w:r>
          </w:p>
        </w:tc>
        <w:tc>
          <w:tcPr/>
          <w:p>
            <w:pPr>
              <w:pStyle w:val="Compact"/>
              <w:jc w:val="left"/>
            </w:pPr>
            <w:r>
              <w:t xml:space="preserve">0.896</w:t>
            </w:r>
          </w:p>
        </w:tc>
      </w:tr>
      <w:tr>
        <w:tc>
          <w:tcPr/>
          <w:p>
            <w:pPr>
              <w:pStyle w:val="Compact"/>
              <w:jc w:val="left"/>
            </w:pPr>
            <w:r>
              <w:t xml:space="preserve">Caller: Other</w:t>
            </w:r>
          </w:p>
        </w:tc>
        <w:tc>
          <w:tcPr/>
          <w:p>
            <w:pPr>
              <w:pStyle w:val="Compact"/>
              <w:jc w:val="right"/>
            </w:pPr>
            <w:r>
              <w:t xml:space="preserve">0.66</w:t>
            </w:r>
          </w:p>
        </w:tc>
        <w:tc>
          <w:tcPr/>
          <w:p>
            <w:pPr>
              <w:pStyle w:val="Compact"/>
              <w:jc w:val="left"/>
            </w:pPr>
            <w:r>
              <w:t xml:space="preserve">0.23-1.87</w:t>
            </w:r>
          </w:p>
        </w:tc>
        <w:tc>
          <w:tcPr/>
          <w:p>
            <w:pPr>
              <w:pStyle w:val="Compact"/>
              <w:jc w:val="left"/>
            </w:pPr>
            <w:r>
              <w:t xml:space="preserve">0.436</w:t>
            </w:r>
          </w:p>
        </w:tc>
      </w:tr>
      <w:tr>
        <w:tc>
          <w:tcPr/>
          <w:p>
            <w:pPr>
              <w:pStyle w:val="Compact"/>
              <w:jc w:val="left"/>
            </w:pPr>
            <w:r>
              <w:t xml:space="preserve">Caller: Walsh</w:t>
            </w:r>
          </w:p>
        </w:tc>
        <w:tc>
          <w:tcPr/>
          <w:p>
            <w:pPr>
              <w:pStyle w:val="Compact"/>
              <w:jc w:val="right"/>
            </w:pPr>
            <w:r>
              <w:t xml:space="preserve">0.89</w:t>
            </w:r>
          </w:p>
        </w:tc>
        <w:tc>
          <w:tcPr/>
          <w:p>
            <w:pPr>
              <w:pStyle w:val="Compact"/>
              <w:jc w:val="left"/>
            </w:pPr>
            <w:r>
              <w:t xml:space="preserve">0.64-1.23</w:t>
            </w:r>
          </w:p>
        </w:tc>
        <w:tc>
          <w:tcPr/>
          <w:p>
            <w:pPr>
              <w:pStyle w:val="Compact"/>
              <w:jc w:val="left"/>
            </w:pPr>
            <w:r>
              <w:t xml:space="preserve">0.465</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286</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209</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96</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29.5</w:t>
            </w:r>
          </w:p>
        </w:tc>
        <w:tc>
          <w:tcPr/>
          <w:p>
            <w:pPr>
              <w:pStyle w:val="Compact"/>
              <w:jc w:val="right"/>
            </w:pPr>
            <w:r>
              <w:t xml:space="preserve">14</w:t>
            </w:r>
          </w:p>
        </w:tc>
        <w:tc>
          <w:tcPr/>
          <w:p>
            <w:pPr>
              <w:pStyle w:val="Compact"/>
              <w:jc w:val="right"/>
            </w:pPr>
            <w:r>
              <w:t xml:space="preserve">51</w:t>
            </w:r>
          </w:p>
        </w:tc>
        <w:tc>
          <w:tcPr/>
          <w:p>
            <w:pPr>
              <w:pStyle w:val="Compact"/>
              <w:jc w:val="right"/>
            </w:pPr>
            <w:r>
              <w:t xml:space="preserve">26</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30</w:t>
            </w:r>
          </w:p>
        </w:tc>
        <w:tc>
          <w:tcPr/>
          <w:p>
            <w:pPr>
              <w:pStyle w:val="Compact"/>
              <w:jc w:val="right"/>
            </w:pPr>
            <w:r>
              <w:t xml:space="preserve">48</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0.542</w:t>
            </w:r>
          </w:p>
        </w:tc>
        <w:tc>
          <w:tcPr/>
          <w:p>
            <w:pPr>
              <w:pStyle w:val="Compact"/>
              <w:jc w:val="right"/>
            </w:pPr>
            <w:r>
              <w:t xml:space="preserve">0.403</w:t>
            </w:r>
          </w:p>
        </w:tc>
        <w:tc>
          <w:tcPr/>
          <w:p>
            <w:pPr>
              <w:pStyle w:val="Compact"/>
              <w:jc w:val="right"/>
            </w:pPr>
            <w:r>
              <w:t xml:space="preserve">0.674</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13.723</w:t>
            </w:r>
          </w:p>
        </w:tc>
        <w:tc>
          <w:tcPr/>
          <w:p>
            <w:pPr>
              <w:pStyle w:val="Compact"/>
              <w:jc w:val="right"/>
            </w:pPr>
            <w:r>
              <w:t xml:space="preserve">1.253</w:t>
            </w:r>
          </w:p>
        </w:tc>
        <w:tc>
          <w:tcPr/>
          <w:p>
            <w:pPr>
              <w:pStyle w:val="Compact"/>
              <w:jc w:val="right"/>
            </w:pPr>
            <w:r>
              <w:t xml:space="preserve">0.937</w:t>
            </w:r>
          </w:p>
        </w:tc>
        <w:tc>
          <w:tcPr/>
          <w:p>
            <w:pPr>
              <w:pStyle w:val="Compact"/>
              <w:jc w:val="right"/>
            </w:pPr>
            <w:r>
              <w:t xml:space="preserve">1.676</w:t>
            </w:r>
          </w:p>
        </w:tc>
        <w:tc>
          <w:tcPr/>
          <w:p>
            <w:pPr>
              <w:pStyle w:val="Compact"/>
              <w:jc w:val="right"/>
            </w:pPr>
            <w:r>
              <w:t xml:space="preserve">0.099</w:t>
            </w:r>
          </w:p>
        </w:tc>
        <w:tc>
          <w:tcPr/>
          <w:p>
            <w:pPr>
              <w:pStyle w:val="Compact"/>
              <w:jc w:val="left"/>
            </w:pPr>
            <w:r>
              <w:t xml:space="preserve">p = 0.099</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100</w:t>
            </w:r>
          </w:p>
        </w:tc>
        <w:tc>
          <w:tcPr/>
          <w:p>
            <w:pPr>
              <w:pStyle w:val="Compact"/>
              <w:jc w:val="right"/>
            </w:pPr>
            <w:r>
              <w:t xml:space="preserve">0.649</w:t>
            </w:r>
          </w:p>
        </w:tc>
        <w:tc>
          <w:tcPr/>
          <w:p>
            <w:pPr>
              <w:pStyle w:val="Compact"/>
              <w:jc w:val="right"/>
            </w:pPr>
            <w:r>
              <w:t xml:space="preserve">0.571</w:t>
            </w:r>
          </w:p>
        </w:tc>
        <w:tc>
          <w:tcPr/>
          <w:p>
            <w:pPr>
              <w:pStyle w:val="Compact"/>
              <w:jc w:val="right"/>
            </w:pPr>
            <w:r>
              <w:t xml:space="preserve">0.720</w:t>
            </w:r>
          </w:p>
        </w:tc>
        <w:tc>
          <w:tcPr/>
          <w:p>
            <w:pPr>
              <w:pStyle w:val="Compact"/>
              <w:jc w:val="right"/>
            </w:pPr>
            <w:r>
              <w:t xml:space="preserve">10.768</w:t>
            </w:r>
          </w:p>
        </w:tc>
        <w:tc>
          <w:tcPr/>
          <w:p>
            <w:pPr>
              <w:pStyle w:val="Compact"/>
              <w:jc w:val="right"/>
            </w:pPr>
            <w:r>
              <w:t xml:space="preserve">1.199</w:t>
            </w:r>
          </w:p>
        </w:tc>
        <w:tc>
          <w:tcPr/>
          <w:p>
            <w:pPr>
              <w:pStyle w:val="Compact"/>
              <w:jc w:val="right"/>
            </w:pPr>
            <w:r>
              <w:t xml:space="preserve">0.902</w:t>
            </w:r>
          </w:p>
        </w:tc>
        <w:tc>
          <w:tcPr/>
          <w:p>
            <w:pPr>
              <w:pStyle w:val="Compact"/>
              <w:jc w:val="right"/>
            </w:pPr>
            <w:r>
              <w:t xml:space="preserve">1.594</w:t>
            </w:r>
          </w:p>
        </w:tc>
        <w:tc>
          <w:tcPr/>
          <w:p>
            <w:pPr>
              <w:pStyle w:val="Compact"/>
              <w:jc w:val="right"/>
            </w:pPr>
            <w:r>
              <w:t xml:space="preserve">0.179</w:t>
            </w:r>
          </w:p>
        </w:tc>
        <w:tc>
          <w:tcPr/>
          <w:p>
            <w:pPr>
              <w:pStyle w:val="Compact"/>
              <w:jc w:val="left"/>
            </w:pPr>
            <w:r>
              <w:t xml:space="preserve">p = 0.179</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8.624</w:t>
            </w:r>
          </w:p>
        </w:tc>
        <w:tc>
          <w:tcPr/>
          <w:p>
            <w:pPr>
              <w:pStyle w:val="Compact"/>
              <w:jc w:val="right"/>
            </w:pPr>
            <w:r>
              <w:t xml:space="preserve">1.159</w:t>
            </w:r>
          </w:p>
        </w:tc>
        <w:tc>
          <w:tcPr/>
          <w:p>
            <w:pPr>
              <w:pStyle w:val="Compact"/>
              <w:jc w:val="right"/>
            </w:pPr>
            <w:r>
              <w:t xml:space="preserve">0.866</w:t>
            </w:r>
          </w:p>
        </w:tc>
        <w:tc>
          <w:tcPr/>
          <w:p>
            <w:pPr>
              <w:pStyle w:val="Compact"/>
              <w:jc w:val="right"/>
            </w:pPr>
            <w:r>
              <w:t xml:space="preserve">1.553</w:t>
            </w:r>
          </w:p>
        </w:tc>
        <w:tc>
          <w:tcPr/>
          <w:p>
            <w:pPr>
              <w:pStyle w:val="Compact"/>
              <w:jc w:val="right"/>
            </w:pPr>
            <w:r>
              <w:t xml:space="preserve">0.297</w:t>
            </w:r>
          </w:p>
        </w:tc>
        <w:tc>
          <w:tcPr/>
          <w:p>
            <w:pPr>
              <w:pStyle w:val="Compact"/>
              <w:jc w:val="left"/>
            </w:pPr>
            <w:r>
              <w:t xml:space="preserve">p = 0.297</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0.582</w:t>
            </w:r>
          </w:p>
        </w:tc>
        <w:tc>
          <w:tcPr/>
          <w:p>
            <w:pPr>
              <w:pStyle w:val="Compact"/>
              <w:jc w:val="right"/>
            </w:pPr>
            <w:r>
              <w:t xml:space="preserve">0.463</w:t>
            </w:r>
          </w:p>
        </w:tc>
        <w:tc>
          <w:tcPr/>
          <w:p>
            <w:pPr>
              <w:pStyle w:val="Compact"/>
              <w:jc w:val="right"/>
            </w:pPr>
            <w:r>
              <w:t xml:space="preserve">0.693</w:t>
            </w:r>
          </w:p>
        </w:tc>
        <w:tc>
          <w:tcPr/>
          <w:p>
            <w:pPr>
              <w:pStyle w:val="Compact"/>
              <w:jc w:val="right"/>
            </w:pPr>
            <w:r>
              <w:t xml:space="preserve">4.042</w:t>
            </w:r>
          </w:p>
        </w:tc>
        <w:tc>
          <w:tcPr/>
          <w:p>
            <w:pPr>
              <w:pStyle w:val="Compact"/>
              <w:jc w:val="right"/>
            </w:pPr>
            <w:r>
              <w:t xml:space="preserve">1.075</w:t>
            </w:r>
          </w:p>
        </w:tc>
        <w:tc>
          <w:tcPr/>
          <w:p>
            <w:pPr>
              <w:pStyle w:val="Compact"/>
              <w:jc w:val="right"/>
            </w:pPr>
            <w:r>
              <w:t xml:space="preserve">0.773</w:t>
            </w:r>
          </w:p>
        </w:tc>
        <w:tc>
          <w:tcPr/>
          <w:p>
            <w:pPr>
              <w:pStyle w:val="Compact"/>
              <w:jc w:val="right"/>
            </w:pPr>
            <w:r>
              <w:t xml:space="preserve">1.495</w:t>
            </w:r>
          </w:p>
        </w:tc>
        <w:tc>
          <w:tcPr/>
          <w:p>
            <w:pPr>
              <w:pStyle w:val="Compact"/>
              <w:jc w:val="right"/>
            </w:pPr>
            <w:r>
              <w:t xml:space="preserve">0.666</w:t>
            </w:r>
          </w:p>
        </w:tc>
        <w:tc>
          <w:tcPr/>
          <w:p>
            <w:pPr>
              <w:pStyle w:val="Compact"/>
              <w:jc w:val="left"/>
            </w:pPr>
            <w:r>
              <w:t xml:space="preserve">p = 0.666</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2.652</w:t>
            </w:r>
          </w:p>
        </w:tc>
        <w:tc>
          <w:tcPr/>
          <w:p>
            <w:pPr>
              <w:pStyle w:val="Compact"/>
              <w:jc w:val="right"/>
            </w:pPr>
            <w:r>
              <w:t xml:space="preserve">1.049</w:t>
            </w:r>
          </w:p>
        </w:tc>
        <w:tc>
          <w:tcPr/>
          <w:p>
            <w:pPr>
              <w:pStyle w:val="Compact"/>
              <w:jc w:val="right"/>
            </w:pPr>
            <w:r>
              <w:t xml:space="preserve">0.763</w:t>
            </w:r>
          </w:p>
        </w:tc>
        <w:tc>
          <w:tcPr/>
          <w:p>
            <w:pPr>
              <w:pStyle w:val="Compact"/>
              <w:jc w:val="right"/>
            </w:pPr>
            <w:r>
              <w:t xml:space="preserve">1.441</w:t>
            </w:r>
          </w:p>
        </w:tc>
        <w:tc>
          <w:tcPr/>
          <w:p>
            <w:pPr>
              <w:pStyle w:val="Compact"/>
              <w:jc w:val="right"/>
            </w:pPr>
            <w:r>
              <w:t xml:space="preserve">0.766</w:t>
            </w:r>
          </w:p>
        </w:tc>
        <w:tc>
          <w:tcPr/>
          <w:p>
            <w:pPr>
              <w:pStyle w:val="Compact"/>
              <w:jc w:val="left"/>
            </w:pPr>
            <w:r>
              <w:t xml:space="preserve">p = 0.766</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45</w:t>
            </w:r>
          </w:p>
        </w:tc>
        <w:tc>
          <w:tcPr/>
          <w:p>
            <w:pPr>
              <w:pStyle w:val="Compact"/>
              <w:jc w:val="right"/>
            </w:pPr>
            <w:r>
              <w:t xml:space="preserve">0.495</w:t>
            </w:r>
          </w:p>
        </w:tc>
        <w:tc>
          <w:tcPr/>
          <w:p>
            <w:pPr>
              <w:pStyle w:val="Compact"/>
              <w:jc w:val="right"/>
            </w:pPr>
            <w:r>
              <w:t xml:space="preserve">0.394</w:t>
            </w:r>
          </w:p>
        </w:tc>
        <w:tc>
          <w:tcPr/>
          <w:p>
            <w:pPr>
              <w:pStyle w:val="Compact"/>
              <w:jc w:val="right"/>
            </w:pPr>
            <w:r>
              <w:t xml:space="preserve">0.595</w:t>
            </w:r>
          </w:p>
        </w:tc>
        <w:tc>
          <w:tcPr/>
          <w:p>
            <w:pPr>
              <w:pStyle w:val="Compact"/>
              <w:jc w:val="right"/>
            </w:pPr>
            <w:r>
              <w:t xml:space="preserve">-4.716</w:t>
            </w:r>
          </w:p>
        </w:tc>
        <w:tc>
          <w:tcPr/>
          <w:p>
            <w:pPr>
              <w:pStyle w:val="Compact"/>
              <w:jc w:val="right"/>
            </w:pPr>
            <w:r>
              <w:t xml:space="preserve">0.913</w:t>
            </w:r>
          </w:p>
        </w:tc>
        <w:tc>
          <w:tcPr/>
          <w:p>
            <w:pPr>
              <w:pStyle w:val="Compact"/>
              <w:jc w:val="right"/>
            </w:pPr>
            <w:r>
              <w:t xml:space="preserve">0.654</w:t>
            </w:r>
          </w:p>
        </w:tc>
        <w:tc>
          <w:tcPr/>
          <w:p>
            <w:pPr>
              <w:pStyle w:val="Compact"/>
              <w:jc w:val="right"/>
            </w:pPr>
            <w:r>
              <w:t xml:space="preserve">1.274</w:t>
            </w:r>
          </w:p>
        </w:tc>
        <w:tc>
          <w:tcPr/>
          <w:p>
            <w:pPr>
              <w:pStyle w:val="Compact"/>
              <w:jc w:val="right"/>
            </w:pPr>
            <w:r>
              <w:t xml:space="preserve">0.597</w:t>
            </w:r>
          </w:p>
        </w:tc>
        <w:tc>
          <w:tcPr/>
          <w:p>
            <w:pPr>
              <w:pStyle w:val="Compact"/>
              <w:jc w:val="left"/>
            </w:pPr>
            <w:r>
              <w:t xml:space="preserve">p = 0.597</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-7.500</w:t>
            </w:r>
          </w:p>
        </w:tc>
        <w:tc>
          <w:tcPr/>
          <w:p>
            <w:pPr>
              <w:pStyle w:val="Compact"/>
              <w:jc w:val="right"/>
            </w:pPr>
            <w:r>
              <w:t xml:space="preserve">0.862</w:t>
            </w:r>
          </w:p>
        </w:tc>
        <w:tc>
          <w:tcPr/>
          <w:p>
            <w:pPr>
              <w:pStyle w:val="Compact"/>
              <w:jc w:val="right"/>
            </w:pPr>
            <w:r>
              <w:t xml:space="preserve">0.574</w:t>
            </w:r>
          </w:p>
        </w:tc>
        <w:tc>
          <w:tcPr/>
          <w:p>
            <w:pPr>
              <w:pStyle w:val="Compact"/>
              <w:jc w:val="right"/>
            </w:pPr>
            <w:r>
              <w:t xml:space="preserve">1.294</w:t>
            </w:r>
          </w:p>
        </w:tc>
        <w:tc>
          <w:tcPr/>
          <w:p>
            <w:pPr>
              <w:pStyle w:val="Compact"/>
              <w:jc w:val="right"/>
            </w:pPr>
            <w:r>
              <w:t xml:space="preserve">0.470</w:t>
            </w:r>
          </w:p>
        </w:tc>
        <w:tc>
          <w:tcPr/>
          <w:p>
            <w:pPr>
              <w:pStyle w:val="Compact"/>
              <w:jc w:val="left"/>
            </w:pPr>
            <w:r>
              <w:t xml:space="preserve">p = 0.470</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168"/>
        <w:gridCol w:w="2464"/>
        <w:gridCol w:w="2288"/>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1.00 (0.59-1.69), p=0.995</w:t>
            </w:r>
          </w:p>
        </w:tc>
        <w:tc>
          <w:tcPr/>
          <w:p>
            <w:pPr>
              <w:pStyle w:val="Compact"/>
              <w:jc w:val="left"/>
            </w:pPr>
            <w:r>
              <w:t xml:space="preserve">1.06 (0.74-1.52), p=0.743</w:t>
            </w:r>
          </w:p>
        </w:tc>
      </w:tr>
      <w:tr>
        <w:tc>
          <w:tcPr/>
          <w:p>
            <w:pPr>
              <w:pStyle w:val="Compact"/>
              <w:jc w:val="left"/>
            </w:pPr>
            <w:r>
              <w:t xml:space="preserve">Head and neck oncology</w:t>
            </w:r>
          </w:p>
        </w:tc>
        <w:tc>
          <w:tcPr/>
          <w:p>
            <w:pPr>
              <w:pStyle w:val="Compact"/>
              <w:jc w:val="left"/>
            </w:pPr>
            <w:r>
              <w:t xml:space="preserve">0.82 (0.36-1.90), p=0.650</w:t>
            </w:r>
          </w:p>
        </w:tc>
        <w:tc>
          <w:tcPr/>
          <w:p>
            <w:pPr>
              <w:pStyle w:val="Compact"/>
              <w:jc w:val="left"/>
            </w:pPr>
            <w:r>
              <w:t xml:space="preserve">1.29 (0.74-2.26), p=0.369</w:t>
            </w:r>
          </w:p>
        </w:tc>
      </w:tr>
      <w:tr>
        <w:tc>
          <w:tcPr/>
          <w:p>
            <w:pPr>
              <w:pStyle w:val="Compact"/>
              <w:jc w:val="left"/>
            </w:pPr>
            <w:r>
              <w:t xml:space="preserve">Laryngology</w:t>
            </w:r>
          </w:p>
        </w:tc>
        <w:tc>
          <w:tcPr/>
          <w:p>
            <w:pPr>
              <w:pStyle w:val="Compact"/>
              <w:jc w:val="left"/>
            </w:pPr>
            <w:r>
              <w:t xml:space="preserve">1.80 (0.51-6.32), p=0.357</w:t>
            </w:r>
          </w:p>
        </w:tc>
        <w:tc>
          <w:tcPr/>
          <w:p>
            <w:pPr>
              <w:pStyle w:val="Compact"/>
              <w:jc w:val="left"/>
            </w:pPr>
            <w:r>
              <w:t xml:space="preserve">2.24 (1.13-4.41), p=0.020</w:t>
            </w:r>
          </w:p>
        </w:tc>
      </w:tr>
      <w:tr>
        <w:tc>
          <w:tcPr/>
          <w:p>
            <w:pPr>
              <w:pStyle w:val="Compact"/>
              <w:jc w:val="left"/>
            </w:pPr>
            <w:r>
              <w:t xml:space="preserve">Otology/neurotology</w:t>
            </w:r>
          </w:p>
        </w:tc>
        <w:tc>
          <w:tcPr/>
          <w:p>
            <w:pPr>
              <w:pStyle w:val="Compact"/>
              <w:jc w:val="left"/>
            </w:pPr>
            <w:r>
              <w:t xml:space="preserve">0.58 (0.27-1.25), p=0.167</w:t>
            </w:r>
          </w:p>
        </w:tc>
        <w:tc>
          <w:tcPr/>
          <w:p>
            <w:pPr>
              <w:pStyle w:val="Compact"/>
              <w:jc w:val="left"/>
            </w:pPr>
            <w:r>
              <w:t xml:space="preserve">1.31 (0.72-2.41), p=0.377</w:t>
            </w:r>
          </w:p>
        </w:tc>
      </w:tr>
      <w:tr>
        <w:tc>
          <w:tcPr/>
          <w:p>
            <w:pPr>
              <w:pStyle w:val="Compact"/>
              <w:jc w:val="left"/>
            </w:pPr>
            <w:r>
              <w:t xml:space="preserve">Pediatric otolaryngology</w:t>
            </w:r>
          </w:p>
        </w:tc>
        <w:tc>
          <w:tcPr/>
          <w:p>
            <w:pPr>
              <w:pStyle w:val="Compact"/>
              <w:jc w:val="left"/>
            </w:pPr>
            <w:r>
              <w:t xml:space="preserve">2.29 (1.09-4.80), p=0.028</w:t>
            </w:r>
          </w:p>
        </w:tc>
        <w:tc>
          <w:tcPr/>
          <w:p>
            <w:pPr>
              <w:pStyle w:val="Compact"/>
              <w:jc w:val="left"/>
            </w:pPr>
            <w:r>
              <w:t xml:space="preserve">1.62 (1.11-2.38), p=0.013</w:t>
            </w:r>
          </w:p>
        </w:tc>
      </w:tr>
      <w:tr>
        <w:tc>
          <w:tcPr/>
          <w:p>
            <w:pPr>
              <w:pStyle w:val="Compact"/>
              <w:jc w:val="left"/>
            </w:pPr>
            <w:r>
              <w:t xml:space="preserve">Rhinology</w:t>
            </w:r>
          </w:p>
        </w:tc>
        <w:tc>
          <w:tcPr/>
          <w:p>
            <w:pPr>
              <w:pStyle w:val="Compact"/>
              <w:jc w:val="left"/>
            </w:pPr>
            <w:r>
              <w:t xml:space="preserve">2.21 (0.75-6.50), p=0.151</w:t>
            </w:r>
          </w:p>
        </w:tc>
        <w:tc>
          <w:tcPr/>
          <w:p>
            <w:pPr>
              <w:pStyle w:val="Compact"/>
              <w:jc w:val="left"/>
            </w:pPr>
            <w:r>
              <w:t xml:space="preserve">1.56 (0.90-2.68), p=0.110</w:t>
            </w:r>
          </w:p>
        </w:tc>
      </w:tr>
      <w:tr>
        <w:tc>
          <w:tcPr/>
          <w:p>
            <w:pPr>
              <w:pStyle w:val="Compact"/>
              <w:jc w:val="left"/>
            </w:pPr>
            <w:r>
              <w:t xml:space="preserve">Sleep medicine</w:t>
            </w:r>
          </w:p>
        </w:tc>
        <w:tc>
          <w:tcPr/>
          <w:p>
            <w:pPr>
              <w:pStyle w:val="Compact"/>
              <w:jc w:val="left"/>
            </w:pPr>
            <w:r>
              <w:t xml:space="preserve">1.71 (0.56-5.21), p=0.344</w:t>
            </w:r>
          </w:p>
        </w:tc>
        <w:tc>
          <w:tcPr/>
          <w:p>
            <w:pPr>
              <w:pStyle w:val="Compact"/>
              <w:jc w:val="left"/>
            </w:pPr>
            <w:r>
              <w:t xml:space="preserve">1.21 (0.64-2.30), p=0.551</w:t>
            </w:r>
          </w:p>
        </w:tc>
      </w:tr>
      <w:tr>
        <w:tc>
          <w:tcPr/>
          <w:p>
            <w:pPr>
              <w:pStyle w:val="Compact"/>
              <w:jc w:val="left"/>
            </w:pPr>
            <w:r>
              <w:t xml:space="preserve">Otolaryngologist density (per SD)</w:t>
            </w:r>
          </w:p>
        </w:tc>
        <w:tc>
          <w:tcPr/>
          <w:p>
            <w:pPr>
              <w:pStyle w:val="Compact"/>
              <w:jc w:val="left"/>
            </w:pPr>
            <w:r>
              <w:t xml:space="preserve">0.96 (0.81-1.13), p=0.617</w:t>
            </w:r>
          </w:p>
        </w:tc>
        <w:tc>
          <w:tcPr/>
          <w:p>
            <w:pPr>
              <w:pStyle w:val="Compact"/>
              <w:jc w:val="left"/>
            </w:pPr>
            <w:r>
              <w:t xml:space="preserve">0.94 (0.82-1.08), p=0.391</w:t>
            </w:r>
          </w:p>
        </w:tc>
      </w:tr>
      <w:tr>
        <w:tc>
          <w:tcPr/>
          <w:p>
            <w:pPr>
              <w:pStyle w:val="Compact"/>
              <w:jc w:val="left"/>
            </w:pPr>
            <w:r>
              <w:t xml:space="preserve">Medicaid fee index (per SD)</w:t>
            </w:r>
          </w:p>
        </w:tc>
        <w:tc>
          <w:tcPr/>
          <w:p>
            <w:pPr>
              <w:pStyle w:val="Compact"/>
              <w:jc w:val="left"/>
            </w:pPr>
            <w:r>
              <w:t xml:space="preserve">0.90 (0.76-1.06), p=0.191</w:t>
            </w:r>
          </w:p>
        </w:tc>
        <w:tc>
          <w:tcPr/>
          <w:p>
            <w:pPr>
              <w:pStyle w:val="Compact"/>
              <w:jc w:val="left"/>
            </w:pPr>
            <w:r>
              <w:t xml:space="preserve">0.94 (0.83-1.06), p=0.318</w:t>
            </w:r>
          </w:p>
        </w:tc>
      </w:tr>
      <w:tr>
        <w:tc>
          <w:tcPr/>
          <w:p>
            <w:pPr>
              <w:pStyle w:val="Compact"/>
              <w:jc w:val="left"/>
            </w:pPr>
            <w:r>
              <w:t xml:space="preserve">Social Vulnerability Index (per SD)</w:t>
            </w:r>
          </w:p>
        </w:tc>
        <w:tc>
          <w:tcPr/>
          <w:p>
            <w:pPr>
              <w:pStyle w:val="Compact"/>
              <w:jc w:val="left"/>
            </w:pPr>
            <w:r>
              <w:t xml:space="preserve">0.93 (0.78-1.11), p=0.425</w:t>
            </w:r>
          </w:p>
        </w:tc>
        <w:tc>
          <w:tcPr/>
          <w:p>
            <w:pPr>
              <w:pStyle w:val="Compact"/>
              <w:jc w:val="left"/>
            </w:pPr>
            <w:r>
              <w:t xml:space="preserve">0.96 (0.85-1.08), p=0.489</w:t>
            </w:r>
          </w:p>
        </w:tc>
      </w:tr>
      <w:tr>
        <w:tc>
          <w:tcPr/>
          <w:p>
            <w:pPr>
              <w:pStyle w:val="Compact"/>
              <w:jc w:val="left"/>
            </w:pPr>
            <w:r>
              <w:t xml:space="preserve">Dual-eligible share (per SD)</w:t>
            </w:r>
          </w:p>
        </w:tc>
        <w:tc>
          <w:tcPr/>
          <w:p>
            <w:pPr>
              <w:pStyle w:val="Compact"/>
              <w:jc w:val="left"/>
            </w:pPr>
            <w:r>
              <w:t xml:space="preserve">0.98 (0.82-1.17), p=0.816</w:t>
            </w:r>
          </w:p>
        </w:tc>
        <w:tc>
          <w:tcPr/>
          <w:p>
            <w:pPr>
              <w:pStyle w:val="Compact"/>
              <w:jc w:val="left"/>
            </w:pPr>
            <w:r>
              <w:t xml:space="preserve">0.99 (0.87-1.12), p=0.832</w:t>
            </w: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1.04 (0.73-1.49), p=0.830</w:t>
            </w:r>
          </w:p>
        </w:tc>
        <w:tc>
          <w:tcPr/>
          <w:p>
            <w:pPr>
              <w:pStyle w:val="Compact"/>
              <w:jc w:val="left"/>
            </w:pPr>
            <w:r>
              <w:t xml:space="preserve">1.19 (0.92-1.53), p=0.191</w:t>
            </w: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2.25 (1.37-3.71), p=0.001</w:t>
            </w:r>
          </w:p>
        </w:tc>
        <w:tc>
          <w:tcPr/>
          <w:p>
            <w:pPr>
              <w:pStyle w:val="Compact"/>
              <w:jc w:val="left"/>
            </w:pPr>
            <w:r>
              <w:t xml:space="preserve">0.83 (0.60-1.14), p=0.258</w:t>
            </w:r>
          </w:p>
        </w:tc>
      </w:tr>
      <w:tr>
        <w:tc>
          <w:tcPr/>
          <w:p>
            <w:pPr>
              <w:pStyle w:val="Compact"/>
              <w:jc w:val="left"/>
            </w:pPr>
            <w:r>
              <w:t xml:space="preserve">Caller: Falk</w:t>
            </w:r>
          </w:p>
        </w:tc>
        <w:tc>
          <w:tcPr/>
          <w:p>
            <w:pPr>
              <w:pStyle w:val="Compact"/>
              <w:jc w:val="left"/>
            </w:pPr>
            <w:r>
              <w:t xml:space="preserve">1.88 (1.07-3.31), p=0.029</w:t>
            </w:r>
          </w:p>
        </w:tc>
        <w:tc>
          <w:tcPr/>
          <w:p>
            <w:pPr>
              <w:pStyle w:val="Compact"/>
              <w:jc w:val="left"/>
            </w:pPr>
            <w:r>
              <w:t xml:space="preserve">0.64 (0.43-0.93), p=0.020</w:t>
            </w:r>
          </w:p>
        </w:tc>
      </w:tr>
      <w:tr>
        <w:tc>
          <w:tcPr/>
          <w:p>
            <w:pPr>
              <w:pStyle w:val="Compact"/>
              <w:jc w:val="left"/>
            </w:pPr>
            <w:r>
              <w:t xml:space="preserve">Caller: Gregg</w:t>
            </w:r>
          </w:p>
        </w:tc>
        <w:tc>
          <w:tcPr/>
          <w:p>
            <w:pPr>
              <w:pStyle w:val="Compact"/>
              <w:jc w:val="left"/>
            </w:pPr>
            <w:r>
              <w:t xml:space="preserve">1.89 (1.14-3.11), p=0.013</w:t>
            </w:r>
          </w:p>
        </w:tc>
        <w:tc>
          <w:tcPr/>
          <w:p>
            <w:pPr>
              <w:pStyle w:val="Compact"/>
              <w:jc w:val="left"/>
            </w:pPr>
            <w:r>
              <w:t xml:space="preserve">0.90 (0.65-1.25), p=0.528</w:t>
            </w:r>
          </w:p>
        </w:tc>
      </w:tr>
      <w:tr>
        <w:tc>
          <w:tcPr/>
          <w:p>
            <w:pPr>
              <w:pStyle w:val="Compact"/>
              <w:jc w:val="left"/>
            </w:pPr>
            <w:r>
              <w:t xml:space="preserve">Caller: Kim</w:t>
            </w:r>
          </w:p>
        </w:tc>
        <w:tc>
          <w:tcPr/>
          <w:p>
            <w:pPr>
              <w:pStyle w:val="Compact"/>
              <w:jc w:val="left"/>
            </w:pPr>
            <w:r>
              <w:t xml:space="preserve">2.06 (1.25-3.41), p=0.005</w:t>
            </w:r>
          </w:p>
        </w:tc>
        <w:tc>
          <w:tcPr/>
          <w:p>
            <w:pPr>
              <w:pStyle w:val="Compact"/>
              <w:jc w:val="left"/>
            </w:pPr>
            <w:r>
              <w:t xml:space="preserve">0.98 (0.70-1.37), p=0.896</w:t>
            </w:r>
          </w:p>
        </w:tc>
      </w:tr>
      <w:tr>
        <w:tc>
          <w:tcPr/>
          <w:p>
            <w:pPr>
              <w:pStyle w:val="Compact"/>
              <w:jc w:val="left"/>
            </w:pPr>
            <w:r>
              <w:t xml:space="preserve">Caller: Other</w:t>
            </w:r>
          </w:p>
        </w:tc>
        <w:tc>
          <w:tcPr/>
          <w:p>
            <w:pPr>
              <w:pStyle w:val="Compact"/>
              <w:jc w:val="left"/>
            </w:pPr>
            <w:r>
              <w:t xml:space="preserve">1.31 (0.41-4.21), p=0.648</w:t>
            </w:r>
          </w:p>
        </w:tc>
        <w:tc>
          <w:tcPr/>
          <w:p>
            <w:pPr>
              <w:pStyle w:val="Compact"/>
              <w:jc w:val="left"/>
            </w:pPr>
            <w:r>
              <w:t xml:space="preserve">0.66 (0.23-1.87), p=0.436</w:t>
            </w:r>
          </w:p>
        </w:tc>
      </w:tr>
      <w:tr>
        <w:tc>
          <w:tcPr/>
          <w:p>
            <w:pPr>
              <w:pStyle w:val="Compact"/>
              <w:jc w:val="left"/>
            </w:pPr>
            <w:r>
              <w:t xml:space="preserve">Caller: Walsh</w:t>
            </w:r>
          </w:p>
        </w:tc>
        <w:tc>
          <w:tcPr/>
          <w:p>
            <w:pPr>
              <w:pStyle w:val="Compact"/>
              <w:jc w:val="left"/>
            </w:pPr>
            <w:r>
              <w:t xml:space="preserve">2.32 (1.42-3.80), p=&lt; 0.001</w:t>
            </w:r>
          </w:p>
        </w:tc>
        <w:tc>
          <w:tcPr/>
          <w:p>
            <w:pPr>
              <w:pStyle w:val="Compact"/>
              <w:jc w:val="left"/>
            </w:pPr>
            <w:r>
              <w:t xml:space="preserve">0.89 (0.64-1.23), p=0.465</w:t>
            </w: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426</w:t>
            </w:r>
          </w:p>
        </w:tc>
      </w:tr>
      <w:tr>
        <w:tc>
          <w:tcPr/>
          <w:p>
            <w:pPr>
              <w:pStyle w:val="Compact"/>
              <w:jc w:val="left"/>
            </w:pPr>
            <w:r>
              <w:t xml:space="preserve">AIC</w:t>
            </w:r>
          </w:p>
        </w:tc>
        <w:tc>
          <w:tcPr/>
          <w:p>
            <w:pPr>
              <w:pStyle w:val="Compact"/>
              <w:jc w:val="left"/>
            </w:pPr>
            <w:r>
              <w:t xml:space="preserve">991.4</w:t>
            </w:r>
          </w:p>
        </w:tc>
        <w:tc>
          <w:tcPr/>
          <w:p>
            <w:pPr>
              <w:pStyle w:val="Compact"/>
              <w:jc w:val="left"/>
            </w:pPr>
            <w:r>
              <w:t xml:space="preserve">3514.6</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753"/>
        <w:gridCol w:w="961"/>
        <w:gridCol w:w="1697"/>
        <w:gridCol w:w="1018"/>
        <w:gridCol w:w="565"/>
        <w:gridCol w:w="452"/>
        <w:gridCol w:w="622"/>
        <w:gridCol w:w="848"/>
      </w:tblGrid>
      <w:tr>
        <w:trPr>
          <w:tblHeader w:val="on"/>
        </w:trPr>
        <w:tc>
          <w:tcPr/>
          <w:p>
            <w:pPr>
              <w:pStyle w:val="Compact"/>
              <w:jc w:val="left"/>
            </w:pPr>
            <w:r>
              <w:t xml:space="preserve">Specification</w:t>
            </w:r>
          </w:p>
        </w:tc>
        <w:tc>
          <w:tcPr/>
          <w:p>
            <w:pPr>
              <w:pStyle w:val="Compact"/>
              <w:jc w:val="left"/>
            </w:pPr>
            <w:r>
              <w:t xml:space="preserve">Model part</w:t>
            </w:r>
          </w:p>
        </w:tc>
        <w:tc>
          <w:tcPr/>
          <w:p>
            <w:pPr>
              <w:pStyle w:val="Compact"/>
              <w:jc w:val="left"/>
            </w:pPr>
            <w:r>
              <w:t xml:space="preserve">Term</w:t>
            </w:r>
          </w:p>
        </w:tc>
        <w:tc>
          <w:tcPr/>
          <w:p>
            <w:pPr>
              <w:pStyle w:val="Compact"/>
              <w:jc w:val="right"/>
            </w:pPr>
            <w:r>
              <w:t xml:space="preserve">Estimate (OR/IRR)</w:t>
            </w:r>
          </w:p>
        </w:tc>
        <w:tc>
          <w:tcPr/>
          <w:p>
            <w:pPr>
              <w:pStyle w:val="Compact"/>
              <w:jc w:val="left"/>
            </w:pPr>
            <w:r>
              <w:t xml:space="preserve">95% CI</w:t>
            </w:r>
          </w:p>
        </w:tc>
        <w:tc>
          <w:tcPr/>
          <w:p>
            <w:pPr>
              <w:pStyle w:val="Compact"/>
              <w:jc w:val="right"/>
            </w:pPr>
            <w:r>
              <w:t xml:space="preserve">p-value</w:t>
            </w:r>
          </w:p>
        </w:tc>
        <w:tc>
          <w:tcPr/>
          <w:p>
            <w:pPr>
              <w:pStyle w:val="Compact"/>
              <w:jc w:val="right"/>
            </w:pPr>
            <w:r>
              <w:t xml:space="preserve">N (access)</w:t>
            </w:r>
          </w:p>
        </w:tc>
        <w:tc>
          <w:tcPr/>
          <w:p>
            <w:pPr>
              <w:pStyle w:val="Compact"/>
              <w:jc w:val="right"/>
            </w:pPr>
            <w:r>
              <w:t xml:space="preserve">N (timeliness)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1.80</w:t>
            </w:r>
          </w:p>
        </w:tc>
        <w:tc>
          <w:tcPr/>
          <w:p>
            <w:pPr>
              <w:pStyle w:val="Compact"/>
              <w:jc w:val="left"/>
            </w:pPr>
            <w:r>
              <w:t xml:space="preserve">0.51-6.32</w:t>
            </w:r>
          </w:p>
        </w:tc>
        <w:tc>
          <w:tcPr/>
          <w:p>
            <w:pPr>
              <w:pStyle w:val="Compact"/>
              <w:jc w:val="right"/>
            </w:pPr>
            <w:r>
              <w:t xml:space="preserve">0.357</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2.29</w:t>
            </w:r>
          </w:p>
        </w:tc>
        <w:tc>
          <w:tcPr/>
          <w:p>
            <w:pPr>
              <w:pStyle w:val="Compact"/>
              <w:jc w:val="left"/>
            </w:pPr>
            <w:r>
              <w:t xml:space="preserve">1.09-4.80</w:t>
            </w:r>
          </w:p>
        </w:tc>
        <w:tc>
          <w:tcPr/>
          <w:p>
            <w:pPr>
              <w:pStyle w:val="Compact"/>
              <w:jc w:val="right"/>
            </w:pPr>
            <w:r>
              <w:t xml:space="preserve">0.028</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1.04</w:t>
            </w:r>
          </w:p>
        </w:tc>
        <w:tc>
          <w:tcPr/>
          <w:p>
            <w:pPr>
              <w:pStyle w:val="Compact"/>
              <w:jc w:val="left"/>
            </w:pPr>
            <w:r>
              <w:t xml:space="preserve">0.73-1.49</w:t>
            </w:r>
          </w:p>
        </w:tc>
        <w:tc>
          <w:tcPr/>
          <w:p>
            <w:pPr>
              <w:pStyle w:val="Compact"/>
              <w:jc w:val="right"/>
            </w:pPr>
            <w:r>
              <w:t xml:space="preserve">0.830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2.24</w:t>
            </w:r>
          </w:p>
        </w:tc>
        <w:tc>
          <w:tcPr/>
          <w:p>
            <w:pPr>
              <w:pStyle w:val="Compact"/>
              <w:jc w:val="left"/>
            </w:pPr>
            <w:r>
              <w:t xml:space="preserve">1.13-4.41</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1.62</w:t>
            </w:r>
          </w:p>
        </w:tc>
        <w:tc>
          <w:tcPr/>
          <w:p>
            <w:pPr>
              <w:pStyle w:val="Compact"/>
              <w:jc w:val="left"/>
            </w:pPr>
            <w:r>
              <w:t xml:space="preserve">1.11-2.38</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1.19</w:t>
            </w:r>
          </w:p>
        </w:tc>
        <w:tc>
          <w:tcPr/>
          <w:p>
            <w:pPr>
              <w:pStyle w:val="Compact"/>
              <w:jc w:val="left"/>
            </w:pPr>
            <w:r>
              <w:t xml:space="preserve">0.92-1.53</w:t>
            </w:r>
          </w:p>
        </w:tc>
        <w:tc>
          <w:tcPr/>
          <w:p>
            <w:pPr>
              <w:pStyle w:val="Compact"/>
              <w:jc w:val="right"/>
            </w:pPr>
            <w:r>
              <w:t xml:space="preserve">0.191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1.81</w:t>
            </w:r>
          </w:p>
        </w:tc>
        <w:tc>
          <w:tcPr/>
          <w:p>
            <w:pPr>
              <w:pStyle w:val="Compact"/>
              <w:jc w:val="left"/>
            </w:pPr>
            <w:r>
              <w:t xml:space="preserve">0.52-6.34</w:t>
            </w:r>
          </w:p>
        </w:tc>
        <w:tc>
          <w:tcPr/>
          <w:p>
            <w:pPr>
              <w:pStyle w:val="Compact"/>
              <w:jc w:val="right"/>
            </w:pPr>
            <w:r>
              <w:t xml:space="preserve">0.355</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2.28</w:t>
            </w:r>
          </w:p>
        </w:tc>
        <w:tc>
          <w:tcPr/>
          <w:p>
            <w:pPr>
              <w:pStyle w:val="Compact"/>
              <w:jc w:val="left"/>
            </w:pPr>
            <w:r>
              <w:t xml:space="preserve">1.09-4.79</w:t>
            </w:r>
          </w:p>
        </w:tc>
        <w:tc>
          <w:tcPr/>
          <w:p>
            <w:pPr>
              <w:pStyle w:val="Compact"/>
              <w:jc w:val="right"/>
            </w:pPr>
            <w:r>
              <w:t xml:space="preserve">0.029</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1.06</w:t>
            </w:r>
          </w:p>
        </w:tc>
        <w:tc>
          <w:tcPr/>
          <w:p>
            <w:pPr>
              <w:pStyle w:val="Compact"/>
              <w:jc w:val="left"/>
            </w:pPr>
            <w:r>
              <w:t xml:space="preserve">0.73-1.54</w:t>
            </w:r>
          </w:p>
        </w:tc>
        <w:tc>
          <w:tcPr/>
          <w:p>
            <w:pPr>
              <w:pStyle w:val="Compact"/>
              <w:jc w:val="right"/>
            </w:pPr>
            <w:r>
              <w:t xml:space="preserve">0.754</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2.23</w:t>
            </w:r>
          </w:p>
        </w:tc>
        <w:tc>
          <w:tcPr/>
          <w:p>
            <w:pPr>
              <w:pStyle w:val="Compact"/>
              <w:jc w:val="left"/>
            </w:pPr>
            <w:r>
              <w:t xml:space="preserve">1.13-4.40</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1.12-2.40</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0.276</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1.36</w:t>
            </w:r>
          </w:p>
        </w:tc>
        <w:tc>
          <w:tcPr/>
          <w:p>
            <w:pPr>
              <w:pStyle w:val="Compact"/>
              <w:jc w:val="left"/>
            </w:pPr>
            <w:r>
              <w:t xml:space="preserve">0.87-2.12</w:t>
            </w:r>
          </w:p>
        </w:tc>
        <w:tc>
          <w:tcPr/>
          <w:p>
            <w:pPr>
              <w:pStyle w:val="Compact"/>
              <w:jc w:val="right"/>
            </w:pPr>
            <w:r>
              <w:t xml:space="preserve">0.180</w:t>
            </w:r>
          </w:p>
        </w:tc>
        <w:tc>
          <w:tcPr/>
          <w:p>
            <w:pPr>
              <w:pStyle w:val="Compact"/>
              <w:jc w:val="right"/>
            </w:pPr>
            <w:r>
              <w:t xml:space="preserve">731</w:t>
            </w:r>
          </w:p>
        </w:tc>
        <w:tc>
          <w:tcPr/>
          <w:p>
            <w:pPr>
              <w:pStyle w:val="Compact"/>
              <w:jc w:val="right"/>
            </w:pPr>
            <w:r>
              <w:t xml:space="preserve">426</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1.59</w:t>
            </w:r>
          </w:p>
        </w:tc>
        <w:tc>
          <w:tcPr/>
          <w:p>
            <w:pPr>
              <w:pStyle w:val="Compact"/>
              <w:jc w:val="left"/>
            </w:pPr>
            <w:r>
              <w:t xml:space="preserve">0.44-5.75</w:t>
            </w:r>
          </w:p>
        </w:tc>
        <w:tc>
          <w:tcPr/>
          <w:p>
            <w:pPr>
              <w:pStyle w:val="Compact"/>
              <w:jc w:val="right"/>
            </w:pPr>
            <w:r>
              <w:t xml:space="preserve">0.482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2.35</w:t>
            </w:r>
          </w:p>
        </w:tc>
        <w:tc>
          <w:tcPr/>
          <w:p>
            <w:pPr>
              <w:pStyle w:val="Compact"/>
              <w:jc w:val="left"/>
            </w:pPr>
            <w:r>
              <w:t xml:space="preserve">1.08-5.10</w:t>
            </w:r>
          </w:p>
        </w:tc>
        <w:tc>
          <w:tcPr/>
          <w:p>
            <w:pPr>
              <w:pStyle w:val="Compact"/>
              <w:jc w:val="right"/>
            </w:pPr>
            <w:r>
              <w:t xml:space="preserve">0.031</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1.03</w:t>
            </w:r>
          </w:p>
        </w:tc>
        <w:tc>
          <w:tcPr/>
          <w:p>
            <w:pPr>
              <w:pStyle w:val="Compact"/>
              <w:jc w:val="left"/>
            </w:pPr>
            <w:r>
              <w:t xml:space="preserve">0.71-1.49</w:t>
            </w:r>
          </w:p>
        </w:tc>
        <w:tc>
          <w:tcPr/>
          <w:p>
            <w:pPr>
              <w:pStyle w:val="Compact"/>
              <w:jc w:val="right"/>
            </w:pPr>
            <w:r>
              <w:t xml:space="preserve">0.872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2.49</w:t>
            </w:r>
          </w:p>
        </w:tc>
        <w:tc>
          <w:tcPr/>
          <w:p>
            <w:pPr>
              <w:pStyle w:val="Compact"/>
              <w:jc w:val="left"/>
            </w:pPr>
            <w:r>
              <w:t xml:space="preserve">1.22-5.10</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1.02-2.27</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409</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1.16</w:t>
            </w:r>
          </w:p>
        </w:tc>
        <w:tc>
          <w:tcPr/>
          <w:p>
            <w:pPr>
              <w:pStyle w:val="Compact"/>
              <w:jc w:val="left"/>
            </w:pPr>
            <w:r>
              <w:t xml:space="preserve">0.89-1.51</w:t>
            </w:r>
          </w:p>
        </w:tc>
        <w:tc>
          <w:tcPr/>
          <w:p>
            <w:pPr>
              <w:pStyle w:val="Compact"/>
              <w:jc w:val="right"/>
            </w:pPr>
            <w:r>
              <w:t xml:space="preserve">0.275</w:t>
            </w:r>
          </w:p>
        </w:tc>
        <w:tc>
          <w:tcPr/>
          <w:p>
            <w:pPr>
              <w:pStyle w:val="Compact"/>
              <w:jc w:val="right"/>
            </w:pPr>
            <w:r>
              <w:t xml:space="preserve">701</w:t>
            </w:r>
          </w:p>
        </w:tc>
        <w:tc>
          <w:tcPr/>
          <w:p>
            <w:pPr>
              <w:pStyle w:val="Compact"/>
              <w:jc w:val="right"/>
            </w:pPr>
            <w:r>
              <w:t xml:space="preserve">409</w:t>
            </w:r>
          </w:p>
        </w:tc>
      </w:tr>
    </w:tbl>
    <w:p/>
    <w:p>
      <w:pPr>
        <w:pStyle w:val="TableCaption"/>
      </w:pPr>
      <w:r>
        <w:t xml:space="preserve">Table S10. Secondary access measures across the call pathway,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ross the call pathway,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436</w:t>
            </w:r>
          </w:p>
        </w:tc>
        <w:tc>
          <w:tcPr/>
          <w:p>
            <w:pPr>
              <w:pStyle w:val="Compact"/>
              <w:jc w:val="right"/>
            </w:pPr>
            <w:r>
              <w:t xml:space="preserve">731</w:t>
            </w:r>
          </w:p>
        </w:tc>
        <w:tc>
          <w:tcPr/>
          <w:p>
            <w:pPr>
              <w:pStyle w:val="Compact"/>
              <w:jc w:val="right"/>
            </w:pPr>
            <w:r>
              <w:t xml:space="preserve">59.6</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436</w:t>
            </w:r>
          </w:p>
        </w:tc>
        <w:tc>
          <w:tcPr/>
          <w:p>
            <w:pPr>
              <w:pStyle w:val="Compact"/>
              <w:jc w:val="right"/>
            </w:pPr>
            <w:r>
              <w:t xml:space="preserve">84.9</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436</w:t>
            </w:r>
          </w:p>
        </w:tc>
        <w:tc>
          <w:tcPr/>
          <w:p>
            <w:pPr>
              <w:pStyle w:val="Compact"/>
              <w:jc w:val="right"/>
            </w:pPr>
            <w:r>
              <w:t xml:space="preserve">13.3</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436</w:t>
            </w:r>
          </w:p>
        </w:tc>
        <w:tc>
          <w:tcPr/>
          <w:p>
            <w:pPr>
              <w:pStyle w:val="Compact"/>
              <w:jc w:val="right"/>
            </w:pPr>
            <w:r>
              <w:t xml:space="preserve">2.1</w:t>
            </w:r>
          </w:p>
        </w:tc>
      </w:tr>
    </w:tbl>
    <w:p/>
    <w:p>
      <w:pPr>
        <w:pStyle w:val="TableCaption"/>
      </w:pPr>
      <w:r>
        <w:t xml:space="preserve">Table S11. Practice-clustering sensitivity: CBSA-only vs. CBSA + practice-telephone random intercept vs. one-call-per-telephone.</w:t>
      </w:r>
    </w:p>
    <w:tbl>
      <w:tblPr>
        <w:tblStyle w:val="Table"/>
        <w:tblW w:type="pct" w:w="5000"/>
        <w:tblLayout w:type="fixed"/>
        <w:tblLook w:firstRow="1" w:lastRow="0" w:firstColumn="0" w:lastColumn="0" w:noHBand="0" w:noVBand="0" w:val="0020"/>
        <w:tblCaption w:val="Table S11. Practice-clustering sensitivity: CBSA-only vs. CBSA + practice-telephone random intercept vs. one-call-per-telephone."/>
      </w:tblPr>
      <w:tblGrid>
        <w:gridCol w:w="3475"/>
        <w:gridCol w:w="323"/>
        <w:gridCol w:w="2424"/>
        <w:gridCol w:w="1697"/>
      </w:tblGrid>
      <w:tr>
        <w:trPr>
          <w:tblHeader w:val="on"/>
        </w:trPr>
        <w:tc>
          <w:tcPr/>
          <w:p>
            <w:pPr>
              <w:pStyle w:val="Compact"/>
              <w:jc w:val="left"/>
            </w:pPr>
            <w:r>
              <w:t xml:space="preserve">Model</w:t>
            </w:r>
          </w:p>
        </w:tc>
        <w:tc>
          <w:tcPr/>
          <w:p>
            <w:pPr>
              <w:pStyle w:val="Compact"/>
              <w:jc w:val="right"/>
            </w:pPr>
            <w:r>
              <w:t xml:space="preserve">N</w:t>
            </w:r>
          </w:p>
        </w:tc>
        <w:tc>
          <w:tcPr/>
          <w:p>
            <w:pPr>
              <w:pStyle w:val="Compact"/>
              <w:jc w:val="left"/>
            </w:pPr>
            <w:r>
              <w:t xml:space="preserve">Pediatrics access OR (95% CI)</w:t>
            </w:r>
          </w:p>
        </w:tc>
        <w:tc>
          <w:tcPr/>
          <w:p>
            <w:pPr>
              <w:pStyle w:val="Compact"/>
              <w:jc w:val="right"/>
            </w:pPr>
            <w:r>
              <w:t xml:space="preserve">Subspecialty joint p</w:t>
            </w:r>
          </w:p>
        </w:tc>
      </w:tr>
      <w:tr>
        <w:tc>
          <w:tcPr/>
          <w:p>
            <w:pPr>
              <w:pStyle w:val="Compact"/>
              <w:jc w:val="left"/>
            </w:pPr>
            <w:r>
              <w:t xml:space="preserve">Primary (CBSA random intercept only)</w:t>
            </w:r>
          </w:p>
        </w:tc>
        <w:tc>
          <w:tcPr/>
          <w:p>
            <w:pPr>
              <w:pStyle w:val="Compact"/>
              <w:jc w:val="right"/>
            </w:pPr>
            <w:r>
              <w:t xml:space="preserve">731</w:t>
            </w:r>
          </w:p>
        </w:tc>
        <w:tc>
          <w:tcPr/>
          <w:p>
            <w:pPr>
              <w:pStyle w:val="Compact"/>
              <w:jc w:val="left"/>
            </w:pPr>
            <w:r>
              <w:t xml:space="preserve">2.35 (1.11-5.00)</w:t>
            </w:r>
          </w:p>
        </w:tc>
        <w:tc>
          <w:tcPr/>
          <w:p>
            <w:pPr>
              <w:pStyle w:val="Compact"/>
              <w:jc w:val="right"/>
            </w:pPr>
            <w:r>
              <w:t xml:space="preserve">0.093</w:t>
            </w:r>
          </w:p>
        </w:tc>
      </w:tr>
      <w:tr>
        <w:tc>
          <w:tcPr/>
          <w:p>
            <w:pPr>
              <w:pStyle w:val="Compact"/>
              <w:jc w:val="left"/>
            </w:pPr>
            <w:r>
              <w:t xml:space="preserve">CBSA + practice-telephone random intercept</w:t>
            </w:r>
          </w:p>
        </w:tc>
        <w:tc>
          <w:tcPr/>
          <w:p>
            <w:pPr>
              <w:pStyle w:val="Compact"/>
              <w:jc w:val="right"/>
            </w:pPr>
            <w:r>
              <w:t xml:space="preserve">731</w:t>
            </w:r>
          </w:p>
        </w:tc>
        <w:tc>
          <w:tcPr/>
          <w:p>
            <w:pPr>
              <w:pStyle w:val="Compact"/>
              <w:jc w:val="left"/>
            </w:pPr>
            <w:r>
              <w:t xml:space="preserve">2.36 (1.10-5.04)</w:t>
            </w:r>
          </w:p>
        </w:tc>
        <w:tc>
          <w:tcPr/>
          <w:p>
            <w:pPr>
              <w:pStyle w:val="Compact"/>
              <w:jc w:val="right"/>
            </w:pPr>
            <w:r>
              <w:t xml:space="preserve">NA</w:t>
            </w:r>
          </w:p>
        </w:tc>
      </w:tr>
      <w:tr>
        <w:tc>
          <w:tcPr/>
          <w:p>
            <w:pPr>
              <w:pStyle w:val="Compact"/>
              <w:jc w:val="left"/>
            </w:pPr>
            <w:r>
              <w:t xml:space="preserve">One call per telephone number</w:t>
            </w:r>
          </w:p>
        </w:tc>
        <w:tc>
          <w:tcPr/>
          <w:p>
            <w:pPr>
              <w:pStyle w:val="Compact"/>
              <w:jc w:val="right"/>
            </w:pPr>
            <w:r>
              <w:t xml:space="preserve">686</w:t>
            </w:r>
          </w:p>
        </w:tc>
        <w:tc>
          <w:tcPr/>
          <w:p>
            <w:pPr>
              <w:pStyle w:val="Compact"/>
              <w:jc w:val="left"/>
            </w:pPr>
            <w:r>
              <w:t xml:space="preserve">2.38 (1.10-5.16)</w:t>
            </w:r>
          </w:p>
        </w:tc>
        <w:tc>
          <w:tcPr/>
          <w:p>
            <w:pPr>
              <w:pStyle w:val="Compact"/>
              <w:jc w:val="right"/>
            </w:pPr>
            <w:r>
              <w:t xml:space="preserve">0.116</w:t>
            </w:r>
          </w:p>
        </w:tc>
      </w:tr>
    </w:tbl>
    <w:p/>
    <w:p>
      <w:pPr>
        <w:pStyle w:val="TableCaption"/>
      </w:pPr>
      <w:r>
        <w:t xml:space="preserve">Table S12. Access odds ratios for each trained caller (vs. the reference caller).</w:t>
      </w:r>
    </w:p>
    <w:tbl>
      <w:tblPr>
        <w:tblStyle w:val="Table"/>
        <w:tblW w:type="auto" w:w="0"/>
        <w:tblLook w:firstRow="1" w:lastRow="0" w:firstColumn="0" w:lastColumn="0" w:noHBand="0" w:noVBand="0" w:val="0020"/>
        <w:tblCaption w:val="Table S12. Access odds ratios for each trained caller (vs. the reference caller)."/>
      </w:tblPr>
      <w:tblGrid>
        <w:gridCol w:w="2640"/>
        <w:gridCol w:w="2640"/>
        <w:gridCol w:w="2640"/>
      </w:tblGrid>
      <w:tr>
        <w:trPr>
          <w:tblHeader w:val="on"/>
        </w:trPr>
        <w:tc>
          <w:tcPr/>
          <w:p>
            <w:pPr>
              <w:pStyle w:val="Compact"/>
              <w:jc w:val="left"/>
            </w:pPr>
            <w:r>
              <w:t xml:space="preserve">Caller</w:t>
            </w:r>
          </w:p>
        </w:tc>
        <w:tc>
          <w:tcPr/>
          <w:p>
            <w:pPr>
              <w:pStyle w:val="Compact"/>
              <w:jc w:val="left"/>
            </w:pPr>
            <w:r>
              <w:t xml:space="preserve">Access OR (95% CI)</w:t>
            </w:r>
          </w:p>
        </w:tc>
        <w:tc>
          <w:tcPr/>
          <w:p>
            <w:pPr>
              <w:pStyle w:val="Compact"/>
              <w:jc w:val="right"/>
            </w:pPr>
            <w:r>
              <w:t xml:space="preserve">p-value</w:t>
            </w:r>
          </w:p>
        </w:tc>
      </w:tr>
      <w:tr>
        <w:tc>
          <w:tcPr/>
          <w:p>
            <w:pPr>
              <w:pStyle w:val="Compact"/>
              <w:jc w:val="left"/>
            </w:pPr>
            <w:r>
              <w:t xml:space="preserve">Deol</w:t>
            </w:r>
          </w:p>
        </w:tc>
        <w:tc>
          <w:tcPr/>
          <w:p>
            <w:pPr>
              <w:pStyle w:val="Compact"/>
              <w:jc w:val="left"/>
            </w:pPr>
            <w:r>
              <w:t xml:space="preserve">2.32 (1.39-3.88)</w:t>
            </w:r>
          </w:p>
        </w:tc>
        <w:tc>
          <w:tcPr/>
          <w:p>
            <w:pPr>
              <w:pStyle w:val="Compact"/>
              <w:jc w:val="right"/>
            </w:pPr>
            <w:r>
              <w:t xml:space="preserve">0.001</w:t>
            </w:r>
          </w:p>
        </w:tc>
      </w:tr>
      <w:tr>
        <w:tc>
          <w:tcPr/>
          <w:p>
            <w:pPr>
              <w:pStyle w:val="Compact"/>
              <w:jc w:val="left"/>
            </w:pPr>
            <w:r>
              <w:t xml:space="preserve">Falk</w:t>
            </w:r>
          </w:p>
        </w:tc>
        <w:tc>
          <w:tcPr/>
          <w:p>
            <w:pPr>
              <w:pStyle w:val="Compact"/>
              <w:jc w:val="left"/>
            </w:pPr>
            <w:r>
              <w:t xml:space="preserve">1.93 (1.08-3.45)</w:t>
            </w:r>
          </w:p>
        </w:tc>
        <w:tc>
          <w:tcPr/>
          <w:p>
            <w:pPr>
              <w:pStyle w:val="Compact"/>
              <w:jc w:val="right"/>
            </w:pPr>
            <w:r>
              <w:t xml:space="preserve">0.027</w:t>
            </w:r>
          </w:p>
        </w:tc>
      </w:tr>
      <w:tr>
        <w:tc>
          <w:tcPr/>
          <w:p>
            <w:pPr>
              <w:pStyle w:val="Compact"/>
              <w:jc w:val="left"/>
            </w:pPr>
            <w:r>
              <w:t xml:space="preserve">Gregg</w:t>
            </w:r>
          </w:p>
        </w:tc>
        <w:tc>
          <w:tcPr/>
          <w:p>
            <w:pPr>
              <w:pStyle w:val="Compact"/>
              <w:jc w:val="left"/>
            </w:pPr>
            <w:r>
              <w:t xml:space="preserve">1.93 (1.16-3.22)</w:t>
            </w:r>
          </w:p>
        </w:tc>
        <w:tc>
          <w:tcPr/>
          <w:p>
            <w:pPr>
              <w:pStyle w:val="Compact"/>
              <w:jc w:val="right"/>
            </w:pPr>
            <w:r>
              <w:t xml:space="preserve">0.012</w:t>
            </w:r>
          </w:p>
        </w:tc>
      </w:tr>
      <w:tr>
        <w:tc>
          <w:tcPr/>
          <w:p>
            <w:pPr>
              <w:pStyle w:val="Compact"/>
              <w:jc w:val="left"/>
            </w:pPr>
            <w:r>
              <w:t xml:space="preserve">Kim</w:t>
            </w:r>
          </w:p>
        </w:tc>
        <w:tc>
          <w:tcPr/>
          <w:p>
            <w:pPr>
              <w:pStyle w:val="Compact"/>
              <w:jc w:val="left"/>
            </w:pPr>
            <w:r>
              <w:t xml:space="preserve">2.12 (1.26-3.58)</w:t>
            </w:r>
          </w:p>
        </w:tc>
        <w:tc>
          <w:tcPr/>
          <w:p>
            <w:pPr>
              <w:pStyle w:val="Compact"/>
              <w:jc w:val="right"/>
            </w:pPr>
            <w:r>
              <w:t xml:space="preserve">0.005</w:t>
            </w:r>
          </w:p>
        </w:tc>
      </w:tr>
      <w:tr>
        <w:tc>
          <w:tcPr/>
          <w:p>
            <w:pPr>
              <w:pStyle w:val="Compact"/>
              <w:jc w:val="left"/>
            </w:pPr>
            <w:r>
              <w:t xml:space="preserve">Other</w:t>
            </w:r>
          </w:p>
        </w:tc>
        <w:tc>
          <w:tcPr/>
          <w:p>
            <w:pPr>
              <w:pStyle w:val="Compact"/>
              <w:jc w:val="left"/>
            </w:pPr>
            <w:r>
              <w:t xml:space="preserve">1.33 (0.40-4.35)</w:t>
            </w:r>
          </w:p>
        </w:tc>
        <w:tc>
          <w:tcPr/>
          <w:p>
            <w:pPr>
              <w:pStyle w:val="Compact"/>
              <w:jc w:val="right"/>
            </w:pPr>
            <w:r>
              <w:t xml:space="preserve">0.642</w:t>
            </w:r>
          </w:p>
        </w:tc>
      </w:tr>
      <w:tr>
        <w:tc>
          <w:tcPr/>
          <w:p>
            <w:pPr>
              <w:pStyle w:val="Compact"/>
              <w:jc w:val="left"/>
            </w:pPr>
            <w:r>
              <w:t xml:space="preserve">Walsh</w:t>
            </w:r>
          </w:p>
        </w:tc>
        <w:tc>
          <w:tcPr/>
          <w:p>
            <w:pPr>
              <w:pStyle w:val="Compact"/>
              <w:jc w:val="left"/>
            </w:pPr>
            <w:r>
              <w:t xml:space="preserve">2.40 (1.43-4.01)</w:t>
            </w:r>
          </w:p>
        </w:tc>
        <w:tc>
          <w:tcPr/>
          <w:p>
            <w:pPr>
              <w:pStyle w:val="Compact"/>
              <w:jc w:val="right"/>
            </w:pPr>
            <w:r>
              <w:t xml:space="preserve">0.001</w:t>
            </w:r>
          </w:p>
        </w:tc>
      </w:tr>
    </w:tbl>
    <w:p/>
    <w:p>
      <w:pPr>
        <w:pStyle w:val="TableCaption"/>
      </w:pPr>
      <w:r>
        <w:t xml:space="preserve">Table S12b. Leave-one-caller-out sensitivity of the pediatric-otolaryngology access estimate and the joint subspecialty test.</w:t>
      </w:r>
    </w:p>
    <w:tbl>
      <w:tblPr>
        <w:tblStyle w:val="Table"/>
        <w:tblW w:type="pct" w:w="5000"/>
        <w:tblLayout w:type="fixed"/>
        <w:tblLook w:firstRow="1" w:lastRow="0" w:firstColumn="0" w:lastColumn="0" w:noHBand="0" w:noVBand="0" w:val="0020"/>
        <w:tblCaption w:val="Table S12b. Leave-one-caller-out sensitivity of the pediatric-otolaryngology access estimate and the joint subspecialty test."/>
      </w:tblPr>
      <w:tblGrid>
        <w:gridCol w:w="1689"/>
        <w:gridCol w:w="422"/>
        <w:gridCol w:w="2217"/>
        <w:gridCol w:w="1372"/>
        <w:gridCol w:w="2217"/>
      </w:tblGrid>
      <w:tr>
        <w:trPr>
          <w:tblHeader w:val="on"/>
        </w:trPr>
        <w:tc>
          <w:tcPr/>
          <w:p>
            <w:pPr>
              <w:pStyle w:val="Compact"/>
              <w:jc w:val="left"/>
            </w:pPr>
            <w:r>
              <w:t xml:space="preserve">Caller excluded</w:t>
            </w:r>
          </w:p>
        </w:tc>
        <w:tc>
          <w:tcPr/>
          <w:p>
            <w:pPr>
              <w:pStyle w:val="Compact"/>
              <w:jc w:val="right"/>
            </w:pPr>
            <w:r>
              <w:t xml:space="preserve">N</w:t>
            </w:r>
          </w:p>
        </w:tc>
        <w:tc>
          <w:tcPr/>
          <w:p>
            <w:pPr>
              <w:pStyle w:val="Compact"/>
              <w:jc w:val="right"/>
            </w:pPr>
            <w:r>
              <w:t xml:space="preserve">Pediatrics access OR</w:t>
            </w:r>
          </w:p>
        </w:tc>
        <w:tc>
          <w:tcPr/>
          <w:p>
            <w:pPr>
              <w:pStyle w:val="Compact"/>
              <w:jc w:val="right"/>
            </w:pPr>
            <w:r>
              <w:t xml:space="preserve">Pediatrics p</w:t>
            </w:r>
          </w:p>
        </w:tc>
        <w:tc>
          <w:tcPr/>
          <w:p>
            <w:pPr>
              <w:pStyle w:val="Compact"/>
              <w:jc w:val="right"/>
            </w:pPr>
            <w:r>
              <w:t xml:space="preserve">Subspecialty joint p</w:t>
            </w:r>
          </w:p>
        </w:tc>
      </w:tr>
      <w:tr>
        <w:tc>
          <w:tcPr/>
          <w:p>
            <w:pPr>
              <w:pStyle w:val="Compact"/>
              <w:jc w:val="left"/>
            </w:pPr>
            <w:r>
              <w:t xml:space="preserve">Roesch</w:t>
            </w:r>
          </w:p>
        </w:tc>
        <w:tc>
          <w:tcPr/>
          <w:p>
            <w:pPr>
              <w:pStyle w:val="Compact"/>
              <w:jc w:val="right"/>
            </w:pPr>
            <w:r>
              <w:t xml:space="preserve">543</w:t>
            </w:r>
          </w:p>
        </w:tc>
        <w:tc>
          <w:tcPr/>
          <w:p>
            <w:pPr>
              <w:pStyle w:val="Compact"/>
              <w:jc w:val="right"/>
            </w:pPr>
            <w:r>
              <w:t xml:space="preserve">2.09</w:t>
            </w:r>
          </w:p>
        </w:tc>
        <w:tc>
          <w:tcPr/>
          <w:p>
            <w:pPr>
              <w:pStyle w:val="Compact"/>
              <w:jc w:val="right"/>
            </w:pPr>
            <w:r>
              <w:t xml:space="preserve">0.099</w:t>
            </w:r>
          </w:p>
        </w:tc>
        <w:tc>
          <w:tcPr/>
          <w:p>
            <w:pPr>
              <w:pStyle w:val="Compact"/>
              <w:jc w:val="right"/>
            </w:pPr>
            <w:r>
              <w:t xml:space="preserve">0.229</w:t>
            </w:r>
          </w:p>
        </w:tc>
      </w:tr>
      <w:tr>
        <w:tc>
          <w:tcPr/>
          <w:p>
            <w:pPr>
              <w:pStyle w:val="Compact"/>
              <w:jc w:val="left"/>
            </w:pPr>
            <w:r>
              <w:t xml:space="preserve">Deol</w:t>
            </w:r>
          </w:p>
        </w:tc>
        <w:tc>
          <w:tcPr/>
          <w:p>
            <w:pPr>
              <w:pStyle w:val="Compact"/>
              <w:jc w:val="right"/>
            </w:pPr>
            <w:r>
              <w:t xml:space="preserve">615</w:t>
            </w:r>
          </w:p>
        </w:tc>
        <w:tc>
          <w:tcPr/>
          <w:p>
            <w:pPr>
              <w:pStyle w:val="Compact"/>
              <w:jc w:val="right"/>
            </w:pPr>
            <w:r>
              <w:t xml:space="preserve">2.26</w:t>
            </w:r>
          </w:p>
        </w:tc>
        <w:tc>
          <w:tcPr/>
          <w:p>
            <w:pPr>
              <w:pStyle w:val="Compact"/>
              <w:jc w:val="right"/>
            </w:pPr>
            <w:r>
              <w:t xml:space="preserve">0.048</w:t>
            </w:r>
          </w:p>
        </w:tc>
        <w:tc>
          <w:tcPr/>
          <w:p>
            <w:pPr>
              <w:pStyle w:val="Compact"/>
              <w:jc w:val="right"/>
            </w:pPr>
            <w:r>
              <w:t xml:space="preserve">0.444</w:t>
            </w:r>
          </w:p>
        </w:tc>
      </w:tr>
      <w:tr>
        <w:tc>
          <w:tcPr/>
          <w:p>
            <w:pPr>
              <w:pStyle w:val="Compact"/>
              <w:jc w:val="left"/>
            </w:pPr>
            <w:r>
              <w:t xml:space="preserve">Falk</w:t>
            </w:r>
          </w:p>
        </w:tc>
        <w:tc>
          <w:tcPr/>
          <w:p>
            <w:pPr>
              <w:pStyle w:val="Compact"/>
              <w:jc w:val="right"/>
            </w:pPr>
            <w:r>
              <w:t xml:space="preserve">656</w:t>
            </w:r>
          </w:p>
        </w:tc>
        <w:tc>
          <w:tcPr/>
          <w:p>
            <w:pPr>
              <w:pStyle w:val="Compact"/>
              <w:jc w:val="right"/>
            </w:pPr>
            <w:r>
              <w:t xml:space="preserve">2.30</w:t>
            </w:r>
          </w:p>
        </w:tc>
        <w:tc>
          <w:tcPr/>
          <w:p>
            <w:pPr>
              <w:pStyle w:val="Compact"/>
              <w:jc w:val="right"/>
            </w:pPr>
            <w:r>
              <w:t xml:space="preserve">0.040</w:t>
            </w:r>
          </w:p>
        </w:tc>
        <w:tc>
          <w:tcPr/>
          <w:p>
            <w:pPr>
              <w:pStyle w:val="Compact"/>
              <w:jc w:val="right"/>
            </w:pPr>
            <w:r>
              <w:t xml:space="preserve">0.284</w:t>
            </w:r>
          </w:p>
        </w:tc>
      </w:tr>
      <w:tr>
        <w:tc>
          <w:tcPr/>
          <w:p>
            <w:pPr>
              <w:pStyle w:val="Compact"/>
              <w:jc w:val="left"/>
            </w:pPr>
            <w:r>
              <w:t xml:space="preserve">Gregg</w:t>
            </w:r>
          </w:p>
        </w:tc>
        <w:tc>
          <w:tcPr/>
          <w:p>
            <w:pPr>
              <w:pStyle w:val="Compact"/>
              <w:jc w:val="right"/>
            </w:pPr>
            <w:r>
              <w:t xml:space="preserve">620</w:t>
            </w:r>
          </w:p>
        </w:tc>
        <w:tc>
          <w:tcPr/>
          <w:p>
            <w:pPr>
              <w:pStyle w:val="Compact"/>
              <w:jc w:val="right"/>
            </w:pPr>
            <w:r>
              <w:t xml:space="preserve">2.52</w:t>
            </w:r>
          </w:p>
        </w:tc>
        <w:tc>
          <w:tcPr/>
          <w:p>
            <w:pPr>
              <w:pStyle w:val="Compact"/>
              <w:jc w:val="right"/>
            </w:pPr>
            <w:r>
              <w:t xml:space="preserve">0.035</w:t>
            </w:r>
          </w:p>
        </w:tc>
        <w:tc>
          <w:tcPr/>
          <w:p>
            <w:pPr>
              <w:pStyle w:val="Compact"/>
              <w:jc w:val="right"/>
            </w:pPr>
            <w:r>
              <w:t xml:space="preserve">0.007</w:t>
            </w:r>
          </w:p>
        </w:tc>
      </w:tr>
      <w:tr>
        <w:tc>
          <w:tcPr/>
          <w:p>
            <w:pPr>
              <w:pStyle w:val="Compact"/>
              <w:jc w:val="left"/>
            </w:pPr>
            <w:r>
              <w:t xml:space="preserve">Kim</w:t>
            </w:r>
          </w:p>
        </w:tc>
        <w:tc>
          <w:tcPr/>
          <w:p>
            <w:pPr>
              <w:pStyle w:val="Compact"/>
              <w:jc w:val="right"/>
            </w:pPr>
            <w:r>
              <w:t xml:space="preserve">623</w:t>
            </w:r>
          </w:p>
        </w:tc>
        <w:tc>
          <w:tcPr/>
          <w:p>
            <w:pPr>
              <w:pStyle w:val="Compact"/>
              <w:jc w:val="right"/>
            </w:pPr>
            <w:r>
              <w:t xml:space="preserve">2.35</w:t>
            </w:r>
          </w:p>
        </w:tc>
        <w:tc>
          <w:tcPr/>
          <w:p>
            <w:pPr>
              <w:pStyle w:val="Compact"/>
              <w:jc w:val="right"/>
            </w:pPr>
            <w:r>
              <w:t xml:space="preserve">0.035</w:t>
            </w:r>
          </w:p>
        </w:tc>
        <w:tc>
          <w:tcPr/>
          <w:p>
            <w:pPr>
              <w:pStyle w:val="Compact"/>
              <w:jc w:val="right"/>
            </w:pPr>
            <w:r>
              <w:t xml:space="preserve">0.070</w:t>
            </w:r>
          </w:p>
        </w:tc>
      </w:tr>
      <w:tr>
        <w:tc>
          <w:tcPr/>
          <w:p>
            <w:pPr>
              <w:pStyle w:val="Compact"/>
              <w:jc w:val="left"/>
            </w:pPr>
            <w:r>
              <w:t xml:space="preserve">Other</w:t>
            </w:r>
          </w:p>
        </w:tc>
        <w:tc>
          <w:tcPr/>
          <w:p>
            <w:pPr>
              <w:pStyle w:val="Compact"/>
              <w:jc w:val="right"/>
            </w:pPr>
            <w:r>
              <w:t xml:space="preserve">718</w:t>
            </w:r>
          </w:p>
        </w:tc>
        <w:tc>
          <w:tcPr/>
          <w:p>
            <w:pPr>
              <w:pStyle w:val="Compact"/>
              <w:jc w:val="right"/>
            </w:pPr>
            <w:r>
              <w:t xml:space="preserve">2.22</w:t>
            </w:r>
          </w:p>
        </w:tc>
        <w:tc>
          <w:tcPr/>
          <w:p>
            <w:pPr>
              <w:pStyle w:val="Compact"/>
              <w:jc w:val="right"/>
            </w:pPr>
            <w:r>
              <w:t xml:space="preserve">0.039</w:t>
            </w:r>
          </w:p>
        </w:tc>
        <w:tc>
          <w:tcPr/>
          <w:p>
            <w:pPr>
              <w:pStyle w:val="Compact"/>
              <w:jc w:val="right"/>
            </w:pPr>
            <w:r>
              <w:t xml:space="preserve">0.100</w:t>
            </w:r>
          </w:p>
        </w:tc>
      </w:tr>
      <w:tr>
        <w:tc>
          <w:tcPr/>
          <w:p>
            <w:pPr>
              <w:pStyle w:val="Compact"/>
              <w:jc w:val="left"/>
            </w:pPr>
            <w:r>
              <w:t xml:space="preserve">Walsh</w:t>
            </w:r>
          </w:p>
        </w:tc>
        <w:tc>
          <w:tcPr/>
          <w:p>
            <w:pPr>
              <w:pStyle w:val="Compact"/>
              <w:jc w:val="right"/>
            </w:pPr>
            <w:r>
              <w:t xml:space="preserve">611</w:t>
            </w:r>
          </w:p>
        </w:tc>
        <w:tc>
          <w:tcPr/>
          <w:p>
            <w:pPr>
              <w:pStyle w:val="Compact"/>
              <w:jc w:val="right"/>
            </w:pPr>
            <w:r>
              <w:t xml:space="preserve">2.67</w:t>
            </w:r>
          </w:p>
        </w:tc>
        <w:tc>
          <w:tcPr/>
          <w:p>
            <w:pPr>
              <w:pStyle w:val="Compact"/>
              <w:jc w:val="right"/>
            </w:pPr>
            <w:r>
              <w:t xml:space="preserve">0.020</w:t>
            </w:r>
          </w:p>
        </w:tc>
        <w:tc>
          <w:tcPr/>
          <w:p>
            <w:pPr>
              <w:pStyle w:val="Compact"/>
              <w:jc w:val="right"/>
            </w:pPr>
            <w:r>
              <w:t xml:space="preserve">0.048</w:t>
            </w:r>
          </w:p>
        </w:tc>
      </w:tr>
    </w:tbl>
    <w:p/>
    <w:p>
      <w:pPr>
        <w:pStyle w:val="TableCaption"/>
      </w:pPr>
      <w:r>
        <w:t xml:space="preserve">Table S13. Access odds ratios under the primary (any offer) and stricter (with the sampled physician) outcome definitions.</w:t>
      </w:r>
    </w:p>
    <w:tbl>
      <w:tblPr>
        <w:tblStyle w:val="Table"/>
        <w:tblW w:type="pct" w:w="5000"/>
        <w:tblLayout w:type="fixed"/>
        <w:tblLook w:firstRow="1" w:lastRow="0" w:firstColumn="0" w:lastColumn="0" w:noHBand="0" w:noVBand="0" w:val="0020"/>
        <w:tblCaption w:val="Table S13. Access odds ratios under the primary (any offer) and stricter (with the sampled physician) outcome definitions."/>
      </w:tblPr>
      <w:tblGrid>
        <w:gridCol w:w="2517"/>
        <w:gridCol w:w="1412"/>
        <w:gridCol w:w="798"/>
        <w:gridCol w:w="1903"/>
        <w:gridCol w:w="1289"/>
      </w:tblGrid>
      <w:tr>
        <w:trPr>
          <w:tblHeader w:val="on"/>
        </w:trPr>
        <w:tc>
          <w:tcPr/>
          <w:p>
            <w:pPr>
              <w:pStyle w:val="Compact"/>
              <w:jc w:val="left"/>
            </w:pPr>
            <w:r>
              <w:t xml:space="preserve">Subspecialty (vs general otolaryngology)</w:t>
            </w:r>
          </w:p>
        </w:tc>
        <w:tc>
          <w:tcPr/>
          <w:p>
            <w:pPr>
              <w:pStyle w:val="Compact"/>
              <w:jc w:val="left"/>
            </w:pPr>
            <w:r>
              <w:t xml:space="preserve">Any offer: OR (95% CI)</w:t>
            </w:r>
          </w:p>
        </w:tc>
        <w:tc>
          <w:tcPr/>
          <w:p>
            <w:pPr>
              <w:pStyle w:val="Compact"/>
              <w:jc w:val="right"/>
            </w:pPr>
            <w:r>
              <w:t xml:space="preserve">Any offer: p</w:t>
            </w:r>
          </w:p>
        </w:tc>
        <w:tc>
          <w:tcPr/>
          <w:p>
            <w:pPr>
              <w:pStyle w:val="Compact"/>
              <w:jc w:val="left"/>
            </w:pPr>
            <w:r>
              <w:t xml:space="preserve">Sampled physician: OR (95% CI)</w:t>
            </w:r>
          </w:p>
        </w:tc>
        <w:tc>
          <w:tcPr/>
          <w:p>
            <w:pPr>
              <w:pStyle w:val="Compact"/>
              <w:jc w:val="right"/>
            </w:pPr>
            <w:r>
              <w:t xml:space="preserve">Sampled physician: p</w:t>
            </w:r>
          </w:p>
        </w:tc>
      </w:tr>
      <w:tr>
        <w:tc>
          <w:tcPr/>
          <w:p>
            <w:pPr>
              <w:pStyle w:val="Compact"/>
              <w:jc w:val="left"/>
            </w:pPr>
            <w:r>
              <w:t xml:space="preserve">Facial plastic surgery</w:t>
            </w:r>
          </w:p>
        </w:tc>
        <w:tc>
          <w:tcPr/>
          <w:p>
            <w:pPr>
              <w:pStyle w:val="Compact"/>
              <w:jc w:val="left"/>
            </w:pPr>
            <w:r>
              <w:t xml:space="preserve">1.00 (0.58-1.71)</w:t>
            </w:r>
          </w:p>
        </w:tc>
        <w:tc>
          <w:tcPr/>
          <w:p>
            <w:pPr>
              <w:pStyle w:val="Compact"/>
              <w:jc w:val="right"/>
            </w:pPr>
            <w:r>
              <w:t xml:space="preserve">1.000</w:t>
            </w:r>
          </w:p>
        </w:tc>
        <w:tc>
          <w:tcPr/>
          <w:p>
            <w:pPr>
              <w:pStyle w:val="Compact"/>
              <w:jc w:val="left"/>
            </w:pPr>
            <w:r>
              <w:t xml:space="preserve">1.18 (0.70-2.00)</w:t>
            </w:r>
          </w:p>
        </w:tc>
        <w:tc>
          <w:tcPr/>
          <w:p>
            <w:pPr>
              <w:pStyle w:val="Compact"/>
              <w:jc w:val="right"/>
            </w:pPr>
            <w:r>
              <w:t xml:space="preserve">0.542</w:t>
            </w:r>
          </w:p>
        </w:tc>
      </w:tr>
      <w:tr>
        <w:tc>
          <w:tcPr/>
          <w:p>
            <w:pPr>
              <w:pStyle w:val="Compact"/>
              <w:jc w:val="left"/>
            </w:pPr>
            <w:r>
              <w:t xml:space="preserve">Head and neck oncology</w:t>
            </w:r>
          </w:p>
        </w:tc>
        <w:tc>
          <w:tcPr/>
          <w:p>
            <w:pPr>
              <w:pStyle w:val="Compact"/>
              <w:jc w:val="left"/>
            </w:pPr>
            <w:r>
              <w:t xml:space="preserve">0.82 (0.35-1.91)</w:t>
            </w:r>
          </w:p>
        </w:tc>
        <w:tc>
          <w:tcPr/>
          <w:p>
            <w:pPr>
              <w:pStyle w:val="Compact"/>
              <w:jc w:val="right"/>
            </w:pPr>
            <w:r>
              <w:t xml:space="preserve">0.643</w:t>
            </w:r>
          </w:p>
        </w:tc>
        <w:tc>
          <w:tcPr/>
          <w:p>
            <w:pPr>
              <w:pStyle w:val="Compact"/>
              <w:jc w:val="left"/>
            </w:pPr>
            <w:r>
              <w:t xml:space="preserve">0.80 (0.34-1.87)</w:t>
            </w:r>
          </w:p>
        </w:tc>
        <w:tc>
          <w:tcPr/>
          <w:p>
            <w:pPr>
              <w:pStyle w:val="Compact"/>
              <w:jc w:val="right"/>
            </w:pPr>
            <w:r>
              <w:t xml:space="preserve">0.602</w:t>
            </w:r>
          </w:p>
        </w:tc>
      </w:tr>
      <w:tr>
        <w:tc>
          <w:tcPr/>
          <w:p>
            <w:pPr>
              <w:pStyle w:val="Compact"/>
              <w:jc w:val="left"/>
            </w:pPr>
            <w:r>
              <w:t xml:space="preserve">Laryngology</w:t>
            </w:r>
          </w:p>
        </w:tc>
        <w:tc>
          <w:tcPr/>
          <w:p>
            <w:pPr>
              <w:pStyle w:val="Compact"/>
              <w:jc w:val="left"/>
            </w:pPr>
            <w:r>
              <w:t xml:space="preserve">1.84 (0.51-6.59)</w:t>
            </w:r>
          </w:p>
        </w:tc>
        <w:tc>
          <w:tcPr/>
          <w:p>
            <w:pPr>
              <w:pStyle w:val="Compact"/>
              <w:jc w:val="right"/>
            </w:pPr>
            <w:r>
              <w:t xml:space="preserve">0.351</w:t>
            </w:r>
          </w:p>
        </w:tc>
        <w:tc>
          <w:tcPr/>
          <w:p>
            <w:pPr>
              <w:pStyle w:val="Compact"/>
              <w:jc w:val="left"/>
            </w:pPr>
            <w:r>
              <w:t xml:space="preserve">2.85 (0.79-10.25)</w:t>
            </w:r>
          </w:p>
        </w:tc>
        <w:tc>
          <w:tcPr/>
          <w:p>
            <w:pPr>
              <w:pStyle w:val="Compact"/>
              <w:jc w:val="right"/>
            </w:pPr>
            <w:r>
              <w:t xml:space="preserve">0.108</w:t>
            </w:r>
          </w:p>
        </w:tc>
      </w:tr>
      <w:tr>
        <w:tc>
          <w:tcPr/>
          <w:p>
            <w:pPr>
              <w:pStyle w:val="Compact"/>
              <w:jc w:val="left"/>
            </w:pPr>
            <w:r>
              <w:t xml:space="preserve">Otology/neurotology</w:t>
            </w:r>
          </w:p>
        </w:tc>
        <w:tc>
          <w:tcPr/>
          <w:p>
            <w:pPr>
              <w:pStyle w:val="Compact"/>
              <w:jc w:val="left"/>
            </w:pPr>
            <w:r>
              <w:t xml:space="preserve">0.57 (0.26-1.25)</w:t>
            </w:r>
          </w:p>
        </w:tc>
        <w:tc>
          <w:tcPr/>
          <w:p>
            <w:pPr>
              <w:pStyle w:val="Compact"/>
              <w:jc w:val="right"/>
            </w:pPr>
            <w:r>
              <w:t xml:space="preserve">0.159</w:t>
            </w:r>
          </w:p>
        </w:tc>
        <w:tc>
          <w:tcPr/>
          <w:p>
            <w:pPr>
              <w:pStyle w:val="Compact"/>
              <w:jc w:val="left"/>
            </w:pPr>
            <w:r>
              <w:t xml:space="preserve">0.74 (0.34-1.64)</w:t>
            </w:r>
          </w:p>
        </w:tc>
        <w:tc>
          <w:tcPr/>
          <w:p>
            <w:pPr>
              <w:pStyle w:val="Compact"/>
              <w:jc w:val="right"/>
            </w:pPr>
            <w:r>
              <w:t xml:space="preserve">0.463</w:t>
            </w:r>
          </w:p>
        </w:tc>
      </w:tr>
      <w:tr>
        <w:tc>
          <w:tcPr/>
          <w:p>
            <w:pPr>
              <w:pStyle w:val="Compact"/>
              <w:jc w:val="left"/>
            </w:pPr>
            <w:r>
              <w:t xml:space="preserve">Pediatric otolaryngology</w:t>
            </w:r>
          </w:p>
        </w:tc>
        <w:tc>
          <w:tcPr/>
          <w:p>
            <w:pPr>
              <w:pStyle w:val="Compact"/>
              <w:jc w:val="left"/>
            </w:pPr>
            <w:r>
              <w:t xml:space="preserve">2.35 (1.11-5.00)</w:t>
            </w:r>
          </w:p>
        </w:tc>
        <w:tc>
          <w:tcPr/>
          <w:p>
            <w:pPr>
              <w:pStyle w:val="Compact"/>
              <w:jc w:val="right"/>
            </w:pPr>
            <w:r>
              <w:t xml:space="preserve">0.026</w:t>
            </w:r>
          </w:p>
        </w:tc>
        <w:tc>
          <w:tcPr/>
          <w:p>
            <w:pPr>
              <w:pStyle w:val="Compact"/>
              <w:jc w:val="left"/>
            </w:pPr>
            <w:r>
              <w:t xml:space="preserve">1.43 (0.73-2.79)</w:t>
            </w:r>
          </w:p>
        </w:tc>
        <w:tc>
          <w:tcPr/>
          <w:p>
            <w:pPr>
              <w:pStyle w:val="Compact"/>
              <w:jc w:val="right"/>
            </w:pPr>
            <w:r>
              <w:t xml:space="preserve">0.295</w:t>
            </w:r>
          </w:p>
        </w:tc>
      </w:tr>
      <w:tr>
        <w:tc>
          <w:tcPr/>
          <w:p>
            <w:pPr>
              <w:pStyle w:val="Compact"/>
              <w:jc w:val="left"/>
            </w:pPr>
            <w:r>
              <w:t xml:space="preserve">Rhinology</w:t>
            </w:r>
          </w:p>
        </w:tc>
        <w:tc>
          <w:tcPr/>
          <w:p>
            <w:pPr>
              <w:pStyle w:val="Compact"/>
              <w:jc w:val="left"/>
            </w:pPr>
            <w:r>
              <w:t xml:space="preserve">2.26 (0.75-6.79)</w:t>
            </w:r>
          </w:p>
        </w:tc>
        <w:tc>
          <w:tcPr/>
          <w:p>
            <w:pPr>
              <w:pStyle w:val="Compact"/>
              <w:jc w:val="right"/>
            </w:pPr>
            <w:r>
              <w:t xml:space="preserve">0.145</w:t>
            </w:r>
          </w:p>
        </w:tc>
        <w:tc>
          <w:tcPr/>
          <w:p>
            <w:pPr>
              <w:pStyle w:val="Compact"/>
              <w:jc w:val="left"/>
            </w:pPr>
            <w:r>
              <w:t xml:space="preserve">3.52 (1.17-10.59)</w:t>
            </w:r>
          </w:p>
        </w:tc>
        <w:tc>
          <w:tcPr/>
          <w:p>
            <w:pPr>
              <w:pStyle w:val="Compact"/>
              <w:jc w:val="right"/>
            </w:pPr>
            <w:r>
              <w:t xml:space="preserve">0.025</w:t>
            </w:r>
          </w:p>
        </w:tc>
      </w:tr>
      <w:tr>
        <w:tc>
          <w:tcPr/>
          <w:p>
            <w:pPr>
              <w:pStyle w:val="Compact"/>
              <w:jc w:val="left"/>
            </w:pPr>
            <w:r>
              <w:t xml:space="preserve">Sleep medicine</w:t>
            </w:r>
          </w:p>
        </w:tc>
        <w:tc>
          <w:tcPr/>
          <w:p>
            <w:pPr>
              <w:pStyle w:val="Compact"/>
              <w:jc w:val="left"/>
            </w:pPr>
            <w:r>
              <w:t xml:space="preserve">1.75 (0.56-5.42)</w:t>
            </w:r>
          </w:p>
        </w:tc>
        <w:tc>
          <w:tcPr/>
          <w:p>
            <w:pPr>
              <w:pStyle w:val="Compact"/>
              <w:jc w:val="right"/>
            </w:pPr>
            <w:r>
              <w:t xml:space="preserve">0.335</w:t>
            </w:r>
          </w:p>
        </w:tc>
        <w:tc>
          <w:tcPr/>
          <w:p>
            <w:pPr>
              <w:pStyle w:val="Compact"/>
              <w:jc w:val="left"/>
            </w:pPr>
            <w:r>
              <w:t xml:space="preserve">1.94 (0.65-5.79)</w:t>
            </w:r>
          </w:p>
        </w:tc>
        <w:tc>
          <w:tcPr/>
          <w:p>
            <w:pPr>
              <w:pStyle w:val="Compact"/>
              <w:jc w:val="right"/>
            </w:pPr>
            <w:r>
              <w:t xml:space="preserve">0.237</w:t>
            </w:r>
          </w:p>
        </w:tc>
      </w:tr>
    </w:tbl>
    <w:p/>
    <w:p>
      <w:pPr>
        <w:pStyle w:val="TableCaption"/>
      </w:pPr>
      <w:r>
        <w:t xml:space="preserve">Table S14. Joint (multi–degree-of-freedom) likelihood-ratio test of the subspecialty factor in each model part.</w:t>
      </w:r>
    </w:p>
    <w:tbl>
      <w:tblPr>
        <w:tblStyle w:val="Table"/>
        <w:tblW w:type="auto" w:w="0"/>
        <w:tblLook w:firstRow="1" w:lastRow="0" w:firstColumn="0" w:lastColumn="0" w:noHBand="0" w:noVBand="0" w:val="0020"/>
        <w:tblCaption w:val="Table S14. Joint (multi–degree-of-freedom) likelihood-ratio test of the subspecialty factor in each model part."/>
      </w:tblPr>
      <w:tblGrid>
        <w:gridCol w:w="1980"/>
        <w:gridCol w:w="1980"/>
        <w:gridCol w:w="1980"/>
        <w:gridCol w:w="1980"/>
      </w:tblGrid>
      <w:tr>
        <w:trPr>
          <w:tblHeader w:val="on"/>
        </w:trPr>
        <w:tc>
          <w:tcPr/>
          <w:p>
            <w:pPr>
              <w:pStyle w:val="Compact"/>
              <w:jc w:val="left"/>
            </w:pPr>
            <w:r>
              <w:t xml:space="preserve">Model part</w:t>
            </w:r>
          </w:p>
        </w:tc>
        <w:tc>
          <w:tcPr/>
          <w:p>
            <w:pPr>
              <w:pStyle w:val="Compact"/>
              <w:jc w:val="right"/>
            </w:pPr>
            <w:r>
              <w:t xml:space="preserve">Chi-square</w:t>
            </w:r>
          </w:p>
        </w:tc>
        <w:tc>
          <w:tcPr/>
          <w:p>
            <w:pPr>
              <w:pStyle w:val="Compact"/>
              <w:jc w:val="right"/>
            </w:pPr>
            <w:r>
              <w:t xml:space="preserve">df</w:t>
            </w:r>
          </w:p>
        </w:tc>
        <w:tc>
          <w:tcPr/>
          <w:p>
            <w:pPr>
              <w:pStyle w:val="Compact"/>
              <w:jc w:val="right"/>
            </w:pPr>
            <w:r>
              <w:t xml:space="preserve">p-value</w:t>
            </w:r>
          </w:p>
        </w:tc>
      </w:tr>
      <w:tr>
        <w:tc>
          <w:tcPr/>
          <w:p>
            <w:pPr>
              <w:pStyle w:val="Compact"/>
              <w:jc w:val="left"/>
            </w:pPr>
            <w:r>
              <w:t xml:space="preserve">Access (any offer)</w:t>
            </w:r>
          </w:p>
        </w:tc>
        <w:tc>
          <w:tcPr/>
          <w:p>
            <w:pPr>
              <w:pStyle w:val="Compact"/>
              <w:jc w:val="right"/>
            </w:pPr>
            <w:r>
              <w:t xml:space="preserve">12.24</w:t>
            </w:r>
          </w:p>
        </w:tc>
        <w:tc>
          <w:tcPr/>
          <w:p>
            <w:pPr>
              <w:pStyle w:val="Compact"/>
              <w:jc w:val="right"/>
            </w:pPr>
            <w:r>
              <w:t xml:space="preserve">20</w:t>
            </w:r>
          </w:p>
        </w:tc>
        <w:tc>
          <w:tcPr/>
          <w:p>
            <w:pPr>
              <w:pStyle w:val="Compact"/>
              <w:jc w:val="right"/>
            </w:pPr>
            <w:r>
              <w:t xml:space="preserve">0.093</w:t>
            </w:r>
          </w:p>
        </w:tc>
      </w:tr>
      <w:tr>
        <w:tc>
          <w:tcPr/>
          <w:p>
            <w:pPr>
              <w:pStyle w:val="Compact"/>
              <w:jc w:val="left"/>
            </w:pPr>
            <w:r>
              <w:t xml:space="preserve">Timeliness (wait)</w:t>
            </w:r>
          </w:p>
        </w:tc>
        <w:tc>
          <w:tcPr/>
          <w:p>
            <w:pPr>
              <w:pStyle w:val="Compact"/>
              <w:jc w:val="right"/>
            </w:pPr>
            <w:r>
              <w:t xml:space="preserve">12.64</w:t>
            </w:r>
          </w:p>
        </w:tc>
        <w:tc>
          <w:tcPr/>
          <w:p>
            <w:pPr>
              <w:pStyle w:val="Compact"/>
              <w:jc w:val="right"/>
            </w:pPr>
            <w:r>
              <w:t xml:space="preserve">21</w:t>
            </w:r>
          </w:p>
        </w:tc>
        <w:tc>
          <w:tcPr/>
          <w:p>
            <w:pPr>
              <w:pStyle w:val="Compact"/>
              <w:jc w:val="right"/>
            </w:pPr>
            <w:r>
              <w:t xml:space="preserve">0.081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55600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514164"/>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514164"/>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514164"/>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S6. New-patient access measures across the call pathway.</w:t>
      </w:r>
    </w:p>
    <w:p>
      <w:pPr>
        <w:pStyle w:val="BodyText"/>
      </w:pPr>
      <w:r>
        <w:drawing>
          <wp:inline>
            <wp:extent cx="5334000" cy="2418906"/>
            <wp:effectExtent b="0" l="0" r="0" t="0"/>
            <wp:docPr descr="" title="" id="66" name="Picture"/>
            <a:graphic>
              <a:graphicData uri="http://schemas.openxmlformats.org/drawingml/2006/picture">
                <pic:pic>
                  <pic:nvPicPr>
                    <pic:cNvPr descr="model_output/supp/figS6_access_cascade.png" id="67" name="Picture"/>
                    <pic:cNvPicPr>
                      <a:picLocks noChangeArrowheads="1" noChangeAspect="1"/>
                    </pic:cNvPicPr>
                  </pic:nvPicPr>
                  <pic:blipFill>
                    <a:blip r:embed="rId65"/>
                    <a:stretch>
                      <a:fillRect/>
                    </a:stretch>
                  </pic:blipFill>
                  <pic:spPr bwMode="auto">
                    <a:xfrm>
                      <a:off x="0" y="0"/>
                      <a:ext cx="5334000" cy="2418906"/>
                    </a:xfrm>
                    <a:prstGeom prst="rect">
                      <a:avLst/>
                    </a:prstGeom>
                    <a:noFill/>
                    <a:ln w="9525">
                      <a:noFill/>
                      <a:headEnd/>
                      <a:tailEnd/>
                    </a:ln>
                  </pic:spPr>
                </pic:pic>
              </a:graphicData>
            </a:graphic>
          </wp:inline>
        </w:drawing>
      </w:r>
    </w:p>
    <w:p>
      <w:pPr>
        <w:pStyle w:val="BodyText"/>
      </w:pPr>
      <w:r>
        <w:rPr>
          <w:i/>
          <w:iCs/>
        </w:rPr>
        <w:t xml:space="preserve">A completed STROBE checklist and full legends for all supplementary items are provided as separate supplementary files.</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presenting as a new patient (or a family member calling on a patient’s behalf) with a referral-based, subspecialty-matched chief complaint, and recorded responses in a structured data-capture form.</w:t>
      </w:r>
    </w:p>
    <w:p>
      <w:pPr>
        <w:pStyle w:val="BodyText"/>
      </w:pPr>
      <w:r>
        <w:rPr>
          <w:b/>
          <w:bCs/>
        </w:rPr>
        <w:t xml:space="preserve">Pre-call procedure.</w:t>
      </w:r>
      <w:r>
        <w:t xml:space="preserve"> </w:t>
      </w:r>
      <w:r>
        <w:t xml:space="preserve">Before each call, the caller searched the sampled physician’s name and state of practice online and identified the matching practice website (typically among the first results, in under one minute). From the website, the caller determined whether the physician was fellowship-trained and selected the correspondingly matched subspecialty script; if the physician was not fellowship-trained, or fellowship status was unclear, the general otolaryngology script was used. Board certification was verified using the American Board of Otolaryngology–Head and Neck Surgery certification tool (abohns.org/verify-certification); if the physician was not listed as certified, the caller asked whether the physician was board certified after an appointment was offered. Calls used the phone number listed on the practice website (to avoid inadvertently reaching a personal number listed in NPI/CMS/Academy records); when no website could be found, the caller used the NPI/CMS-listed number with the general script and noted the absence of a website. The practice city and 2020 RUCA code were recorded before the call (via the Rural Health Information Hub</w:t>
      </w:r>
      <w:r>
        <w:t xml:space="preserve"> </w:t>
      </w:r>
      <w:r>
        <w:t xml:space="preserve">“Am I Rural?”</w:t>
      </w:r>
      <w:r>
        <w:t xml:space="preserve"> </w:t>
      </w:r>
      <w:r>
        <w:t xml:space="preserve">tool), along with any additional practice cities and their RUCA codes.</w:t>
      </w:r>
    </w:p>
    <w:p>
      <w:pPr>
        <w:pStyle w:val="BodyText"/>
      </w:pPr>
      <w:r>
        <w:rPr>
          <w:b/>
          <w:bCs/>
        </w:rPr>
        <w:t xml:space="preserve">During the call.</w:t>
      </w:r>
      <w:r>
        <w:t xml:space="preserve"> </w:t>
      </w:r>
      <w:r>
        <w:t xml:space="preserve">The caller delivered the selected script (Table S9). If asked for identifying details, the caller gave a standardized identity,</w:t>
      </w:r>
      <w:r>
        <w:t xml:space="preserve"> </w:t>
      </w:r>
      <w:r>
        <w:t xml:space="preserve">“John”</w:t>
      </w:r>
      <w:r>
        <w:t xml:space="preserve"> </w:t>
      </w:r>
      <w:r>
        <w:t xml:space="preserve">or</w:t>
      </w:r>
      <w:r>
        <w:t xml:space="preserve"> </w:t>
      </w:r>
      <w:r>
        <w:t xml:space="preserve">“Jessica Smith,”</w:t>
      </w:r>
      <w:r>
        <w:t xml:space="preserve"> </w:t>
      </w:r>
      <w:r>
        <w:t xml:space="preserve">date of birth June 1 of a script-appropriate year.</w:t>
      </w:r>
      <w:r>
        <w:t xml:space="preserve"> </w:t>
      </w:r>
      <w:r>
        <w:rPr>
          <w:b/>
          <w:bCs/>
        </w:rPr>
        <w:t xml:space="preserve">No appointment was ever booked:</w:t>
      </w:r>
      <w:r>
        <w:t xml:space="preserve"> </w:t>
      </w:r>
      <w:r>
        <w:t xml:space="preserve">when an appointment was offered, the caller requested the next-available date (</w:t>
      </w:r>
      <w:r>
        <w:t xml:space="preserve">“I want to make sure I can find an appointment that works with my schedule before moving forward with scheduling”</w:t>
      </w:r>
      <w:r>
        <w:t xml:space="preserve">) to compute the business-day wait, then stated they would check their schedule and call back. Structured response handling captured whether the physician sees the presented complaint (and, if not, what they do see), whether another provider could be seen for the concern and whether that provider was a physician or advanced practice provider and the time to that appointment, whether the physician was not accepting new patients, redirection to a different provider, and whether the physician was no longer practicing (retired vs moved).</w:t>
      </w:r>
      <w:r>
        <w:t xml:space="preserve"> </w:t>
      </w:r>
      <w:r>
        <w:rPr>
          <w:i/>
          <w:iCs/>
        </w:rPr>
        <w:t xml:space="preserve">[Not specified in the script draft: the number and timing of call attempts before an office was recorded as unreachable, to confirm from the protocol.]</w:t>
      </w:r>
    </w:p>
    <w:p>
      <w:pPr>
        <w:pStyle w:val="BodyText"/>
      </w:pPr>
      <w:r>
        <w:rPr>
          <w:b/>
          <w:bCs/>
        </w:rPr>
        <w:t xml:space="preserve">Table S9. Subspecialty-matched chief-complaint scripts (verbatim caller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Subspecialty</w:t>
            </w:r>
          </w:p>
        </w:tc>
        <w:tc>
          <w:tcPr/>
          <w:p>
            <w:pPr>
              <w:pStyle w:val="Compact"/>
            </w:pPr>
            <w:r>
              <w:t xml:space="preserve">Clinical scenario</w:t>
            </w:r>
          </w:p>
        </w:tc>
        <w:tc>
          <w:tcPr/>
          <w:p>
            <w:pPr>
              <w:pStyle w:val="Compact"/>
            </w:pPr>
            <w:r>
              <w:t xml:space="preserve">Verbatim opening script</w:t>
            </w:r>
          </w:p>
        </w:tc>
      </w:tr>
      <w:tr>
        <w:tc>
          <w:tcPr/>
          <w:p>
            <w:pPr>
              <w:pStyle w:val="Compact"/>
            </w:pPr>
            <w:r>
              <w:t xml:space="preserve">General otolaryngology</w:t>
            </w:r>
          </w:p>
        </w:tc>
        <w:tc>
          <w:tcPr/>
          <w:p>
            <w:pPr>
              <w:pStyle w:val="Compact"/>
            </w:pPr>
            <w:r>
              <w:t xml:space="preserve">Nasal obstruction; suspected deviated septum after failed medical therapy</w:t>
            </w:r>
          </w:p>
        </w:tc>
        <w:tc>
          <w:tcPr/>
          <w:p>
            <w:pPr>
              <w:pStyle w:val="Compact"/>
            </w:pPr>
            <w:r>
              <w:t xml:space="preserve">“I was worked up by my primary care doctor for difficulty breathing through my nose. I have tried multiple nasal sprays but none of them have helped. My primary care doctor said they think I have a deviated septum and referred me to Dr. ___.”</w:t>
            </w:r>
          </w:p>
        </w:tc>
      </w:tr>
      <w:tr>
        <w:tc>
          <w:tcPr/>
          <w:p>
            <w:pPr>
              <w:pStyle w:val="Compact"/>
            </w:pPr>
            <w:r>
              <w:t xml:space="preserve">Pediatric otolaryngology</w:t>
            </w:r>
          </w:p>
        </w:tc>
        <w:tc>
          <w:tcPr/>
          <w:p>
            <w:pPr>
              <w:pStyle w:val="Compact"/>
            </w:pPr>
            <w:r>
              <w:t xml:space="preserve">12-year-old with recurrent tonsillitis and snoring; tonsillectomy discussion</w:t>
            </w:r>
          </w:p>
        </w:tc>
        <w:tc>
          <w:tcPr/>
          <w:p>
            <w:pPr>
              <w:pStyle w:val="Compact"/>
            </w:pPr>
            <w:r>
              <w:t xml:space="preserve">“My twelve-year-old son has been worked up for recurrent tonsillitis and snoring by our pediatrician. He has had seven episodes of tonsillitis in the last year. He is also now snoring loudly and seems very tired during the day. Our pediatrician referred us to Dr. ___ to discuss possible tonsillectomy.”</w:t>
            </w:r>
          </w:p>
        </w:tc>
      </w:tr>
      <w:tr>
        <w:tc>
          <w:tcPr/>
          <w:p>
            <w:pPr>
              <w:pStyle w:val="Compact"/>
            </w:pPr>
            <w:r>
              <w:t xml:space="preserve">Rhinology</w:t>
            </w:r>
          </w:p>
        </w:tc>
        <w:tc>
          <w:tcPr/>
          <w:p>
            <w:pPr>
              <w:pStyle w:val="Compact"/>
            </w:pPr>
            <w:r>
              <w:t xml:space="preserve">Recurrent chronic sinusitis after prior sinus surgery; revision considered</w:t>
            </w:r>
          </w:p>
        </w:tc>
        <w:tc>
          <w:tcPr/>
          <w:p>
            <w:pPr>
              <w:pStyle w:val="Compact"/>
            </w:pPr>
            <w:r>
              <w:t xml:space="preserve">“I have been evaluated and treated for chronic sinusitis by my primary care doctor and a general ENT. I have had one prior sinus surgery ten years ago, but my symptoms are back. I was referred to see Dr. ___ to discuss possible revision sinus surgery.”</w:t>
            </w:r>
          </w:p>
        </w:tc>
      </w:tr>
      <w:tr>
        <w:tc>
          <w:tcPr/>
          <w:p>
            <w:pPr>
              <w:pStyle w:val="Compact"/>
            </w:pPr>
            <w:r>
              <w:t xml:space="preserve">Otology/neurotology</w:t>
            </w:r>
          </w:p>
        </w:tc>
        <w:tc>
          <w:tcPr/>
          <w:p>
            <w:pPr>
              <w:pStyle w:val="Compact"/>
            </w:pPr>
            <w:r>
              <w:t xml:space="preserve">70-year-old parent with progressive hearing loss; cochlear-implant candidate</w:t>
            </w:r>
          </w:p>
        </w:tc>
        <w:tc>
          <w:tcPr/>
          <w:p>
            <w:pPr>
              <w:pStyle w:val="Compact"/>
            </w:pPr>
            <w:r>
              <w:t xml:space="preserve">“My 70-year-old mother has been worked up for hearing loss by our audiologist and a general ENT. She has had progressive hearing loss and is no longer getting benefit from hearing aids. After her most recent hearing test, she was referred to Dr. ___ to discuss possible cochlear implantation.”</w:t>
            </w:r>
          </w:p>
        </w:tc>
      </w:tr>
      <w:tr>
        <w:tc>
          <w:tcPr/>
          <w:p>
            <w:pPr>
              <w:pStyle w:val="Compact"/>
            </w:pPr>
            <w:r>
              <w:t xml:space="preserve">Laryngology</w:t>
            </w:r>
          </w:p>
        </w:tc>
        <w:tc>
          <w:tcPr/>
          <w:p>
            <w:pPr>
              <w:pStyle w:val="Compact"/>
            </w:pPr>
            <w:r>
              <w:t xml:space="preserve">70-year-old parent with dysphonia; paralyzed vocal cord after cardiac surgery</w:t>
            </w:r>
          </w:p>
        </w:tc>
        <w:tc>
          <w:tcPr/>
          <w:p>
            <w:pPr>
              <w:pStyle w:val="Compact"/>
            </w:pPr>
            <w:r>
              <w:t xml:space="preserve">“My 70-year-old father has been evaluated and treated for a hoarse voice by a general ENT and speech pathologist. He was told he has a paralyzed vocal cord after open heart surgery two years ago. He has completed a variety of treatments, but his voice has not improved. He is being referred to Dr. ___ to discuss possible surgical options for his voice.”</w:t>
            </w:r>
          </w:p>
        </w:tc>
      </w:tr>
      <w:tr>
        <w:tc>
          <w:tcPr/>
          <w:p>
            <w:pPr>
              <w:pStyle w:val="Compact"/>
            </w:pPr>
            <w:r>
              <w:t xml:space="preserve">Facial plastic surgery</w:t>
            </w:r>
          </w:p>
        </w:tc>
        <w:tc>
          <w:tcPr/>
          <w:p>
            <w:pPr>
              <w:pStyle w:val="Compact"/>
            </w:pPr>
            <w:r>
              <w:t xml:space="preserve">Post-traumatic nasal deformity and obstruction; rhinoplasty evaluation</w:t>
            </w:r>
          </w:p>
        </w:tc>
        <w:tc>
          <w:tcPr/>
          <w:p>
            <w:pPr>
              <w:pStyle w:val="Compact"/>
            </w:pPr>
            <w:r>
              <w:t xml:space="preserve">“I have been worked up for difficulty breathing through my nose and a change in the appearance of my nose after a car accident one year ago by my primary care doctor. I was referred to Dr. ___ to discuss possible surgical options to improve my breathing and shape of my nose.”</w:t>
            </w:r>
          </w:p>
        </w:tc>
      </w:tr>
      <w:tr>
        <w:tc>
          <w:tcPr/>
          <w:p>
            <w:pPr>
              <w:pStyle w:val="Compact"/>
            </w:pPr>
            <w:r>
              <w:t xml:space="preserve">Head and neck oncology</w:t>
            </w:r>
          </w:p>
        </w:tc>
        <w:tc>
          <w:tcPr/>
          <w:p>
            <w:pPr>
              <w:pStyle w:val="Compact"/>
            </w:pPr>
            <w:r>
              <w:t xml:space="preserve">Thyroid nodule with biopsy showing high malignancy risk; thyroidectomy discussion</w:t>
            </w:r>
          </w:p>
        </w:tc>
        <w:tc>
          <w:tcPr/>
          <w:p>
            <w:pPr>
              <w:pStyle w:val="Compact"/>
            </w:pPr>
            <w:r>
              <w:t xml:space="preserve">“I have been worked up for a thyroid nodule by my primary care provider. I had a biopsy done by an endocrinologist that showed a 70% chance of thyroid cancer. I was referred to Dr. ___ to discuss possible thyroidectomy.”</w:t>
            </w:r>
          </w:p>
        </w:tc>
      </w:tr>
      <w:tr>
        <w:tc>
          <w:tcPr/>
          <w:p>
            <w:pPr>
              <w:pStyle w:val="Compact"/>
            </w:pPr>
            <w:r>
              <w:t xml:space="preserve">Sleep medicine</w:t>
            </w:r>
          </w:p>
        </w:tc>
        <w:tc>
          <w:tcPr/>
          <w:p>
            <w:pPr>
              <w:pStyle w:val="Compact"/>
            </w:pPr>
            <w:r>
              <w:t xml:space="preserve">No dedicated script</w:t>
            </w:r>
          </w:p>
        </w:tc>
        <w:tc>
          <w:tcPr/>
          <w:p>
            <w:pPr>
              <w:pStyle w:val="Compact"/>
            </w:pPr>
            <w:r>
              <w:t xml:space="preserve">Because script selection followed fellowship training and no sleep-specific vignette existed, physicians classified as sleep medicine received the</w:t>
            </w:r>
            <w:r>
              <w:t xml:space="preserve"> </w:t>
            </w:r>
            <w:r>
              <w:rPr>
                <w:b/>
                <w:bCs/>
              </w:rPr>
              <w:t xml:space="preserve">general otolaryngology</w:t>
            </w:r>
            <w:r>
              <w:t xml:space="preserve"> </w:t>
            </w:r>
            <w:r>
              <w:t xml:space="preserve">script above.</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Correlates of New-Patient Appointment Access and Wait Times in Otolaryngology: A National Mystery-Caller Study</dc:title>
  <dc:creator>Grace E. Falk; Eric J. Dobratz, MD; [RA co-authors, full names &amp; degrees to confirm: Chin, Deol, Gregg, Kim, Roesch, Walsh]; Tyler M. Muffly, MD; Cristina Cabrera-Muffly, MD</dc:creator>
  <cp:keywords/>
  <dcterms:created xsi:type="dcterms:W3CDTF">2026-07-18T21:58:40Z</dcterms:created>
  <dcterms:modified xsi:type="dcterms:W3CDTF">2026-07-18T21:58:40Z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